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2F69F">
      <w:pPr>
        <w:keepNext w:val="0"/>
        <w:keepLines w:val="0"/>
        <w:pageBreakBefore w:val="0"/>
        <w:widowControl w:val="0"/>
        <w:kinsoku/>
        <w:wordWrap/>
        <w:overflowPunct w:val="0"/>
        <w:topLinePunct/>
        <w:autoSpaceDE w:val="0"/>
        <w:autoSpaceDN w:val="0"/>
        <w:bidi w:val="0"/>
        <w:spacing w:beforeLines="0" w:afterLines="0" w:line="600" w:lineRule="exact"/>
        <w:textAlignment w:val="auto"/>
        <w:rPr>
          <w:rFonts w:hint="eastAsia" w:ascii="方正小标宋简体" w:hAnsi="方正小标宋简体" w:eastAsia="方正小标宋简体"/>
          <w:color w:val="FF0000"/>
          <w:kern w:val="2"/>
          <w:sz w:val="30"/>
          <w:szCs w:val="24"/>
          <w:lang w:val="zh-CN"/>
        </w:rPr>
      </w:pPr>
      <w:bookmarkStart w:id="0" w:name="_Toc15377425"/>
      <w:bookmarkStart w:id="1" w:name="_Toc15396597"/>
      <w:bookmarkStart w:id="2" w:name="_Toc15377193"/>
      <w:bookmarkStart w:id="3" w:name="_Toc15378441"/>
      <w:bookmarkStart w:id="4" w:name="_Toc15396475"/>
      <w:bookmarkStart w:id="5" w:name="_Toc15306267"/>
    </w:p>
    <w:p w14:paraId="7A9E4E0F">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p>
    <w:p w14:paraId="57CF64B0">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p>
    <w:p w14:paraId="105E62D8">
      <w:pPr>
        <w:keepNext w:val="0"/>
        <w:keepLines w:val="0"/>
        <w:pageBreakBefore w:val="0"/>
        <w:widowControl w:val="0"/>
        <w:kinsoku/>
        <w:wordWrap/>
        <w:overflowPunct w:val="0"/>
        <w:topLinePunct/>
        <w:autoSpaceDE w:val="0"/>
        <w:autoSpaceDN w:val="0"/>
        <w:bidi w:val="0"/>
        <w:spacing w:beforeLines="0" w:afterLines="0" w:line="600" w:lineRule="exact"/>
        <w:jc w:val="center"/>
        <w:textAlignment w:val="auto"/>
        <w:rPr>
          <w:rFonts w:hint="eastAsia" w:ascii="方正小标宋简体" w:hAnsi="方正小标宋简体" w:eastAsia="方正小标宋简体"/>
          <w:color w:val="000000"/>
          <w:kern w:val="2"/>
          <w:sz w:val="72"/>
          <w:szCs w:val="24"/>
          <w:lang w:val="zh-CN"/>
        </w:rPr>
      </w:pPr>
    </w:p>
    <w:p w14:paraId="526F3B1E">
      <w:pPr>
        <w:keepNext w:val="0"/>
        <w:keepLines w:val="0"/>
        <w:pageBreakBefore w:val="0"/>
        <w:widowControl w:val="0"/>
        <w:kinsoku/>
        <w:wordWrap/>
        <w:overflowPunct w:val="0"/>
        <w:topLinePunct/>
        <w:autoSpaceDE w:val="0"/>
        <w:autoSpaceDN w:val="0"/>
        <w:bidi w:val="0"/>
        <w:adjustRightInd/>
        <w:spacing w:beforeLines="0" w:afterLines="0" w:line="1200" w:lineRule="exact"/>
        <w:jc w:val="center"/>
        <w:textAlignment w:val="auto"/>
        <w:outlineLvl w:val="9"/>
        <w:rPr>
          <w:rFonts w:hint="eastAsia" w:ascii="方正小标宋简体" w:hAnsi="方正小标宋简体" w:eastAsia="方正小标宋简体" w:cs="方正小标宋简体"/>
          <w:color w:val="000000"/>
          <w:kern w:val="2"/>
          <w:sz w:val="72"/>
          <w:szCs w:val="24"/>
          <w:lang w:val="zh-CN"/>
        </w:rPr>
      </w:pPr>
      <w:r>
        <w:rPr>
          <w:rFonts w:hint="eastAsia" w:ascii="方正小标宋简体" w:hAnsi="方正小标宋简体" w:eastAsia="方正小标宋简体" w:cs="方正小标宋简体"/>
          <w:color w:val="000000"/>
          <w:kern w:val="2"/>
          <w:sz w:val="72"/>
          <w:szCs w:val="24"/>
          <w:lang w:val="zh-CN"/>
        </w:rPr>
        <w:t>202</w:t>
      </w:r>
      <w:r>
        <w:rPr>
          <w:rFonts w:hint="eastAsia" w:ascii="方正小标宋简体" w:hAnsi="方正小标宋简体" w:eastAsia="方正小标宋简体" w:cs="方正小标宋简体"/>
          <w:color w:val="000000"/>
          <w:kern w:val="2"/>
          <w:sz w:val="72"/>
          <w:szCs w:val="24"/>
          <w:lang w:val="en-US" w:eastAsia="zh-CN"/>
        </w:rPr>
        <w:t>4</w:t>
      </w:r>
      <w:r>
        <w:rPr>
          <w:rFonts w:hint="eastAsia" w:ascii="方正小标宋简体" w:hAnsi="方正小标宋简体" w:eastAsia="方正小标宋简体" w:cs="方正小标宋简体"/>
          <w:color w:val="000000"/>
          <w:kern w:val="2"/>
          <w:sz w:val="72"/>
          <w:szCs w:val="24"/>
          <w:lang w:val="zh-CN"/>
        </w:rPr>
        <w:t>年度</w:t>
      </w:r>
    </w:p>
    <w:p w14:paraId="5099EEDF">
      <w:pPr>
        <w:keepNext w:val="0"/>
        <w:keepLines w:val="0"/>
        <w:pageBreakBefore w:val="0"/>
        <w:widowControl w:val="0"/>
        <w:kinsoku/>
        <w:wordWrap/>
        <w:overflowPunct w:val="0"/>
        <w:topLinePunct/>
        <w:autoSpaceDE w:val="0"/>
        <w:autoSpaceDN w:val="0"/>
        <w:bidi w:val="0"/>
        <w:adjustRightInd/>
        <w:snapToGrid w:val="0"/>
        <w:spacing w:beforeLines="0" w:afterLines="0" w:line="1200" w:lineRule="exact"/>
        <w:jc w:val="center"/>
        <w:textAlignment w:val="auto"/>
        <w:outlineLvl w:val="9"/>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广元市昭化区乡村振兴局</w:t>
      </w:r>
    </w:p>
    <w:p w14:paraId="6C0B7881">
      <w:pPr>
        <w:keepNext w:val="0"/>
        <w:keepLines w:val="0"/>
        <w:pageBreakBefore w:val="0"/>
        <w:widowControl w:val="0"/>
        <w:kinsoku/>
        <w:wordWrap/>
        <w:overflowPunct w:val="0"/>
        <w:topLinePunct/>
        <w:autoSpaceDE w:val="0"/>
        <w:autoSpaceDN w:val="0"/>
        <w:bidi w:val="0"/>
        <w:adjustRightInd/>
        <w:snapToGrid w:val="0"/>
        <w:spacing w:beforeLines="0" w:afterLines="0" w:line="1200" w:lineRule="exact"/>
        <w:jc w:val="center"/>
        <w:textAlignment w:val="auto"/>
        <w:outlineLvl w:val="9"/>
        <w:rPr>
          <w:rFonts w:hint="eastAsia" w:ascii="方正小标宋简体" w:hAnsi="方正小标宋简体" w:eastAsia="方正小标宋简体" w:cs="方正小标宋简体"/>
          <w:color w:val="000000"/>
          <w:kern w:val="2"/>
          <w:sz w:val="72"/>
          <w:szCs w:val="24"/>
          <w:lang w:val="zh-CN"/>
        </w:rPr>
      </w:pPr>
      <w:r>
        <w:rPr>
          <w:rFonts w:hint="eastAsia" w:ascii="方正小标宋简体" w:hAnsi="方正小标宋简体" w:eastAsia="方正小标宋简体" w:cs="方正小标宋简体"/>
          <w:color w:val="000000"/>
          <w:kern w:val="2"/>
          <w:sz w:val="72"/>
          <w:szCs w:val="24"/>
          <w:lang w:val="zh-CN"/>
        </w:rPr>
        <w:t>部门决算</w:t>
      </w:r>
    </w:p>
    <w:p w14:paraId="4490916C">
      <w:pPr>
        <w:keepNext w:val="0"/>
        <w:keepLines w:val="0"/>
        <w:pageBreakBefore w:val="0"/>
        <w:widowControl w:val="0"/>
        <w:kinsoku/>
        <w:wordWrap/>
        <w:overflowPunct w:val="0"/>
        <w:topLinePunct/>
        <w:autoSpaceDE w:val="0"/>
        <w:autoSpaceDN w:val="0"/>
        <w:bidi w:val="0"/>
        <w:spacing w:beforeLines="0" w:afterLines="0" w:line="360" w:lineRule="auto"/>
        <w:jc w:val="center"/>
        <w:textAlignment w:val="auto"/>
        <w:rPr>
          <w:rFonts w:hint="eastAsia" w:ascii="黑体" w:hAnsi="黑体" w:eastAsia="黑体"/>
          <w:color w:val="000000"/>
          <w:kern w:val="2"/>
          <w:sz w:val="72"/>
          <w:szCs w:val="24"/>
          <w:lang w:val="zh-CN"/>
        </w:rPr>
      </w:pPr>
    </w:p>
    <w:p w14:paraId="7723DE8B">
      <w:pPr>
        <w:keepNext w:val="0"/>
        <w:keepLines w:val="0"/>
        <w:pageBreakBefore w:val="0"/>
        <w:widowControl w:val="0"/>
        <w:kinsoku/>
        <w:wordWrap/>
        <w:overflowPunct w:val="0"/>
        <w:topLinePunct/>
        <w:autoSpaceDE w:val="0"/>
        <w:autoSpaceDN w:val="0"/>
        <w:bidi w:val="0"/>
        <w:adjustRightInd/>
        <w:snapToGrid w:val="0"/>
        <w:spacing w:beforeLines="0" w:afterLines="0" w:line="360" w:lineRule="auto"/>
        <w:jc w:val="center"/>
        <w:textAlignment w:val="auto"/>
        <w:outlineLvl w:val="9"/>
        <w:rPr>
          <w:rFonts w:hint="eastAsia" w:ascii="方正小标宋简体" w:hAnsi="宋体" w:eastAsia="方正小标宋简体"/>
          <w:sz w:val="52"/>
          <w:szCs w:val="24"/>
        </w:rPr>
      </w:pPr>
    </w:p>
    <w:p w14:paraId="48E7EA54">
      <w:pPr>
        <w:keepNext w:val="0"/>
        <w:keepLines w:val="0"/>
        <w:pageBreakBefore w:val="0"/>
        <w:widowControl w:val="0"/>
        <w:kinsoku/>
        <w:wordWrap/>
        <w:overflowPunct w:val="0"/>
        <w:topLinePunct/>
        <w:autoSpaceDE w:val="0"/>
        <w:autoSpaceDN w:val="0"/>
        <w:bidi w:val="0"/>
        <w:adjustRightInd/>
        <w:snapToGrid/>
        <w:spacing w:line="600" w:lineRule="exact"/>
        <w:jc w:val="center"/>
        <w:textAlignment w:val="auto"/>
        <w:outlineLvl w:val="9"/>
        <w:rPr>
          <w:rFonts w:ascii="Times New Roman" w:hAnsi="Times New Roman" w:eastAsia="方正小标宋简体"/>
          <w:color w:val="auto"/>
          <w:sz w:val="72"/>
          <w:szCs w:val="72"/>
          <w:highlight w:val="none"/>
        </w:rPr>
      </w:pPr>
    </w:p>
    <w:p w14:paraId="6518DC03">
      <w:pPr>
        <w:pStyle w:val="21"/>
        <w:keepNext w:val="0"/>
        <w:keepLines w:val="0"/>
        <w:pageBreakBefore w:val="0"/>
        <w:widowControl w:val="0"/>
        <w:kinsoku/>
        <w:wordWrap/>
        <w:overflowPunct w:val="0"/>
        <w:topLinePunct/>
        <w:autoSpaceDE w:val="0"/>
        <w:autoSpaceDN w:val="0"/>
        <w:bidi w:val="0"/>
        <w:textAlignment w:val="auto"/>
        <w:rPr>
          <w:rFonts w:ascii="Times New Roman" w:hAnsi="Times New Roman"/>
        </w:rPr>
        <w:sectPr>
          <w:headerReference r:id="rId3" w:type="default"/>
          <w:footerReference r:id="rId4" w:type="default"/>
          <w:pgSz w:w="11906" w:h="16838"/>
          <w:pgMar w:top="2098" w:right="1474" w:bottom="1984" w:left="1587" w:header="851" w:footer="1304" w:gutter="0"/>
          <w:pgNumType w:fmt="decimal" w:start="1"/>
          <w:cols w:space="0" w:num="1"/>
          <w:titlePg/>
          <w:rtlGutter w:val="0"/>
          <w:docGrid w:type="lines" w:linePitch="312" w:charSpace="0"/>
        </w:sectPr>
      </w:pPr>
    </w:p>
    <w:bookmarkEnd w:id="0"/>
    <w:bookmarkEnd w:id="1"/>
    <w:bookmarkEnd w:id="2"/>
    <w:bookmarkEnd w:id="3"/>
    <w:bookmarkEnd w:id="4"/>
    <w:bookmarkEnd w:id="5"/>
    <w:p w14:paraId="3D90721E">
      <w:pPr>
        <w:keepNext w:val="0"/>
        <w:keepLines w:val="0"/>
        <w:pageBreakBefore w:val="0"/>
        <w:widowControl w:val="0"/>
        <w:kinsoku/>
        <w:wordWrap/>
        <w:overflowPunct w:val="0"/>
        <w:topLinePunct/>
        <w:autoSpaceDE w:val="0"/>
        <w:autoSpaceDN w:val="0"/>
        <w:bidi w:val="0"/>
        <w:jc w:val="center"/>
        <w:textAlignment w:val="auto"/>
        <w:rPr>
          <w:rFonts w:hint="eastAsia" w:ascii="方正小标宋简体" w:hAnsi="方正小标宋简体" w:eastAsia="方正小标宋简体" w:cs="方正小标宋简体"/>
          <w:color w:val="auto"/>
          <w:sz w:val="48"/>
          <w:szCs w:val="48"/>
          <w:highlight w:val="none"/>
        </w:rPr>
      </w:pPr>
      <w:r>
        <w:rPr>
          <w:rFonts w:hint="eastAsia" w:ascii="方正小标宋简体" w:hAnsi="方正小标宋简体" w:eastAsia="方正小标宋简体" w:cs="方正小标宋简体"/>
          <w:color w:val="auto"/>
          <w:sz w:val="48"/>
          <w:szCs w:val="48"/>
          <w:highlight w:val="none"/>
        </w:rPr>
        <w:t>目</w:t>
      </w:r>
      <w:r>
        <w:rPr>
          <w:rFonts w:hint="eastAsia" w:ascii="方正小标宋简体" w:hAnsi="方正小标宋简体" w:eastAsia="方正小标宋简体" w:cs="方正小标宋简体"/>
          <w:color w:val="auto"/>
          <w:sz w:val="48"/>
          <w:szCs w:val="48"/>
          <w:highlight w:val="none"/>
          <w:lang w:val="en-US" w:eastAsia="zh-CN"/>
        </w:rPr>
        <w:t xml:space="preserve">     </w:t>
      </w:r>
      <w:r>
        <w:rPr>
          <w:rFonts w:hint="eastAsia" w:ascii="方正小标宋简体" w:hAnsi="方正小标宋简体" w:eastAsia="方正小标宋简体" w:cs="方正小标宋简体"/>
          <w:color w:val="auto"/>
          <w:sz w:val="48"/>
          <w:szCs w:val="48"/>
          <w:highlight w:val="none"/>
        </w:rPr>
        <w:t>录</w:t>
      </w:r>
    </w:p>
    <w:p w14:paraId="7A15A18D">
      <w:pPr>
        <w:pStyle w:val="12"/>
        <w:keepNext w:val="0"/>
        <w:keepLines w:val="0"/>
        <w:pageBreakBefore w:val="0"/>
        <w:widowControl w:val="0"/>
        <w:kinsoku/>
        <w:wordWrap/>
        <w:overflowPunct w:val="0"/>
        <w:topLinePunct/>
        <w:autoSpaceDE w:val="0"/>
        <w:autoSpaceDN w:val="0"/>
        <w:bidi w:val="0"/>
        <w:adjustRightInd/>
        <w:snapToGrid/>
        <w:spacing w:before="313" w:beforeLines="100" w:after="625" w:afterLines="200"/>
        <w:textAlignment w:val="auto"/>
        <w:rPr>
          <w:rFonts w:hint="eastAsia" w:ascii="楷体_GB2312" w:hAnsi="楷体_GB2312" w:eastAsia="楷体_GB2312" w:cs="楷体_GB2312"/>
          <w:color w:val="auto"/>
          <w:sz w:val="32"/>
          <w:szCs w:val="32"/>
          <w:highlight w:val="yellow"/>
        </w:rPr>
      </w:pPr>
      <w:r>
        <w:rPr>
          <w:rFonts w:hint="eastAsia" w:ascii="楷体_GB2312" w:hAnsi="楷体_GB2312" w:eastAsia="楷体_GB2312" w:cs="楷体_GB2312"/>
          <w:color w:val="auto"/>
          <w:kern w:val="2"/>
          <w:sz w:val="32"/>
          <w:szCs w:val="32"/>
        </w:rPr>
        <w:t>公开时间：202</w:t>
      </w:r>
      <w:r>
        <w:rPr>
          <w:rFonts w:hint="eastAsia" w:ascii="楷体_GB2312" w:hAnsi="楷体_GB2312" w:eastAsia="楷体_GB2312" w:cs="楷体_GB2312"/>
          <w:color w:val="auto"/>
          <w:kern w:val="2"/>
          <w:sz w:val="32"/>
          <w:szCs w:val="32"/>
          <w:lang w:val="en-US" w:eastAsia="zh-CN"/>
        </w:rPr>
        <w:t>5</w:t>
      </w:r>
      <w:r>
        <w:rPr>
          <w:rFonts w:hint="eastAsia" w:ascii="楷体_GB2312" w:hAnsi="楷体_GB2312" w:eastAsia="楷体_GB2312" w:cs="楷体_GB2312"/>
          <w:color w:val="auto"/>
          <w:kern w:val="2"/>
          <w:sz w:val="32"/>
          <w:szCs w:val="32"/>
        </w:rPr>
        <w:t>年</w:t>
      </w:r>
      <w:r>
        <w:rPr>
          <w:rFonts w:hint="eastAsia" w:ascii="楷体_GB2312" w:hAnsi="楷体_GB2312" w:eastAsia="楷体_GB2312" w:cs="楷体_GB2312"/>
          <w:color w:val="auto"/>
          <w:kern w:val="2"/>
          <w:sz w:val="32"/>
          <w:szCs w:val="32"/>
          <w:lang w:val="en-US" w:eastAsia="zh-CN"/>
        </w:rPr>
        <w:t>9</w:t>
      </w:r>
      <w:r>
        <w:rPr>
          <w:rFonts w:hint="eastAsia" w:ascii="楷体_GB2312" w:hAnsi="楷体_GB2312" w:eastAsia="楷体_GB2312" w:cs="楷体_GB2312"/>
          <w:color w:val="auto"/>
          <w:kern w:val="2"/>
          <w:sz w:val="32"/>
          <w:szCs w:val="32"/>
        </w:rPr>
        <w:t>月</w:t>
      </w:r>
      <w:r>
        <w:rPr>
          <w:rFonts w:hint="eastAsia" w:ascii="楷体_GB2312" w:hAnsi="楷体_GB2312" w:eastAsia="楷体_GB2312" w:cs="楷体_GB2312"/>
          <w:color w:val="auto"/>
          <w:kern w:val="2"/>
          <w:sz w:val="32"/>
          <w:szCs w:val="32"/>
          <w:lang w:val="en-US" w:eastAsia="zh-CN"/>
        </w:rPr>
        <w:t>29</w:t>
      </w:r>
      <w:r>
        <w:rPr>
          <w:rFonts w:hint="eastAsia" w:ascii="楷体_GB2312" w:hAnsi="楷体_GB2312" w:eastAsia="楷体_GB2312" w:cs="楷体_GB2312"/>
          <w:color w:val="auto"/>
          <w:kern w:val="2"/>
          <w:sz w:val="32"/>
          <w:szCs w:val="32"/>
        </w:rPr>
        <w:t>日</w:t>
      </w:r>
    </w:p>
    <w:sdt>
      <w:sdtPr>
        <w:rPr>
          <w:rFonts w:ascii="宋体" w:hAnsi="宋体" w:eastAsia="宋体" w:cs="Times New Roman"/>
          <w:kern w:val="2"/>
          <w:sz w:val="21"/>
          <w:szCs w:val="24"/>
          <w:lang w:val="en-US" w:eastAsia="zh-CN" w:bidi="ar-SA"/>
        </w:rPr>
        <w:id w:val="147467725"/>
        <w15:color w:val="DBDBDB"/>
        <w:docPartObj>
          <w:docPartGallery w:val="Table of Contents"/>
          <w:docPartUnique/>
        </w:docPartObj>
      </w:sdtPr>
      <w:sdtEndPr>
        <w:rPr>
          <w:rFonts w:hint="eastAsia" w:ascii="Times New Roman" w:hAnsi="Times New Roman" w:eastAsia="仿宋_GB2312" w:cs="仿宋_GB2312"/>
          <w:bCs/>
          <w:color w:val="auto"/>
          <w:kern w:val="2"/>
          <w:sz w:val="21"/>
          <w:szCs w:val="32"/>
          <w:highlight w:val="none"/>
          <w:lang w:val="en-US" w:eastAsia="zh-CN" w:bidi="ar-SA"/>
        </w:rPr>
      </w:sdtEndPr>
      <w:sdtContent>
        <w:p w14:paraId="6FD496EB">
          <w:pPr>
            <w:spacing w:before="0" w:beforeLines="0" w:after="0" w:afterLines="0" w:line="240" w:lineRule="auto"/>
            <w:ind w:left="0" w:leftChars="0" w:right="0" w:rightChars="0" w:firstLine="0" w:firstLineChars="0"/>
            <w:jc w:val="center"/>
          </w:pPr>
        </w:p>
        <w:p w14:paraId="08D43787">
          <w:pPr>
            <w:pStyle w:val="12"/>
            <w:tabs>
              <w:tab w:val="right" w:leader="dot" w:pos="8845"/>
              <w:tab w:val="clear" w:pos="8296"/>
            </w:tabs>
            <w:rPr>
              <w:sz w:val="24"/>
              <w:szCs w:val="24"/>
            </w:rPr>
          </w:pPr>
          <w:r>
            <w:rPr>
              <w:rFonts w:hint="eastAsia" w:ascii="Times New Roman" w:hAnsi="Times New Roman" w:eastAsia="仿宋_GB2312" w:cs="仿宋_GB2312"/>
              <w:b/>
              <w:bCs/>
              <w:color w:val="auto"/>
              <w:sz w:val="32"/>
              <w:szCs w:val="32"/>
              <w:highlight w:val="none"/>
              <w:lang w:eastAsia="zh-CN"/>
            </w:rPr>
            <w:fldChar w:fldCharType="begin"/>
          </w:r>
          <w:r>
            <w:rPr>
              <w:rFonts w:hint="eastAsia" w:ascii="Times New Roman" w:hAnsi="Times New Roman" w:eastAsia="仿宋_GB2312" w:cs="仿宋_GB2312"/>
              <w:b/>
              <w:bCs/>
              <w:color w:val="auto"/>
              <w:sz w:val="32"/>
              <w:szCs w:val="32"/>
              <w:highlight w:val="none"/>
              <w:lang w:eastAsia="zh-CN"/>
            </w:rPr>
            <w:instrText xml:space="preserve">TOC \o "1-3" \h \u</w:instrText>
          </w:r>
          <w:r>
            <w:rPr>
              <w:rFonts w:hint="eastAsia" w:ascii="Times New Roman" w:hAnsi="Times New Roman" w:eastAsia="仿宋_GB2312" w:cs="仿宋_GB2312"/>
              <w:b/>
              <w:bCs/>
              <w:color w:val="auto"/>
              <w:sz w:val="32"/>
              <w:szCs w:val="32"/>
              <w:highlight w:val="none"/>
              <w:lang w:eastAsia="zh-CN"/>
            </w:rPr>
            <w:fldChar w:fldCharType="separate"/>
          </w:r>
          <w:r>
            <w:fldChar w:fldCharType="begin"/>
          </w:r>
          <w:r>
            <w:instrText xml:space="preserve"> HYPERLINK \l "_Toc25410" </w:instrText>
          </w:r>
          <w:r>
            <w:fldChar w:fldCharType="separate"/>
          </w:r>
          <w:r>
            <w:rPr>
              <w:rFonts w:hint="eastAsia" w:ascii="方正小标宋简体" w:hAnsi="方正小标宋简体" w:eastAsia="方正小标宋简体" w:cs="方正小标宋简体"/>
              <w:sz w:val="24"/>
              <w:szCs w:val="24"/>
              <w:highlight w:val="none"/>
            </w:rPr>
            <w:t>第一部分</w:t>
          </w:r>
          <w:r>
            <w:rPr>
              <w:rFonts w:hint="eastAsia" w:ascii="方正小标宋简体" w:hAnsi="方正小标宋简体" w:eastAsia="方正小标宋简体" w:cs="方正小标宋简体"/>
              <w:sz w:val="24"/>
              <w:szCs w:val="24"/>
              <w:highlight w:val="none"/>
              <w:lang w:val="en-US" w:eastAsia="zh-CN"/>
            </w:rPr>
            <w:t xml:space="preserve"> </w:t>
          </w:r>
          <w:r>
            <w:rPr>
              <w:rFonts w:hint="eastAsia" w:ascii="方正小标宋简体" w:hAnsi="方正小标宋简体" w:eastAsia="方正小标宋简体" w:cs="方正小标宋简体"/>
              <w:sz w:val="24"/>
              <w:szCs w:val="24"/>
              <w:highlight w:val="none"/>
            </w:rPr>
            <w:t xml:space="preserve"> 部门概况</w:t>
          </w:r>
          <w:r>
            <w:rPr>
              <w:sz w:val="24"/>
              <w:szCs w:val="24"/>
            </w:rPr>
            <w:tab/>
          </w:r>
          <w:r>
            <w:rPr>
              <w:sz w:val="24"/>
              <w:szCs w:val="24"/>
            </w:rPr>
            <w:fldChar w:fldCharType="begin"/>
          </w:r>
          <w:r>
            <w:rPr>
              <w:sz w:val="24"/>
              <w:szCs w:val="24"/>
            </w:rPr>
            <w:instrText xml:space="preserve"> PAGEREF _Toc25410 \h </w:instrText>
          </w:r>
          <w:r>
            <w:rPr>
              <w:sz w:val="24"/>
              <w:szCs w:val="24"/>
            </w:rPr>
            <w:fldChar w:fldCharType="separate"/>
          </w:r>
          <w:r>
            <w:rPr>
              <w:sz w:val="24"/>
              <w:szCs w:val="24"/>
            </w:rPr>
            <w:t>1</w:t>
          </w:r>
          <w:r>
            <w:rPr>
              <w:sz w:val="24"/>
              <w:szCs w:val="24"/>
            </w:rPr>
            <w:fldChar w:fldCharType="end"/>
          </w:r>
          <w:r>
            <w:rPr>
              <w:sz w:val="24"/>
              <w:szCs w:val="24"/>
            </w:rPr>
            <w:fldChar w:fldCharType="end"/>
          </w:r>
        </w:p>
        <w:p w14:paraId="5A014524">
          <w:pPr>
            <w:pStyle w:val="14"/>
            <w:tabs>
              <w:tab w:val="right" w:leader="dot" w:pos="8845"/>
              <w:tab w:val="clear" w:pos="8296"/>
            </w:tabs>
            <w:rPr>
              <w:sz w:val="24"/>
              <w:szCs w:val="24"/>
            </w:rPr>
          </w:pPr>
          <w:r>
            <w:fldChar w:fldCharType="begin"/>
          </w:r>
          <w:r>
            <w:instrText xml:space="preserve"> HYPERLINK \l "_Toc24605" </w:instrText>
          </w:r>
          <w:r>
            <w:fldChar w:fldCharType="separate"/>
          </w:r>
          <w:r>
            <w:rPr>
              <w:rFonts w:hint="eastAsia" w:eastAsia="黑体"/>
              <w:sz w:val="24"/>
              <w:szCs w:val="24"/>
              <w:highlight w:val="none"/>
              <w:lang w:val="en-US" w:eastAsia="zh-CN"/>
            </w:rPr>
            <w:t>一、</w:t>
          </w:r>
          <w:r>
            <w:rPr>
              <w:rFonts w:hint="eastAsia" w:ascii="Times New Roman" w:hAnsi="Times New Roman" w:eastAsia="黑体"/>
              <w:sz w:val="24"/>
              <w:szCs w:val="24"/>
              <w:highlight w:val="none"/>
              <w:lang w:eastAsia="zh-CN"/>
            </w:rPr>
            <w:t>部门职责</w:t>
          </w:r>
          <w:r>
            <w:rPr>
              <w:sz w:val="24"/>
              <w:szCs w:val="24"/>
            </w:rPr>
            <w:tab/>
          </w:r>
          <w:r>
            <w:rPr>
              <w:sz w:val="24"/>
              <w:szCs w:val="24"/>
            </w:rPr>
            <w:fldChar w:fldCharType="begin"/>
          </w:r>
          <w:r>
            <w:rPr>
              <w:sz w:val="24"/>
              <w:szCs w:val="24"/>
            </w:rPr>
            <w:instrText xml:space="preserve"> PAGEREF _Toc24605 \h </w:instrText>
          </w:r>
          <w:r>
            <w:rPr>
              <w:sz w:val="24"/>
              <w:szCs w:val="24"/>
            </w:rPr>
            <w:fldChar w:fldCharType="separate"/>
          </w:r>
          <w:r>
            <w:rPr>
              <w:sz w:val="24"/>
              <w:szCs w:val="24"/>
            </w:rPr>
            <w:t>1</w:t>
          </w:r>
          <w:r>
            <w:rPr>
              <w:sz w:val="24"/>
              <w:szCs w:val="24"/>
            </w:rPr>
            <w:fldChar w:fldCharType="end"/>
          </w:r>
          <w:r>
            <w:rPr>
              <w:sz w:val="24"/>
              <w:szCs w:val="24"/>
            </w:rPr>
            <w:fldChar w:fldCharType="end"/>
          </w:r>
        </w:p>
        <w:p w14:paraId="0DC74F3B">
          <w:pPr>
            <w:pStyle w:val="14"/>
            <w:tabs>
              <w:tab w:val="right" w:leader="dot" w:pos="8845"/>
              <w:tab w:val="clear" w:pos="8296"/>
            </w:tabs>
            <w:rPr>
              <w:sz w:val="24"/>
              <w:szCs w:val="24"/>
            </w:rPr>
          </w:pPr>
          <w:r>
            <w:fldChar w:fldCharType="begin"/>
          </w:r>
          <w:r>
            <w:instrText xml:space="preserve"> HYPERLINK \l "_Toc20806" </w:instrText>
          </w:r>
          <w:r>
            <w:fldChar w:fldCharType="separate"/>
          </w:r>
          <w:r>
            <w:rPr>
              <w:rFonts w:hint="eastAsia" w:ascii="Times New Roman" w:hAnsi="Times New Roman" w:eastAsia="黑体" w:cs="Times New Roman"/>
              <w:sz w:val="24"/>
              <w:szCs w:val="24"/>
              <w:highlight w:val="none"/>
              <w:lang w:val="en-US" w:eastAsia="zh-CN"/>
            </w:rPr>
            <w:t>二、机构设置</w:t>
          </w:r>
          <w:r>
            <w:rPr>
              <w:sz w:val="24"/>
              <w:szCs w:val="24"/>
            </w:rPr>
            <w:tab/>
          </w:r>
          <w:r>
            <w:rPr>
              <w:sz w:val="24"/>
              <w:szCs w:val="24"/>
            </w:rPr>
            <w:fldChar w:fldCharType="begin"/>
          </w:r>
          <w:r>
            <w:rPr>
              <w:sz w:val="24"/>
              <w:szCs w:val="24"/>
            </w:rPr>
            <w:instrText xml:space="preserve"> PAGEREF _Toc20806 \h </w:instrText>
          </w:r>
          <w:r>
            <w:rPr>
              <w:sz w:val="24"/>
              <w:szCs w:val="24"/>
            </w:rPr>
            <w:fldChar w:fldCharType="separate"/>
          </w:r>
          <w:r>
            <w:rPr>
              <w:sz w:val="24"/>
              <w:szCs w:val="24"/>
            </w:rPr>
            <w:t>6</w:t>
          </w:r>
          <w:r>
            <w:rPr>
              <w:sz w:val="24"/>
              <w:szCs w:val="24"/>
            </w:rPr>
            <w:fldChar w:fldCharType="end"/>
          </w:r>
          <w:r>
            <w:rPr>
              <w:sz w:val="24"/>
              <w:szCs w:val="24"/>
            </w:rPr>
            <w:fldChar w:fldCharType="end"/>
          </w:r>
        </w:p>
        <w:p w14:paraId="51EC067C">
          <w:pPr>
            <w:pStyle w:val="12"/>
            <w:tabs>
              <w:tab w:val="right" w:leader="dot" w:pos="8845"/>
              <w:tab w:val="clear" w:pos="8296"/>
            </w:tabs>
            <w:rPr>
              <w:sz w:val="24"/>
              <w:szCs w:val="24"/>
            </w:rPr>
          </w:pPr>
          <w:r>
            <w:fldChar w:fldCharType="begin"/>
          </w:r>
          <w:r>
            <w:instrText xml:space="preserve"> HYPERLINK \l "_Toc28626" </w:instrText>
          </w:r>
          <w:r>
            <w:fldChar w:fldCharType="separate"/>
          </w:r>
          <w:r>
            <w:rPr>
              <w:rFonts w:hint="eastAsia" w:ascii="方正小标宋简体" w:hAnsi="方正小标宋简体" w:eastAsia="方正小标宋简体" w:cs="方正小标宋简体"/>
              <w:sz w:val="24"/>
              <w:szCs w:val="24"/>
              <w:highlight w:val="none"/>
            </w:rPr>
            <w:t>第二部分</w:t>
          </w:r>
          <w:r>
            <w:rPr>
              <w:rFonts w:hint="eastAsia" w:ascii="方正小标宋简体" w:hAnsi="方正小标宋简体" w:eastAsia="方正小标宋简体" w:cs="方正小标宋简体"/>
              <w:sz w:val="24"/>
              <w:szCs w:val="24"/>
              <w:highlight w:val="none"/>
              <w:lang w:val="en-US" w:eastAsia="zh-CN"/>
            </w:rPr>
            <w:t xml:space="preserve"> </w:t>
          </w:r>
          <w:r>
            <w:rPr>
              <w:rFonts w:hint="eastAsia" w:ascii="方正小标宋简体" w:hAnsi="方正小标宋简体" w:eastAsia="方正小标宋简体" w:cs="方正小标宋简体"/>
              <w:sz w:val="24"/>
              <w:szCs w:val="24"/>
              <w:highlight w:val="none"/>
            </w:rPr>
            <w:t xml:space="preserve"> </w:t>
          </w:r>
          <w:r>
            <w:rPr>
              <w:rFonts w:hint="eastAsia" w:ascii="方正小标宋简体" w:hAnsi="方正小标宋简体" w:eastAsia="方正小标宋简体" w:cs="方正小标宋简体"/>
              <w:sz w:val="24"/>
              <w:szCs w:val="24"/>
              <w:highlight w:val="none"/>
              <w:lang w:val="en-US" w:eastAsia="zh-CN"/>
            </w:rPr>
            <w:t>2024年度</w:t>
          </w:r>
          <w:r>
            <w:rPr>
              <w:rFonts w:hint="eastAsia" w:ascii="方正小标宋简体" w:hAnsi="方正小标宋简体" w:eastAsia="方正小标宋简体" w:cs="方正小标宋简体"/>
              <w:sz w:val="24"/>
              <w:szCs w:val="24"/>
              <w:highlight w:val="none"/>
            </w:rPr>
            <w:t>部门决算情况说明</w:t>
          </w:r>
          <w:r>
            <w:rPr>
              <w:sz w:val="24"/>
              <w:szCs w:val="24"/>
            </w:rPr>
            <w:tab/>
          </w:r>
          <w:r>
            <w:rPr>
              <w:sz w:val="24"/>
              <w:szCs w:val="24"/>
            </w:rPr>
            <w:fldChar w:fldCharType="begin"/>
          </w:r>
          <w:r>
            <w:rPr>
              <w:sz w:val="24"/>
              <w:szCs w:val="24"/>
            </w:rPr>
            <w:instrText xml:space="preserve"> PAGEREF _Toc28626 \h </w:instrText>
          </w:r>
          <w:r>
            <w:rPr>
              <w:sz w:val="24"/>
              <w:szCs w:val="24"/>
            </w:rPr>
            <w:fldChar w:fldCharType="separate"/>
          </w:r>
          <w:r>
            <w:rPr>
              <w:sz w:val="24"/>
              <w:szCs w:val="24"/>
            </w:rPr>
            <w:t>8</w:t>
          </w:r>
          <w:r>
            <w:rPr>
              <w:sz w:val="24"/>
              <w:szCs w:val="24"/>
            </w:rPr>
            <w:fldChar w:fldCharType="end"/>
          </w:r>
          <w:r>
            <w:rPr>
              <w:sz w:val="24"/>
              <w:szCs w:val="24"/>
            </w:rPr>
            <w:fldChar w:fldCharType="end"/>
          </w:r>
        </w:p>
        <w:p w14:paraId="680EA356">
          <w:pPr>
            <w:pStyle w:val="14"/>
            <w:tabs>
              <w:tab w:val="right" w:leader="dot" w:pos="8845"/>
              <w:tab w:val="clear" w:pos="8296"/>
            </w:tabs>
            <w:rPr>
              <w:sz w:val="24"/>
              <w:szCs w:val="24"/>
            </w:rPr>
          </w:pPr>
          <w:r>
            <w:fldChar w:fldCharType="begin"/>
          </w:r>
          <w:r>
            <w:instrText xml:space="preserve"> HYPERLINK \l "_Toc650" </w:instrText>
          </w:r>
          <w:r>
            <w:fldChar w:fldCharType="separate"/>
          </w:r>
          <w:r>
            <w:rPr>
              <w:rFonts w:hint="eastAsia" w:ascii="Times New Roman" w:hAnsi="Times New Roman" w:eastAsia="黑体"/>
              <w:sz w:val="24"/>
              <w:szCs w:val="24"/>
              <w:highlight w:val="none"/>
              <w:lang w:eastAsia="zh-CN"/>
            </w:rPr>
            <w:t>一、</w:t>
          </w:r>
          <w:r>
            <w:rPr>
              <w:rFonts w:hint="eastAsia" w:ascii="Times New Roman" w:hAnsi="Times New Roman" w:eastAsia="黑体"/>
              <w:sz w:val="24"/>
              <w:szCs w:val="24"/>
              <w:highlight w:val="none"/>
            </w:rPr>
            <w:t>收入支出决算总体情况说明</w:t>
          </w:r>
          <w:r>
            <w:rPr>
              <w:sz w:val="24"/>
              <w:szCs w:val="24"/>
            </w:rPr>
            <w:tab/>
          </w:r>
          <w:r>
            <w:rPr>
              <w:sz w:val="24"/>
              <w:szCs w:val="24"/>
            </w:rPr>
            <w:fldChar w:fldCharType="begin"/>
          </w:r>
          <w:r>
            <w:rPr>
              <w:sz w:val="24"/>
              <w:szCs w:val="24"/>
            </w:rPr>
            <w:instrText xml:space="preserve"> PAGEREF _Toc650 \h </w:instrText>
          </w:r>
          <w:r>
            <w:rPr>
              <w:sz w:val="24"/>
              <w:szCs w:val="24"/>
            </w:rPr>
            <w:fldChar w:fldCharType="separate"/>
          </w:r>
          <w:r>
            <w:rPr>
              <w:sz w:val="24"/>
              <w:szCs w:val="24"/>
            </w:rPr>
            <w:t>8</w:t>
          </w:r>
          <w:r>
            <w:rPr>
              <w:sz w:val="24"/>
              <w:szCs w:val="24"/>
            </w:rPr>
            <w:fldChar w:fldCharType="end"/>
          </w:r>
          <w:r>
            <w:rPr>
              <w:sz w:val="24"/>
              <w:szCs w:val="24"/>
            </w:rPr>
            <w:fldChar w:fldCharType="end"/>
          </w:r>
        </w:p>
        <w:p w14:paraId="468B0E3A">
          <w:pPr>
            <w:pStyle w:val="14"/>
            <w:tabs>
              <w:tab w:val="right" w:leader="dot" w:pos="8845"/>
              <w:tab w:val="clear" w:pos="8296"/>
            </w:tabs>
            <w:rPr>
              <w:sz w:val="24"/>
              <w:szCs w:val="24"/>
            </w:rPr>
          </w:pPr>
          <w:r>
            <w:fldChar w:fldCharType="begin"/>
          </w:r>
          <w:r>
            <w:instrText xml:space="preserve"> HYPERLINK \l "_Toc29179" </w:instrText>
          </w:r>
          <w:r>
            <w:fldChar w:fldCharType="separate"/>
          </w:r>
          <w:r>
            <w:rPr>
              <w:rFonts w:hint="eastAsia" w:ascii="Times New Roman" w:hAnsi="Times New Roman" w:eastAsia="黑体" w:cs="Times New Roman"/>
              <w:sz w:val="24"/>
              <w:szCs w:val="24"/>
              <w:highlight w:val="none"/>
              <w:lang w:eastAsia="zh-CN"/>
            </w:rPr>
            <w:t>二、收入决算情况说明</w:t>
          </w:r>
          <w:r>
            <w:rPr>
              <w:sz w:val="24"/>
              <w:szCs w:val="24"/>
            </w:rPr>
            <w:tab/>
          </w:r>
          <w:r>
            <w:rPr>
              <w:sz w:val="24"/>
              <w:szCs w:val="24"/>
            </w:rPr>
            <w:fldChar w:fldCharType="begin"/>
          </w:r>
          <w:r>
            <w:rPr>
              <w:sz w:val="24"/>
              <w:szCs w:val="24"/>
            </w:rPr>
            <w:instrText xml:space="preserve"> PAGEREF _Toc29179 \h </w:instrText>
          </w:r>
          <w:r>
            <w:rPr>
              <w:sz w:val="24"/>
              <w:szCs w:val="24"/>
            </w:rPr>
            <w:fldChar w:fldCharType="separate"/>
          </w:r>
          <w:r>
            <w:rPr>
              <w:sz w:val="24"/>
              <w:szCs w:val="24"/>
            </w:rPr>
            <w:t>8</w:t>
          </w:r>
          <w:r>
            <w:rPr>
              <w:sz w:val="24"/>
              <w:szCs w:val="24"/>
            </w:rPr>
            <w:fldChar w:fldCharType="end"/>
          </w:r>
          <w:r>
            <w:rPr>
              <w:sz w:val="24"/>
              <w:szCs w:val="24"/>
            </w:rPr>
            <w:fldChar w:fldCharType="end"/>
          </w:r>
        </w:p>
        <w:p w14:paraId="6BF11179">
          <w:pPr>
            <w:pStyle w:val="14"/>
            <w:tabs>
              <w:tab w:val="right" w:leader="dot" w:pos="8845"/>
              <w:tab w:val="clear" w:pos="8296"/>
            </w:tabs>
            <w:rPr>
              <w:sz w:val="24"/>
              <w:szCs w:val="24"/>
            </w:rPr>
          </w:pPr>
          <w:r>
            <w:fldChar w:fldCharType="begin"/>
          </w:r>
          <w:r>
            <w:instrText xml:space="preserve"> HYPERLINK \l "_Toc5325" </w:instrText>
          </w:r>
          <w:r>
            <w:fldChar w:fldCharType="separate"/>
          </w:r>
          <w:r>
            <w:rPr>
              <w:rFonts w:hint="eastAsia" w:ascii="Times New Roman" w:hAnsi="Times New Roman" w:eastAsia="黑体" w:cs="Times New Roman"/>
              <w:sz w:val="24"/>
              <w:szCs w:val="24"/>
              <w:highlight w:val="none"/>
              <w:lang w:eastAsia="zh-CN"/>
            </w:rPr>
            <w:t>三、支出决算情况说明</w:t>
          </w:r>
          <w:r>
            <w:rPr>
              <w:sz w:val="24"/>
              <w:szCs w:val="24"/>
            </w:rPr>
            <w:tab/>
          </w:r>
          <w:r>
            <w:rPr>
              <w:sz w:val="24"/>
              <w:szCs w:val="24"/>
            </w:rPr>
            <w:fldChar w:fldCharType="begin"/>
          </w:r>
          <w:r>
            <w:rPr>
              <w:sz w:val="24"/>
              <w:szCs w:val="24"/>
            </w:rPr>
            <w:instrText xml:space="preserve"> PAGEREF _Toc5325 \h </w:instrText>
          </w:r>
          <w:r>
            <w:rPr>
              <w:sz w:val="24"/>
              <w:szCs w:val="24"/>
            </w:rPr>
            <w:fldChar w:fldCharType="separate"/>
          </w:r>
          <w:r>
            <w:rPr>
              <w:sz w:val="24"/>
              <w:szCs w:val="24"/>
            </w:rPr>
            <w:t>9</w:t>
          </w:r>
          <w:r>
            <w:rPr>
              <w:sz w:val="24"/>
              <w:szCs w:val="24"/>
            </w:rPr>
            <w:fldChar w:fldCharType="end"/>
          </w:r>
          <w:r>
            <w:rPr>
              <w:sz w:val="24"/>
              <w:szCs w:val="24"/>
            </w:rPr>
            <w:fldChar w:fldCharType="end"/>
          </w:r>
        </w:p>
        <w:p w14:paraId="6102F3CA">
          <w:pPr>
            <w:pStyle w:val="14"/>
            <w:tabs>
              <w:tab w:val="right" w:leader="dot" w:pos="8845"/>
              <w:tab w:val="clear" w:pos="8296"/>
            </w:tabs>
            <w:rPr>
              <w:sz w:val="24"/>
              <w:szCs w:val="24"/>
            </w:rPr>
          </w:pPr>
          <w:r>
            <w:fldChar w:fldCharType="begin"/>
          </w:r>
          <w:r>
            <w:instrText xml:space="preserve"> HYPERLINK \l "_Toc24856" </w:instrText>
          </w:r>
          <w:r>
            <w:fldChar w:fldCharType="separate"/>
          </w:r>
          <w:r>
            <w:rPr>
              <w:rFonts w:hint="eastAsia" w:ascii="Times New Roman" w:hAnsi="Times New Roman" w:eastAsia="黑体" w:cs="Times New Roman"/>
              <w:sz w:val="24"/>
              <w:szCs w:val="24"/>
              <w:highlight w:val="none"/>
              <w:lang w:eastAsia="zh-CN"/>
            </w:rPr>
            <w:t>四、财政拨款收入支出决算总体情况说明</w:t>
          </w:r>
          <w:r>
            <w:rPr>
              <w:sz w:val="24"/>
              <w:szCs w:val="24"/>
            </w:rPr>
            <w:tab/>
          </w:r>
          <w:r>
            <w:rPr>
              <w:sz w:val="24"/>
              <w:szCs w:val="24"/>
            </w:rPr>
            <w:fldChar w:fldCharType="begin"/>
          </w:r>
          <w:r>
            <w:rPr>
              <w:sz w:val="24"/>
              <w:szCs w:val="24"/>
            </w:rPr>
            <w:instrText xml:space="preserve"> PAGEREF _Toc24856 \h </w:instrText>
          </w:r>
          <w:r>
            <w:rPr>
              <w:sz w:val="24"/>
              <w:szCs w:val="24"/>
            </w:rPr>
            <w:fldChar w:fldCharType="separate"/>
          </w:r>
          <w:r>
            <w:rPr>
              <w:sz w:val="24"/>
              <w:szCs w:val="24"/>
            </w:rPr>
            <w:t>10</w:t>
          </w:r>
          <w:r>
            <w:rPr>
              <w:sz w:val="24"/>
              <w:szCs w:val="24"/>
            </w:rPr>
            <w:fldChar w:fldCharType="end"/>
          </w:r>
          <w:r>
            <w:rPr>
              <w:sz w:val="24"/>
              <w:szCs w:val="24"/>
            </w:rPr>
            <w:fldChar w:fldCharType="end"/>
          </w:r>
        </w:p>
        <w:p w14:paraId="319956EB">
          <w:pPr>
            <w:pStyle w:val="14"/>
            <w:tabs>
              <w:tab w:val="right" w:leader="dot" w:pos="8845"/>
              <w:tab w:val="clear" w:pos="8296"/>
            </w:tabs>
            <w:rPr>
              <w:sz w:val="24"/>
              <w:szCs w:val="24"/>
            </w:rPr>
          </w:pPr>
          <w:r>
            <w:fldChar w:fldCharType="begin"/>
          </w:r>
          <w:r>
            <w:instrText xml:space="preserve"> HYPERLINK \l "_Toc1374" </w:instrText>
          </w:r>
          <w:r>
            <w:fldChar w:fldCharType="separate"/>
          </w:r>
          <w:r>
            <w:rPr>
              <w:rFonts w:hint="eastAsia" w:ascii="Times New Roman" w:hAnsi="Times New Roman" w:eastAsia="黑体" w:cs="Times New Roman"/>
              <w:sz w:val="24"/>
              <w:szCs w:val="24"/>
              <w:highlight w:val="none"/>
              <w:lang w:eastAsia="zh-CN"/>
            </w:rPr>
            <w:t>五、一般公共预算财政拨款支出决算情况说明</w:t>
          </w:r>
          <w:r>
            <w:rPr>
              <w:sz w:val="24"/>
              <w:szCs w:val="24"/>
            </w:rPr>
            <w:tab/>
          </w:r>
          <w:r>
            <w:rPr>
              <w:sz w:val="24"/>
              <w:szCs w:val="24"/>
            </w:rPr>
            <w:fldChar w:fldCharType="begin"/>
          </w:r>
          <w:r>
            <w:rPr>
              <w:sz w:val="24"/>
              <w:szCs w:val="24"/>
            </w:rPr>
            <w:instrText xml:space="preserve"> PAGEREF _Toc1374 \h </w:instrText>
          </w:r>
          <w:r>
            <w:rPr>
              <w:sz w:val="24"/>
              <w:szCs w:val="24"/>
            </w:rPr>
            <w:fldChar w:fldCharType="separate"/>
          </w:r>
          <w:r>
            <w:rPr>
              <w:sz w:val="24"/>
              <w:szCs w:val="24"/>
            </w:rPr>
            <w:t>10</w:t>
          </w:r>
          <w:r>
            <w:rPr>
              <w:sz w:val="24"/>
              <w:szCs w:val="24"/>
            </w:rPr>
            <w:fldChar w:fldCharType="end"/>
          </w:r>
          <w:r>
            <w:rPr>
              <w:sz w:val="24"/>
              <w:szCs w:val="24"/>
            </w:rPr>
            <w:fldChar w:fldCharType="end"/>
          </w:r>
        </w:p>
        <w:p w14:paraId="2D3DA35F">
          <w:pPr>
            <w:pStyle w:val="14"/>
            <w:tabs>
              <w:tab w:val="right" w:leader="dot" w:pos="8845"/>
              <w:tab w:val="clear" w:pos="8296"/>
            </w:tabs>
            <w:rPr>
              <w:sz w:val="24"/>
              <w:szCs w:val="24"/>
            </w:rPr>
          </w:pPr>
          <w:r>
            <w:fldChar w:fldCharType="begin"/>
          </w:r>
          <w:r>
            <w:instrText xml:space="preserve"> HYPERLINK \l "_Toc18120" </w:instrText>
          </w:r>
          <w:r>
            <w:fldChar w:fldCharType="separate"/>
          </w:r>
          <w:r>
            <w:rPr>
              <w:rFonts w:hint="eastAsia" w:ascii="Times New Roman" w:hAnsi="Times New Roman" w:eastAsia="黑体"/>
              <w:sz w:val="24"/>
              <w:szCs w:val="24"/>
              <w:highlight w:val="none"/>
            </w:rPr>
            <w:t>六、一般公共预算财政拨款基本支出决算情况说明</w:t>
          </w:r>
          <w:r>
            <w:rPr>
              <w:sz w:val="24"/>
              <w:szCs w:val="24"/>
            </w:rPr>
            <w:tab/>
          </w:r>
          <w:r>
            <w:rPr>
              <w:sz w:val="24"/>
              <w:szCs w:val="24"/>
            </w:rPr>
            <w:fldChar w:fldCharType="begin"/>
          </w:r>
          <w:r>
            <w:rPr>
              <w:sz w:val="24"/>
              <w:szCs w:val="24"/>
            </w:rPr>
            <w:instrText xml:space="preserve"> PAGEREF _Toc18120 \h </w:instrText>
          </w:r>
          <w:r>
            <w:rPr>
              <w:sz w:val="24"/>
              <w:szCs w:val="24"/>
            </w:rPr>
            <w:fldChar w:fldCharType="separate"/>
          </w:r>
          <w:r>
            <w:rPr>
              <w:sz w:val="24"/>
              <w:szCs w:val="24"/>
            </w:rPr>
            <w:t>13</w:t>
          </w:r>
          <w:r>
            <w:rPr>
              <w:sz w:val="24"/>
              <w:szCs w:val="24"/>
            </w:rPr>
            <w:fldChar w:fldCharType="end"/>
          </w:r>
          <w:r>
            <w:rPr>
              <w:sz w:val="24"/>
              <w:szCs w:val="24"/>
            </w:rPr>
            <w:fldChar w:fldCharType="end"/>
          </w:r>
        </w:p>
        <w:p w14:paraId="4C806BB0">
          <w:pPr>
            <w:pStyle w:val="14"/>
            <w:tabs>
              <w:tab w:val="right" w:leader="dot" w:pos="8845"/>
              <w:tab w:val="clear" w:pos="8296"/>
            </w:tabs>
            <w:rPr>
              <w:sz w:val="24"/>
              <w:szCs w:val="24"/>
            </w:rPr>
          </w:pPr>
          <w:r>
            <w:fldChar w:fldCharType="begin"/>
          </w:r>
          <w:r>
            <w:instrText xml:space="preserve"> HYPERLINK \l "_Toc23238" </w:instrText>
          </w:r>
          <w:r>
            <w:fldChar w:fldCharType="separate"/>
          </w:r>
          <w:r>
            <w:rPr>
              <w:rFonts w:hint="eastAsia" w:ascii="Times New Roman" w:hAnsi="Times New Roman" w:eastAsia="黑体" w:cs="Times New Roman"/>
              <w:sz w:val="24"/>
              <w:szCs w:val="24"/>
              <w:highlight w:val="none"/>
            </w:rPr>
            <w:t>七、财政拨款“三公”经费支出决算情况说明</w:t>
          </w:r>
          <w:r>
            <w:rPr>
              <w:sz w:val="24"/>
              <w:szCs w:val="24"/>
            </w:rPr>
            <w:tab/>
          </w:r>
          <w:r>
            <w:rPr>
              <w:sz w:val="24"/>
              <w:szCs w:val="24"/>
            </w:rPr>
            <w:fldChar w:fldCharType="begin"/>
          </w:r>
          <w:r>
            <w:rPr>
              <w:sz w:val="24"/>
              <w:szCs w:val="24"/>
            </w:rPr>
            <w:instrText xml:space="preserve"> PAGEREF _Toc23238 \h </w:instrText>
          </w:r>
          <w:r>
            <w:rPr>
              <w:sz w:val="24"/>
              <w:szCs w:val="24"/>
            </w:rPr>
            <w:fldChar w:fldCharType="separate"/>
          </w:r>
          <w:r>
            <w:rPr>
              <w:sz w:val="24"/>
              <w:szCs w:val="24"/>
            </w:rPr>
            <w:t>14</w:t>
          </w:r>
          <w:r>
            <w:rPr>
              <w:sz w:val="24"/>
              <w:szCs w:val="24"/>
            </w:rPr>
            <w:fldChar w:fldCharType="end"/>
          </w:r>
          <w:r>
            <w:rPr>
              <w:sz w:val="24"/>
              <w:szCs w:val="24"/>
            </w:rPr>
            <w:fldChar w:fldCharType="end"/>
          </w:r>
        </w:p>
        <w:p w14:paraId="43443B86">
          <w:pPr>
            <w:pStyle w:val="14"/>
            <w:tabs>
              <w:tab w:val="right" w:leader="dot" w:pos="8845"/>
              <w:tab w:val="clear" w:pos="8296"/>
            </w:tabs>
            <w:rPr>
              <w:sz w:val="24"/>
              <w:szCs w:val="24"/>
            </w:rPr>
          </w:pPr>
          <w:r>
            <w:fldChar w:fldCharType="begin"/>
          </w:r>
          <w:r>
            <w:instrText xml:space="preserve"> HYPERLINK \l "_Toc11591" </w:instrText>
          </w:r>
          <w:r>
            <w:fldChar w:fldCharType="separate"/>
          </w:r>
          <w:r>
            <w:rPr>
              <w:rFonts w:hint="eastAsia" w:ascii="Times New Roman" w:hAnsi="Times New Roman" w:eastAsia="黑体" w:cs="Times New Roman"/>
              <w:sz w:val="24"/>
              <w:szCs w:val="24"/>
              <w:highlight w:val="none"/>
            </w:rPr>
            <w:t>八、政府性基金预算支出决算情况说明</w:t>
          </w:r>
          <w:r>
            <w:rPr>
              <w:sz w:val="24"/>
              <w:szCs w:val="24"/>
            </w:rPr>
            <w:tab/>
          </w:r>
          <w:r>
            <w:rPr>
              <w:sz w:val="24"/>
              <w:szCs w:val="24"/>
            </w:rPr>
            <w:fldChar w:fldCharType="begin"/>
          </w:r>
          <w:r>
            <w:rPr>
              <w:sz w:val="24"/>
              <w:szCs w:val="24"/>
            </w:rPr>
            <w:instrText xml:space="preserve"> PAGEREF _Toc11591 \h </w:instrText>
          </w:r>
          <w:r>
            <w:rPr>
              <w:sz w:val="24"/>
              <w:szCs w:val="24"/>
            </w:rPr>
            <w:fldChar w:fldCharType="separate"/>
          </w:r>
          <w:r>
            <w:rPr>
              <w:sz w:val="24"/>
              <w:szCs w:val="24"/>
            </w:rPr>
            <w:t>15</w:t>
          </w:r>
          <w:r>
            <w:rPr>
              <w:sz w:val="24"/>
              <w:szCs w:val="24"/>
            </w:rPr>
            <w:fldChar w:fldCharType="end"/>
          </w:r>
          <w:r>
            <w:rPr>
              <w:sz w:val="24"/>
              <w:szCs w:val="24"/>
            </w:rPr>
            <w:fldChar w:fldCharType="end"/>
          </w:r>
        </w:p>
        <w:p w14:paraId="3C4358CB">
          <w:pPr>
            <w:pStyle w:val="14"/>
            <w:tabs>
              <w:tab w:val="right" w:leader="dot" w:pos="8845"/>
              <w:tab w:val="clear" w:pos="8296"/>
            </w:tabs>
            <w:rPr>
              <w:sz w:val="24"/>
              <w:szCs w:val="24"/>
            </w:rPr>
          </w:pPr>
          <w:r>
            <w:fldChar w:fldCharType="begin"/>
          </w:r>
          <w:r>
            <w:instrText xml:space="preserve"> HYPERLINK \l "_Toc1217" </w:instrText>
          </w:r>
          <w:r>
            <w:fldChar w:fldCharType="separate"/>
          </w:r>
          <w:r>
            <w:rPr>
              <w:rFonts w:hint="eastAsia" w:ascii="Times New Roman" w:hAnsi="Times New Roman" w:eastAsia="黑体" w:cs="Times New Roman"/>
              <w:sz w:val="24"/>
              <w:szCs w:val="24"/>
              <w:highlight w:val="none"/>
              <w:lang w:eastAsia="zh-CN"/>
            </w:rPr>
            <w:t>九、</w:t>
          </w:r>
          <w:r>
            <w:rPr>
              <w:rFonts w:hint="eastAsia" w:ascii="Times New Roman" w:hAnsi="Times New Roman" w:eastAsia="黑体" w:cs="Times New Roman"/>
              <w:sz w:val="24"/>
              <w:szCs w:val="24"/>
              <w:highlight w:val="none"/>
            </w:rPr>
            <w:t>国有资本经营预算支出决算情况说明</w:t>
          </w:r>
          <w:r>
            <w:rPr>
              <w:sz w:val="24"/>
              <w:szCs w:val="24"/>
            </w:rPr>
            <w:tab/>
          </w:r>
          <w:r>
            <w:rPr>
              <w:sz w:val="24"/>
              <w:szCs w:val="24"/>
            </w:rPr>
            <w:fldChar w:fldCharType="begin"/>
          </w:r>
          <w:r>
            <w:rPr>
              <w:sz w:val="24"/>
              <w:szCs w:val="24"/>
            </w:rPr>
            <w:instrText xml:space="preserve"> PAGEREF _Toc1217 \h </w:instrText>
          </w:r>
          <w:r>
            <w:rPr>
              <w:sz w:val="24"/>
              <w:szCs w:val="24"/>
            </w:rPr>
            <w:fldChar w:fldCharType="separate"/>
          </w:r>
          <w:r>
            <w:rPr>
              <w:sz w:val="24"/>
              <w:szCs w:val="24"/>
            </w:rPr>
            <w:t>16</w:t>
          </w:r>
          <w:r>
            <w:rPr>
              <w:sz w:val="24"/>
              <w:szCs w:val="24"/>
            </w:rPr>
            <w:fldChar w:fldCharType="end"/>
          </w:r>
          <w:r>
            <w:rPr>
              <w:sz w:val="24"/>
              <w:szCs w:val="24"/>
            </w:rPr>
            <w:fldChar w:fldCharType="end"/>
          </w:r>
        </w:p>
        <w:p w14:paraId="7E3E8C73">
          <w:pPr>
            <w:pStyle w:val="14"/>
            <w:tabs>
              <w:tab w:val="right" w:leader="dot" w:pos="8845"/>
              <w:tab w:val="clear" w:pos="8296"/>
            </w:tabs>
            <w:rPr>
              <w:sz w:val="24"/>
              <w:szCs w:val="24"/>
            </w:rPr>
          </w:pPr>
          <w:r>
            <w:fldChar w:fldCharType="begin"/>
          </w:r>
          <w:r>
            <w:instrText xml:space="preserve"> HYPERLINK \l "_Toc25102" </w:instrText>
          </w:r>
          <w:r>
            <w:fldChar w:fldCharType="separate"/>
          </w:r>
          <w:r>
            <w:rPr>
              <w:rFonts w:hint="eastAsia" w:ascii="Times New Roman" w:hAnsi="Times New Roman" w:eastAsia="黑体" w:cs="Times New Roman"/>
              <w:sz w:val="24"/>
              <w:szCs w:val="24"/>
              <w:highlight w:val="none"/>
              <w:lang w:eastAsia="zh-CN"/>
            </w:rPr>
            <w:t>十、其他重要事项的情况说明</w:t>
          </w:r>
          <w:r>
            <w:rPr>
              <w:sz w:val="24"/>
              <w:szCs w:val="24"/>
            </w:rPr>
            <w:tab/>
          </w:r>
          <w:r>
            <w:rPr>
              <w:sz w:val="24"/>
              <w:szCs w:val="24"/>
            </w:rPr>
            <w:fldChar w:fldCharType="begin"/>
          </w:r>
          <w:r>
            <w:rPr>
              <w:sz w:val="24"/>
              <w:szCs w:val="24"/>
            </w:rPr>
            <w:instrText xml:space="preserve"> PAGEREF _Toc25102 \h </w:instrText>
          </w:r>
          <w:r>
            <w:rPr>
              <w:sz w:val="24"/>
              <w:szCs w:val="24"/>
            </w:rPr>
            <w:fldChar w:fldCharType="separate"/>
          </w:r>
          <w:r>
            <w:rPr>
              <w:sz w:val="24"/>
              <w:szCs w:val="24"/>
            </w:rPr>
            <w:t>16</w:t>
          </w:r>
          <w:r>
            <w:rPr>
              <w:sz w:val="24"/>
              <w:szCs w:val="24"/>
            </w:rPr>
            <w:fldChar w:fldCharType="end"/>
          </w:r>
          <w:r>
            <w:rPr>
              <w:sz w:val="24"/>
              <w:szCs w:val="24"/>
            </w:rPr>
            <w:fldChar w:fldCharType="end"/>
          </w:r>
        </w:p>
        <w:p w14:paraId="78BA1203">
          <w:pPr>
            <w:pStyle w:val="12"/>
            <w:tabs>
              <w:tab w:val="right" w:leader="dot" w:pos="8845"/>
              <w:tab w:val="clear" w:pos="8296"/>
            </w:tabs>
            <w:rPr>
              <w:sz w:val="24"/>
              <w:szCs w:val="24"/>
            </w:rPr>
          </w:pPr>
          <w:r>
            <w:fldChar w:fldCharType="begin"/>
          </w:r>
          <w:r>
            <w:instrText xml:space="preserve"> HYPERLINK \l "_Toc27879" </w:instrText>
          </w:r>
          <w:r>
            <w:fldChar w:fldCharType="separate"/>
          </w:r>
          <w:r>
            <w:rPr>
              <w:rFonts w:hint="eastAsia" w:ascii="方正小标宋简体" w:hAnsi="方正小标宋简体" w:eastAsia="方正小标宋简体" w:cs="方正小标宋简体"/>
              <w:sz w:val="24"/>
              <w:szCs w:val="24"/>
              <w:highlight w:val="none"/>
            </w:rPr>
            <w:t>第</w:t>
          </w:r>
          <w:r>
            <w:rPr>
              <w:rFonts w:hint="eastAsia" w:ascii="方正小标宋简体" w:hAnsi="方正小标宋简体" w:eastAsia="方正小标宋简体" w:cs="方正小标宋简体"/>
              <w:sz w:val="24"/>
              <w:szCs w:val="24"/>
              <w:highlight w:val="none"/>
              <w:lang w:eastAsia="zh-CN"/>
            </w:rPr>
            <w:t>三</w:t>
          </w:r>
          <w:r>
            <w:rPr>
              <w:rFonts w:hint="eastAsia" w:ascii="方正小标宋简体" w:hAnsi="方正小标宋简体" w:eastAsia="方正小标宋简体" w:cs="方正小标宋简体"/>
              <w:sz w:val="24"/>
              <w:szCs w:val="24"/>
              <w:highlight w:val="none"/>
            </w:rPr>
            <w:t>部分</w:t>
          </w:r>
          <w:r>
            <w:rPr>
              <w:rFonts w:hint="eastAsia" w:ascii="方正小标宋简体" w:hAnsi="方正小标宋简体" w:eastAsia="方正小标宋简体" w:cs="方正小标宋简体"/>
              <w:sz w:val="24"/>
              <w:szCs w:val="24"/>
              <w:highlight w:val="none"/>
              <w:lang w:val="en-US" w:eastAsia="zh-CN"/>
            </w:rPr>
            <w:t xml:space="preserve">  </w:t>
          </w:r>
          <w:r>
            <w:rPr>
              <w:rFonts w:hint="eastAsia" w:ascii="方正小标宋简体" w:hAnsi="方正小标宋简体" w:eastAsia="方正小标宋简体" w:cs="方正小标宋简体"/>
              <w:sz w:val="24"/>
              <w:szCs w:val="24"/>
              <w:highlight w:val="none"/>
            </w:rPr>
            <w:t>名词解释</w:t>
          </w:r>
          <w:r>
            <w:rPr>
              <w:sz w:val="24"/>
              <w:szCs w:val="24"/>
            </w:rPr>
            <w:tab/>
          </w:r>
          <w:r>
            <w:rPr>
              <w:sz w:val="24"/>
              <w:szCs w:val="24"/>
            </w:rPr>
            <w:fldChar w:fldCharType="begin"/>
          </w:r>
          <w:r>
            <w:rPr>
              <w:sz w:val="24"/>
              <w:szCs w:val="24"/>
            </w:rPr>
            <w:instrText xml:space="preserve"> PAGEREF _Toc27879 \h </w:instrText>
          </w:r>
          <w:r>
            <w:rPr>
              <w:sz w:val="24"/>
              <w:szCs w:val="24"/>
            </w:rPr>
            <w:fldChar w:fldCharType="separate"/>
          </w:r>
          <w:r>
            <w:rPr>
              <w:sz w:val="24"/>
              <w:szCs w:val="24"/>
            </w:rPr>
            <w:t>18</w:t>
          </w:r>
          <w:r>
            <w:rPr>
              <w:sz w:val="24"/>
              <w:szCs w:val="24"/>
            </w:rPr>
            <w:fldChar w:fldCharType="end"/>
          </w:r>
          <w:r>
            <w:rPr>
              <w:sz w:val="24"/>
              <w:szCs w:val="24"/>
            </w:rPr>
            <w:fldChar w:fldCharType="end"/>
          </w:r>
        </w:p>
        <w:p w14:paraId="1FDC0A84">
          <w:pPr>
            <w:pStyle w:val="12"/>
            <w:tabs>
              <w:tab w:val="right" w:leader="dot" w:pos="8845"/>
              <w:tab w:val="clear" w:pos="8296"/>
            </w:tabs>
            <w:rPr>
              <w:sz w:val="24"/>
              <w:szCs w:val="24"/>
            </w:rPr>
          </w:pPr>
          <w:r>
            <w:fldChar w:fldCharType="begin"/>
          </w:r>
          <w:r>
            <w:instrText xml:space="preserve"> HYPERLINK \l "_Toc14927" </w:instrText>
          </w:r>
          <w:r>
            <w:fldChar w:fldCharType="separate"/>
          </w:r>
          <w:r>
            <w:rPr>
              <w:rFonts w:hint="eastAsia" w:ascii="方正小标宋简体" w:hAnsi="方正小标宋简体" w:eastAsia="方正小标宋简体" w:cs="方正小标宋简体"/>
              <w:sz w:val="24"/>
              <w:szCs w:val="24"/>
              <w:highlight w:val="none"/>
            </w:rPr>
            <w:t>第四部分</w:t>
          </w:r>
          <w:r>
            <w:rPr>
              <w:rFonts w:hint="eastAsia" w:ascii="方正小标宋简体" w:hAnsi="方正小标宋简体" w:eastAsia="方正小标宋简体" w:cs="方正小标宋简体"/>
              <w:sz w:val="24"/>
              <w:szCs w:val="24"/>
              <w:highlight w:val="none"/>
              <w:lang w:val="en-US" w:eastAsia="zh-CN"/>
            </w:rPr>
            <w:t xml:space="preserve"> </w:t>
          </w:r>
          <w:r>
            <w:rPr>
              <w:rFonts w:hint="eastAsia" w:ascii="方正小标宋简体" w:hAnsi="方正小标宋简体" w:eastAsia="方正小标宋简体" w:cs="方正小标宋简体"/>
              <w:sz w:val="24"/>
              <w:szCs w:val="24"/>
              <w:highlight w:val="none"/>
            </w:rPr>
            <w:t xml:space="preserve"> 附件</w:t>
          </w:r>
          <w:r>
            <w:rPr>
              <w:sz w:val="24"/>
              <w:szCs w:val="24"/>
            </w:rPr>
            <w:tab/>
          </w:r>
          <w:r>
            <w:rPr>
              <w:sz w:val="24"/>
              <w:szCs w:val="24"/>
            </w:rPr>
            <w:fldChar w:fldCharType="begin"/>
          </w:r>
          <w:r>
            <w:rPr>
              <w:sz w:val="24"/>
              <w:szCs w:val="24"/>
            </w:rPr>
            <w:instrText xml:space="preserve"> PAGEREF _Toc14927 \h </w:instrText>
          </w:r>
          <w:r>
            <w:rPr>
              <w:sz w:val="24"/>
              <w:szCs w:val="24"/>
            </w:rPr>
            <w:fldChar w:fldCharType="separate"/>
          </w:r>
          <w:r>
            <w:rPr>
              <w:sz w:val="24"/>
              <w:szCs w:val="24"/>
            </w:rPr>
            <w:t>22</w:t>
          </w:r>
          <w:r>
            <w:rPr>
              <w:sz w:val="24"/>
              <w:szCs w:val="24"/>
            </w:rPr>
            <w:fldChar w:fldCharType="end"/>
          </w:r>
          <w:r>
            <w:rPr>
              <w:sz w:val="24"/>
              <w:szCs w:val="24"/>
            </w:rPr>
            <w:fldChar w:fldCharType="end"/>
          </w:r>
        </w:p>
        <w:p w14:paraId="584D941E">
          <w:pPr>
            <w:pStyle w:val="14"/>
            <w:tabs>
              <w:tab w:val="right" w:leader="dot" w:pos="8845"/>
              <w:tab w:val="clear" w:pos="8296"/>
            </w:tabs>
            <w:rPr>
              <w:sz w:val="24"/>
              <w:szCs w:val="24"/>
            </w:rPr>
          </w:pPr>
          <w:r>
            <w:fldChar w:fldCharType="begin"/>
          </w:r>
          <w:r>
            <w:instrText xml:space="preserve"> HYPERLINK \l "_Toc17845" </w:instrText>
          </w:r>
          <w:r>
            <w:fldChar w:fldCharType="separate"/>
          </w:r>
          <w:r>
            <w:rPr>
              <w:rFonts w:hint="eastAsia" w:ascii="Times New Roman" w:hAnsi="Times New Roman" w:eastAsia="黑体" w:cs="黑体"/>
              <w:sz w:val="24"/>
              <w:szCs w:val="24"/>
              <w:highlight w:val="none"/>
            </w:rPr>
            <w:t>附件</w:t>
          </w:r>
          <w:r>
            <w:rPr>
              <w:rFonts w:hint="eastAsia" w:ascii="Times New Roman" w:hAnsi="Times New Roman" w:eastAsia="黑体" w:cs="黑体"/>
              <w:sz w:val="24"/>
              <w:szCs w:val="24"/>
              <w:highlight w:val="none"/>
              <w:lang w:val="en-US" w:eastAsia="zh-CN"/>
            </w:rPr>
            <w:t>1</w:t>
          </w:r>
          <w:r>
            <w:rPr>
              <w:sz w:val="24"/>
              <w:szCs w:val="24"/>
            </w:rPr>
            <w:tab/>
          </w:r>
          <w:r>
            <w:rPr>
              <w:sz w:val="24"/>
              <w:szCs w:val="24"/>
            </w:rPr>
            <w:fldChar w:fldCharType="begin"/>
          </w:r>
          <w:r>
            <w:rPr>
              <w:sz w:val="24"/>
              <w:szCs w:val="24"/>
            </w:rPr>
            <w:instrText xml:space="preserve"> PAGEREF _Toc17845 \h </w:instrText>
          </w:r>
          <w:r>
            <w:rPr>
              <w:sz w:val="24"/>
              <w:szCs w:val="24"/>
            </w:rPr>
            <w:fldChar w:fldCharType="separate"/>
          </w:r>
          <w:r>
            <w:rPr>
              <w:sz w:val="24"/>
              <w:szCs w:val="24"/>
            </w:rPr>
            <w:t>22</w:t>
          </w:r>
          <w:r>
            <w:rPr>
              <w:sz w:val="24"/>
              <w:szCs w:val="24"/>
            </w:rPr>
            <w:fldChar w:fldCharType="end"/>
          </w:r>
          <w:r>
            <w:rPr>
              <w:sz w:val="24"/>
              <w:szCs w:val="24"/>
            </w:rPr>
            <w:fldChar w:fldCharType="end"/>
          </w:r>
        </w:p>
        <w:p w14:paraId="78340993">
          <w:pPr>
            <w:pStyle w:val="14"/>
            <w:tabs>
              <w:tab w:val="right" w:leader="dot" w:pos="8845"/>
              <w:tab w:val="clear" w:pos="8296"/>
            </w:tabs>
            <w:rPr>
              <w:sz w:val="24"/>
              <w:szCs w:val="24"/>
            </w:rPr>
          </w:pPr>
          <w:r>
            <w:fldChar w:fldCharType="begin"/>
          </w:r>
          <w:r>
            <w:instrText xml:space="preserve"> HYPERLINK \l "_Toc20568" </w:instrText>
          </w:r>
          <w:r>
            <w:fldChar w:fldCharType="separate"/>
          </w:r>
          <w:r>
            <w:rPr>
              <w:rFonts w:hint="eastAsia" w:ascii="黑体" w:hAnsi="黑体" w:eastAsia="黑体" w:cs="黑体"/>
              <w:kern w:val="0"/>
              <w:sz w:val="24"/>
              <w:szCs w:val="24"/>
              <w:highlight w:val="none"/>
              <w:shd w:val="clear" w:color="auto" w:fill="FFFFFF"/>
              <w:lang w:val="zh-CN"/>
            </w:rPr>
            <w:t>附件</w:t>
          </w:r>
          <w:r>
            <w:rPr>
              <w:rFonts w:hint="eastAsia" w:ascii="黑体" w:hAnsi="黑体" w:eastAsia="黑体" w:cs="黑体"/>
              <w:kern w:val="0"/>
              <w:sz w:val="24"/>
              <w:szCs w:val="24"/>
              <w:highlight w:val="none"/>
              <w:shd w:val="clear" w:color="auto" w:fill="FFFFFF"/>
              <w:lang w:val="en-US" w:eastAsia="zh-CN"/>
            </w:rPr>
            <w:t>2</w:t>
          </w:r>
          <w:r>
            <w:rPr>
              <w:sz w:val="24"/>
              <w:szCs w:val="24"/>
            </w:rPr>
            <w:tab/>
          </w:r>
          <w:r>
            <w:rPr>
              <w:sz w:val="24"/>
              <w:szCs w:val="24"/>
            </w:rPr>
            <w:fldChar w:fldCharType="begin"/>
          </w:r>
          <w:r>
            <w:rPr>
              <w:sz w:val="24"/>
              <w:szCs w:val="24"/>
            </w:rPr>
            <w:instrText xml:space="preserve"> PAGEREF _Toc20568 \h </w:instrText>
          </w:r>
          <w:r>
            <w:rPr>
              <w:sz w:val="24"/>
              <w:szCs w:val="24"/>
            </w:rPr>
            <w:fldChar w:fldCharType="separate"/>
          </w:r>
          <w:r>
            <w:rPr>
              <w:sz w:val="24"/>
              <w:szCs w:val="24"/>
            </w:rPr>
            <w:t>41</w:t>
          </w:r>
          <w:r>
            <w:rPr>
              <w:sz w:val="24"/>
              <w:szCs w:val="24"/>
            </w:rPr>
            <w:fldChar w:fldCharType="end"/>
          </w:r>
          <w:r>
            <w:rPr>
              <w:sz w:val="24"/>
              <w:szCs w:val="24"/>
            </w:rPr>
            <w:fldChar w:fldCharType="end"/>
          </w:r>
        </w:p>
        <w:p w14:paraId="62D2B35B">
          <w:pPr>
            <w:pStyle w:val="12"/>
            <w:tabs>
              <w:tab w:val="right" w:leader="dot" w:pos="8845"/>
              <w:tab w:val="clear" w:pos="8296"/>
            </w:tabs>
            <w:rPr>
              <w:sz w:val="24"/>
              <w:szCs w:val="24"/>
            </w:rPr>
          </w:pPr>
          <w:r>
            <w:fldChar w:fldCharType="begin"/>
          </w:r>
          <w:r>
            <w:instrText xml:space="preserve"> HYPERLINK \l "_Toc21212" </w:instrText>
          </w:r>
          <w:r>
            <w:fldChar w:fldCharType="separate"/>
          </w:r>
          <w:r>
            <w:rPr>
              <w:rFonts w:hint="eastAsia" w:ascii="方正小标宋简体" w:hAnsi="方正小标宋简体" w:eastAsia="方正小标宋简体" w:cs="方正小标宋简体"/>
              <w:sz w:val="24"/>
              <w:szCs w:val="24"/>
              <w:highlight w:val="none"/>
            </w:rPr>
            <w:t xml:space="preserve">第五部分 </w:t>
          </w:r>
          <w:r>
            <w:rPr>
              <w:rFonts w:hint="eastAsia" w:ascii="方正小标宋简体" w:hAnsi="方正小标宋简体" w:eastAsia="方正小标宋简体" w:cs="方正小标宋简体"/>
              <w:sz w:val="24"/>
              <w:szCs w:val="24"/>
              <w:highlight w:val="none"/>
              <w:lang w:val="en-US" w:eastAsia="zh-CN"/>
            </w:rPr>
            <w:t xml:space="preserve"> </w:t>
          </w:r>
          <w:r>
            <w:rPr>
              <w:rFonts w:hint="eastAsia" w:ascii="方正小标宋简体" w:hAnsi="方正小标宋简体" w:eastAsia="方正小标宋简体" w:cs="方正小标宋简体"/>
              <w:sz w:val="24"/>
              <w:szCs w:val="24"/>
              <w:highlight w:val="none"/>
            </w:rPr>
            <w:t>附表</w:t>
          </w:r>
          <w:r>
            <w:rPr>
              <w:sz w:val="24"/>
              <w:szCs w:val="24"/>
            </w:rPr>
            <w:tab/>
          </w:r>
          <w:r>
            <w:rPr>
              <w:sz w:val="24"/>
              <w:szCs w:val="24"/>
            </w:rPr>
            <w:fldChar w:fldCharType="begin"/>
          </w:r>
          <w:r>
            <w:rPr>
              <w:sz w:val="24"/>
              <w:szCs w:val="24"/>
            </w:rPr>
            <w:instrText xml:space="preserve"> PAGEREF _Toc21212 \h </w:instrText>
          </w:r>
          <w:r>
            <w:rPr>
              <w:sz w:val="24"/>
              <w:szCs w:val="24"/>
            </w:rPr>
            <w:fldChar w:fldCharType="separate"/>
          </w:r>
          <w:r>
            <w:rPr>
              <w:sz w:val="24"/>
              <w:szCs w:val="24"/>
            </w:rPr>
            <w:t>42</w:t>
          </w:r>
          <w:r>
            <w:rPr>
              <w:sz w:val="24"/>
              <w:szCs w:val="24"/>
            </w:rPr>
            <w:fldChar w:fldCharType="end"/>
          </w:r>
          <w:r>
            <w:rPr>
              <w:sz w:val="24"/>
              <w:szCs w:val="24"/>
            </w:rPr>
            <w:fldChar w:fldCharType="end"/>
          </w:r>
        </w:p>
        <w:p w14:paraId="713709B4">
          <w:pPr>
            <w:pStyle w:val="14"/>
            <w:tabs>
              <w:tab w:val="right" w:leader="dot" w:pos="8845"/>
              <w:tab w:val="clear" w:pos="8296"/>
            </w:tabs>
            <w:rPr>
              <w:sz w:val="24"/>
              <w:szCs w:val="24"/>
            </w:rPr>
          </w:pPr>
          <w:r>
            <w:fldChar w:fldCharType="begin"/>
          </w:r>
          <w:r>
            <w:instrText xml:space="preserve"> HYPERLINK \l "_Toc10546" </w:instrText>
          </w:r>
          <w:r>
            <w:fldChar w:fldCharType="separate"/>
          </w:r>
          <w:r>
            <w:rPr>
              <w:rFonts w:hint="eastAsia" w:ascii="Times New Roman" w:hAnsi="Times New Roman" w:eastAsia="仿宋_GB2312" w:cs="仿宋_GB2312"/>
              <w:sz w:val="24"/>
              <w:szCs w:val="24"/>
              <w:highlight w:val="none"/>
            </w:rPr>
            <w:t>一、收入支出决算总表</w:t>
          </w:r>
          <w:r>
            <w:rPr>
              <w:sz w:val="24"/>
              <w:szCs w:val="24"/>
            </w:rPr>
            <w:tab/>
          </w:r>
          <w:r>
            <w:rPr>
              <w:sz w:val="24"/>
              <w:szCs w:val="24"/>
            </w:rPr>
            <w:fldChar w:fldCharType="begin"/>
          </w:r>
          <w:r>
            <w:rPr>
              <w:sz w:val="24"/>
              <w:szCs w:val="24"/>
            </w:rPr>
            <w:instrText xml:space="preserve"> PAGEREF _Toc10546 \h </w:instrText>
          </w:r>
          <w:r>
            <w:rPr>
              <w:sz w:val="24"/>
              <w:szCs w:val="24"/>
            </w:rPr>
            <w:fldChar w:fldCharType="separate"/>
          </w:r>
          <w:r>
            <w:rPr>
              <w:sz w:val="24"/>
              <w:szCs w:val="24"/>
            </w:rPr>
            <w:t>42</w:t>
          </w:r>
          <w:r>
            <w:rPr>
              <w:sz w:val="24"/>
              <w:szCs w:val="24"/>
            </w:rPr>
            <w:fldChar w:fldCharType="end"/>
          </w:r>
          <w:r>
            <w:rPr>
              <w:sz w:val="24"/>
              <w:szCs w:val="24"/>
            </w:rPr>
            <w:fldChar w:fldCharType="end"/>
          </w:r>
        </w:p>
        <w:p w14:paraId="7AD12F15">
          <w:pPr>
            <w:pStyle w:val="14"/>
            <w:tabs>
              <w:tab w:val="right" w:leader="dot" w:pos="8845"/>
              <w:tab w:val="clear" w:pos="8296"/>
            </w:tabs>
            <w:rPr>
              <w:sz w:val="24"/>
              <w:szCs w:val="24"/>
            </w:rPr>
          </w:pPr>
          <w:r>
            <w:fldChar w:fldCharType="begin"/>
          </w:r>
          <w:r>
            <w:instrText xml:space="preserve"> HYPERLINK \l "_Toc31997" </w:instrText>
          </w:r>
          <w:r>
            <w:fldChar w:fldCharType="separate"/>
          </w:r>
          <w:r>
            <w:rPr>
              <w:rFonts w:hint="eastAsia" w:ascii="Times New Roman" w:hAnsi="Times New Roman" w:eastAsia="仿宋_GB2312" w:cs="仿宋_GB2312"/>
              <w:sz w:val="24"/>
              <w:szCs w:val="24"/>
              <w:highlight w:val="none"/>
            </w:rPr>
            <w:t>二、收入决算表</w:t>
          </w:r>
          <w:r>
            <w:rPr>
              <w:sz w:val="24"/>
              <w:szCs w:val="24"/>
            </w:rPr>
            <w:tab/>
          </w:r>
          <w:r>
            <w:rPr>
              <w:sz w:val="24"/>
              <w:szCs w:val="24"/>
            </w:rPr>
            <w:fldChar w:fldCharType="begin"/>
          </w:r>
          <w:r>
            <w:rPr>
              <w:sz w:val="24"/>
              <w:szCs w:val="24"/>
            </w:rPr>
            <w:instrText xml:space="preserve"> PAGEREF _Toc31997 \h </w:instrText>
          </w:r>
          <w:r>
            <w:rPr>
              <w:sz w:val="24"/>
              <w:szCs w:val="24"/>
            </w:rPr>
            <w:fldChar w:fldCharType="separate"/>
          </w:r>
          <w:r>
            <w:rPr>
              <w:sz w:val="24"/>
              <w:szCs w:val="24"/>
            </w:rPr>
            <w:t>42</w:t>
          </w:r>
          <w:r>
            <w:rPr>
              <w:sz w:val="24"/>
              <w:szCs w:val="24"/>
            </w:rPr>
            <w:fldChar w:fldCharType="end"/>
          </w:r>
          <w:r>
            <w:rPr>
              <w:sz w:val="24"/>
              <w:szCs w:val="24"/>
            </w:rPr>
            <w:fldChar w:fldCharType="end"/>
          </w:r>
        </w:p>
        <w:p w14:paraId="04558846">
          <w:pPr>
            <w:pStyle w:val="14"/>
            <w:tabs>
              <w:tab w:val="right" w:leader="dot" w:pos="8845"/>
              <w:tab w:val="clear" w:pos="8296"/>
            </w:tabs>
            <w:rPr>
              <w:sz w:val="24"/>
              <w:szCs w:val="24"/>
            </w:rPr>
          </w:pPr>
          <w:r>
            <w:fldChar w:fldCharType="begin"/>
          </w:r>
          <w:r>
            <w:instrText xml:space="preserve"> HYPERLINK \l "_Toc27623" </w:instrText>
          </w:r>
          <w:r>
            <w:fldChar w:fldCharType="separate"/>
          </w:r>
          <w:r>
            <w:rPr>
              <w:rFonts w:hint="eastAsia" w:ascii="Times New Roman" w:hAnsi="Times New Roman" w:eastAsia="仿宋_GB2312" w:cs="仿宋_GB2312"/>
              <w:sz w:val="24"/>
              <w:szCs w:val="24"/>
              <w:highlight w:val="none"/>
            </w:rPr>
            <w:t>三、支出决算表</w:t>
          </w:r>
          <w:r>
            <w:rPr>
              <w:sz w:val="24"/>
              <w:szCs w:val="24"/>
            </w:rPr>
            <w:tab/>
          </w:r>
          <w:r>
            <w:rPr>
              <w:sz w:val="24"/>
              <w:szCs w:val="24"/>
            </w:rPr>
            <w:fldChar w:fldCharType="begin"/>
          </w:r>
          <w:r>
            <w:rPr>
              <w:sz w:val="24"/>
              <w:szCs w:val="24"/>
            </w:rPr>
            <w:instrText xml:space="preserve"> PAGEREF _Toc27623 \h </w:instrText>
          </w:r>
          <w:r>
            <w:rPr>
              <w:sz w:val="24"/>
              <w:szCs w:val="24"/>
            </w:rPr>
            <w:fldChar w:fldCharType="separate"/>
          </w:r>
          <w:r>
            <w:rPr>
              <w:sz w:val="24"/>
              <w:szCs w:val="24"/>
            </w:rPr>
            <w:t>42</w:t>
          </w:r>
          <w:r>
            <w:rPr>
              <w:sz w:val="24"/>
              <w:szCs w:val="24"/>
            </w:rPr>
            <w:fldChar w:fldCharType="end"/>
          </w:r>
          <w:r>
            <w:rPr>
              <w:sz w:val="24"/>
              <w:szCs w:val="24"/>
            </w:rPr>
            <w:fldChar w:fldCharType="end"/>
          </w:r>
        </w:p>
        <w:p w14:paraId="64560ABE">
          <w:pPr>
            <w:pStyle w:val="14"/>
            <w:tabs>
              <w:tab w:val="right" w:leader="dot" w:pos="8845"/>
              <w:tab w:val="clear" w:pos="8296"/>
            </w:tabs>
            <w:rPr>
              <w:sz w:val="24"/>
              <w:szCs w:val="24"/>
            </w:rPr>
          </w:pPr>
          <w:r>
            <w:fldChar w:fldCharType="begin"/>
          </w:r>
          <w:r>
            <w:instrText xml:space="preserve"> HYPERLINK \l "_Toc21556" </w:instrText>
          </w:r>
          <w:r>
            <w:fldChar w:fldCharType="separate"/>
          </w:r>
          <w:r>
            <w:rPr>
              <w:rFonts w:hint="eastAsia" w:ascii="Times New Roman" w:hAnsi="Times New Roman" w:eastAsia="仿宋_GB2312" w:cs="仿宋_GB2312"/>
              <w:sz w:val="24"/>
              <w:szCs w:val="24"/>
              <w:highlight w:val="none"/>
            </w:rPr>
            <w:t>四、财政拨款收入支出决算总表</w:t>
          </w:r>
          <w:r>
            <w:rPr>
              <w:sz w:val="24"/>
              <w:szCs w:val="24"/>
            </w:rPr>
            <w:tab/>
          </w:r>
          <w:r>
            <w:rPr>
              <w:sz w:val="24"/>
              <w:szCs w:val="24"/>
            </w:rPr>
            <w:fldChar w:fldCharType="begin"/>
          </w:r>
          <w:r>
            <w:rPr>
              <w:sz w:val="24"/>
              <w:szCs w:val="24"/>
            </w:rPr>
            <w:instrText xml:space="preserve"> PAGEREF _Toc21556 \h </w:instrText>
          </w:r>
          <w:r>
            <w:rPr>
              <w:sz w:val="24"/>
              <w:szCs w:val="24"/>
            </w:rPr>
            <w:fldChar w:fldCharType="separate"/>
          </w:r>
          <w:r>
            <w:rPr>
              <w:sz w:val="24"/>
              <w:szCs w:val="24"/>
            </w:rPr>
            <w:t>42</w:t>
          </w:r>
          <w:r>
            <w:rPr>
              <w:sz w:val="24"/>
              <w:szCs w:val="24"/>
            </w:rPr>
            <w:fldChar w:fldCharType="end"/>
          </w:r>
          <w:r>
            <w:rPr>
              <w:sz w:val="24"/>
              <w:szCs w:val="24"/>
            </w:rPr>
            <w:fldChar w:fldCharType="end"/>
          </w:r>
        </w:p>
        <w:p w14:paraId="2773368C">
          <w:pPr>
            <w:pStyle w:val="14"/>
            <w:tabs>
              <w:tab w:val="right" w:leader="dot" w:pos="8845"/>
              <w:tab w:val="clear" w:pos="8296"/>
            </w:tabs>
            <w:rPr>
              <w:sz w:val="24"/>
              <w:szCs w:val="24"/>
            </w:rPr>
          </w:pPr>
          <w:r>
            <w:fldChar w:fldCharType="begin"/>
          </w:r>
          <w:r>
            <w:instrText xml:space="preserve"> HYPERLINK \l "_Toc24669" </w:instrText>
          </w:r>
          <w:r>
            <w:fldChar w:fldCharType="separate"/>
          </w:r>
          <w:r>
            <w:rPr>
              <w:rFonts w:hint="eastAsia" w:ascii="Times New Roman" w:hAnsi="Times New Roman" w:eastAsia="仿宋_GB2312" w:cs="仿宋_GB2312"/>
              <w:sz w:val="24"/>
              <w:szCs w:val="24"/>
              <w:highlight w:val="none"/>
            </w:rPr>
            <w:t>五、财政拨款支出决算明细表</w:t>
          </w:r>
          <w:r>
            <w:rPr>
              <w:sz w:val="24"/>
              <w:szCs w:val="24"/>
            </w:rPr>
            <w:tab/>
          </w:r>
          <w:r>
            <w:rPr>
              <w:sz w:val="24"/>
              <w:szCs w:val="24"/>
            </w:rPr>
            <w:fldChar w:fldCharType="begin"/>
          </w:r>
          <w:r>
            <w:rPr>
              <w:sz w:val="24"/>
              <w:szCs w:val="24"/>
            </w:rPr>
            <w:instrText xml:space="preserve"> PAGEREF _Toc24669 \h </w:instrText>
          </w:r>
          <w:r>
            <w:rPr>
              <w:sz w:val="24"/>
              <w:szCs w:val="24"/>
            </w:rPr>
            <w:fldChar w:fldCharType="separate"/>
          </w:r>
          <w:r>
            <w:rPr>
              <w:sz w:val="24"/>
              <w:szCs w:val="24"/>
            </w:rPr>
            <w:t>42</w:t>
          </w:r>
          <w:r>
            <w:rPr>
              <w:sz w:val="24"/>
              <w:szCs w:val="24"/>
            </w:rPr>
            <w:fldChar w:fldCharType="end"/>
          </w:r>
          <w:r>
            <w:rPr>
              <w:sz w:val="24"/>
              <w:szCs w:val="24"/>
            </w:rPr>
            <w:fldChar w:fldCharType="end"/>
          </w:r>
        </w:p>
        <w:p w14:paraId="52102F5F">
          <w:pPr>
            <w:pStyle w:val="14"/>
            <w:tabs>
              <w:tab w:val="right" w:leader="dot" w:pos="8845"/>
              <w:tab w:val="clear" w:pos="8296"/>
            </w:tabs>
            <w:rPr>
              <w:sz w:val="24"/>
              <w:szCs w:val="24"/>
            </w:rPr>
          </w:pPr>
          <w:r>
            <w:fldChar w:fldCharType="begin"/>
          </w:r>
          <w:r>
            <w:instrText xml:space="preserve"> HYPERLINK \l "_Toc39" </w:instrText>
          </w:r>
          <w:r>
            <w:fldChar w:fldCharType="separate"/>
          </w:r>
          <w:r>
            <w:rPr>
              <w:rFonts w:hint="eastAsia" w:ascii="Times New Roman" w:hAnsi="Times New Roman" w:eastAsia="仿宋_GB2312" w:cs="仿宋_GB2312"/>
              <w:sz w:val="24"/>
              <w:szCs w:val="24"/>
              <w:highlight w:val="none"/>
            </w:rPr>
            <w:t>六、一般公共预算财政拨款支出决算表</w:t>
          </w:r>
          <w:r>
            <w:rPr>
              <w:sz w:val="24"/>
              <w:szCs w:val="24"/>
            </w:rPr>
            <w:tab/>
          </w:r>
          <w:r>
            <w:rPr>
              <w:sz w:val="24"/>
              <w:szCs w:val="24"/>
            </w:rPr>
            <w:fldChar w:fldCharType="begin"/>
          </w:r>
          <w:r>
            <w:rPr>
              <w:sz w:val="24"/>
              <w:szCs w:val="24"/>
            </w:rPr>
            <w:instrText xml:space="preserve"> PAGEREF _Toc39 \h </w:instrText>
          </w:r>
          <w:r>
            <w:rPr>
              <w:sz w:val="24"/>
              <w:szCs w:val="24"/>
            </w:rPr>
            <w:fldChar w:fldCharType="separate"/>
          </w:r>
          <w:r>
            <w:rPr>
              <w:sz w:val="24"/>
              <w:szCs w:val="24"/>
            </w:rPr>
            <w:t>42</w:t>
          </w:r>
          <w:r>
            <w:rPr>
              <w:sz w:val="24"/>
              <w:szCs w:val="24"/>
            </w:rPr>
            <w:fldChar w:fldCharType="end"/>
          </w:r>
          <w:r>
            <w:rPr>
              <w:sz w:val="24"/>
              <w:szCs w:val="24"/>
            </w:rPr>
            <w:fldChar w:fldCharType="end"/>
          </w:r>
        </w:p>
        <w:p w14:paraId="3767D5BA">
          <w:pPr>
            <w:pStyle w:val="14"/>
            <w:tabs>
              <w:tab w:val="right" w:leader="dot" w:pos="8845"/>
              <w:tab w:val="clear" w:pos="8296"/>
            </w:tabs>
            <w:rPr>
              <w:sz w:val="24"/>
              <w:szCs w:val="24"/>
            </w:rPr>
          </w:pPr>
          <w:r>
            <w:fldChar w:fldCharType="begin"/>
          </w:r>
          <w:r>
            <w:instrText xml:space="preserve"> HYPERLINK \l "_Toc22951" </w:instrText>
          </w:r>
          <w:r>
            <w:fldChar w:fldCharType="separate"/>
          </w:r>
          <w:r>
            <w:rPr>
              <w:rFonts w:hint="eastAsia" w:ascii="Times New Roman" w:hAnsi="Times New Roman" w:eastAsia="仿宋_GB2312" w:cs="仿宋_GB2312"/>
              <w:sz w:val="24"/>
              <w:szCs w:val="24"/>
              <w:highlight w:val="none"/>
            </w:rPr>
            <w:t>七、一般公共预算财政拨款支出决算明细表</w:t>
          </w:r>
          <w:r>
            <w:rPr>
              <w:sz w:val="24"/>
              <w:szCs w:val="24"/>
            </w:rPr>
            <w:tab/>
          </w:r>
          <w:r>
            <w:rPr>
              <w:sz w:val="24"/>
              <w:szCs w:val="24"/>
            </w:rPr>
            <w:fldChar w:fldCharType="begin"/>
          </w:r>
          <w:r>
            <w:rPr>
              <w:sz w:val="24"/>
              <w:szCs w:val="24"/>
            </w:rPr>
            <w:instrText xml:space="preserve"> PAGEREF _Toc22951 \h </w:instrText>
          </w:r>
          <w:r>
            <w:rPr>
              <w:sz w:val="24"/>
              <w:szCs w:val="24"/>
            </w:rPr>
            <w:fldChar w:fldCharType="separate"/>
          </w:r>
          <w:r>
            <w:rPr>
              <w:sz w:val="24"/>
              <w:szCs w:val="24"/>
            </w:rPr>
            <w:t>42</w:t>
          </w:r>
          <w:r>
            <w:rPr>
              <w:sz w:val="24"/>
              <w:szCs w:val="24"/>
            </w:rPr>
            <w:fldChar w:fldCharType="end"/>
          </w:r>
          <w:r>
            <w:rPr>
              <w:sz w:val="24"/>
              <w:szCs w:val="24"/>
            </w:rPr>
            <w:fldChar w:fldCharType="end"/>
          </w:r>
        </w:p>
        <w:p w14:paraId="02CFB702">
          <w:pPr>
            <w:pStyle w:val="14"/>
            <w:tabs>
              <w:tab w:val="right" w:leader="dot" w:pos="8845"/>
              <w:tab w:val="clear" w:pos="8296"/>
            </w:tabs>
            <w:rPr>
              <w:sz w:val="24"/>
              <w:szCs w:val="24"/>
            </w:rPr>
          </w:pPr>
          <w:r>
            <w:fldChar w:fldCharType="begin"/>
          </w:r>
          <w:r>
            <w:instrText xml:space="preserve"> HYPERLINK \l "_Toc20858" </w:instrText>
          </w:r>
          <w:r>
            <w:fldChar w:fldCharType="separate"/>
          </w:r>
          <w:r>
            <w:rPr>
              <w:rFonts w:hint="eastAsia" w:ascii="Times New Roman" w:hAnsi="Times New Roman" w:eastAsia="仿宋_GB2312" w:cs="仿宋_GB2312"/>
              <w:sz w:val="24"/>
              <w:szCs w:val="24"/>
              <w:highlight w:val="none"/>
            </w:rPr>
            <w:t>八、一般公共预算财政拨款基本支出决算表</w:t>
          </w:r>
          <w:r>
            <w:rPr>
              <w:sz w:val="24"/>
              <w:szCs w:val="24"/>
            </w:rPr>
            <w:tab/>
          </w:r>
          <w:r>
            <w:rPr>
              <w:sz w:val="24"/>
              <w:szCs w:val="24"/>
            </w:rPr>
            <w:fldChar w:fldCharType="begin"/>
          </w:r>
          <w:r>
            <w:rPr>
              <w:sz w:val="24"/>
              <w:szCs w:val="24"/>
            </w:rPr>
            <w:instrText xml:space="preserve"> PAGEREF _Toc20858 \h </w:instrText>
          </w:r>
          <w:r>
            <w:rPr>
              <w:sz w:val="24"/>
              <w:szCs w:val="24"/>
            </w:rPr>
            <w:fldChar w:fldCharType="separate"/>
          </w:r>
          <w:r>
            <w:rPr>
              <w:sz w:val="24"/>
              <w:szCs w:val="24"/>
            </w:rPr>
            <w:t>42</w:t>
          </w:r>
          <w:r>
            <w:rPr>
              <w:sz w:val="24"/>
              <w:szCs w:val="24"/>
            </w:rPr>
            <w:fldChar w:fldCharType="end"/>
          </w:r>
          <w:r>
            <w:rPr>
              <w:sz w:val="24"/>
              <w:szCs w:val="24"/>
            </w:rPr>
            <w:fldChar w:fldCharType="end"/>
          </w:r>
        </w:p>
        <w:p w14:paraId="5071E6E2">
          <w:pPr>
            <w:pStyle w:val="14"/>
            <w:tabs>
              <w:tab w:val="right" w:leader="dot" w:pos="8845"/>
              <w:tab w:val="clear" w:pos="8296"/>
            </w:tabs>
            <w:rPr>
              <w:sz w:val="24"/>
              <w:szCs w:val="24"/>
            </w:rPr>
          </w:pPr>
          <w:r>
            <w:fldChar w:fldCharType="begin"/>
          </w:r>
          <w:r>
            <w:instrText xml:space="preserve"> HYPERLINK \l "_Toc4152" </w:instrText>
          </w:r>
          <w:r>
            <w:fldChar w:fldCharType="separate"/>
          </w:r>
          <w:r>
            <w:rPr>
              <w:rFonts w:hint="eastAsia" w:ascii="Times New Roman" w:hAnsi="Times New Roman" w:eastAsia="仿宋_GB2312" w:cs="仿宋_GB2312"/>
              <w:sz w:val="24"/>
              <w:szCs w:val="24"/>
              <w:highlight w:val="none"/>
            </w:rPr>
            <w:t>九、一般公共预算财政拨款项目支出决算表</w:t>
          </w:r>
          <w:r>
            <w:rPr>
              <w:sz w:val="24"/>
              <w:szCs w:val="24"/>
            </w:rPr>
            <w:tab/>
          </w:r>
          <w:r>
            <w:rPr>
              <w:sz w:val="24"/>
              <w:szCs w:val="24"/>
            </w:rPr>
            <w:fldChar w:fldCharType="begin"/>
          </w:r>
          <w:r>
            <w:rPr>
              <w:sz w:val="24"/>
              <w:szCs w:val="24"/>
            </w:rPr>
            <w:instrText xml:space="preserve"> PAGEREF _Toc4152 \h </w:instrText>
          </w:r>
          <w:r>
            <w:rPr>
              <w:sz w:val="24"/>
              <w:szCs w:val="24"/>
            </w:rPr>
            <w:fldChar w:fldCharType="separate"/>
          </w:r>
          <w:r>
            <w:rPr>
              <w:sz w:val="24"/>
              <w:szCs w:val="24"/>
            </w:rPr>
            <w:t>42</w:t>
          </w:r>
          <w:r>
            <w:rPr>
              <w:sz w:val="24"/>
              <w:szCs w:val="24"/>
            </w:rPr>
            <w:fldChar w:fldCharType="end"/>
          </w:r>
          <w:r>
            <w:rPr>
              <w:sz w:val="24"/>
              <w:szCs w:val="24"/>
            </w:rPr>
            <w:fldChar w:fldCharType="end"/>
          </w:r>
        </w:p>
        <w:p w14:paraId="68EB869A">
          <w:pPr>
            <w:pStyle w:val="14"/>
            <w:tabs>
              <w:tab w:val="right" w:leader="dot" w:pos="8845"/>
              <w:tab w:val="clear" w:pos="8296"/>
            </w:tabs>
            <w:rPr>
              <w:sz w:val="24"/>
              <w:szCs w:val="24"/>
            </w:rPr>
          </w:pPr>
          <w:r>
            <w:fldChar w:fldCharType="begin"/>
          </w:r>
          <w:r>
            <w:instrText xml:space="preserve"> HYPERLINK \l "_Toc1994" </w:instrText>
          </w:r>
          <w:r>
            <w:fldChar w:fldCharType="separate"/>
          </w:r>
          <w:r>
            <w:rPr>
              <w:rFonts w:hint="eastAsia" w:ascii="Times New Roman" w:hAnsi="Times New Roman" w:eastAsia="仿宋_GB2312" w:cs="仿宋_GB2312"/>
              <w:sz w:val="24"/>
              <w:szCs w:val="24"/>
              <w:highlight w:val="none"/>
            </w:rPr>
            <w:t>十、政府性基金预算财政拨款收入支出决算表</w:t>
          </w:r>
          <w:r>
            <w:rPr>
              <w:sz w:val="24"/>
              <w:szCs w:val="24"/>
            </w:rPr>
            <w:tab/>
          </w:r>
          <w:r>
            <w:rPr>
              <w:sz w:val="24"/>
              <w:szCs w:val="24"/>
            </w:rPr>
            <w:fldChar w:fldCharType="begin"/>
          </w:r>
          <w:r>
            <w:rPr>
              <w:sz w:val="24"/>
              <w:szCs w:val="24"/>
            </w:rPr>
            <w:instrText xml:space="preserve"> PAGEREF _Toc1994 \h </w:instrText>
          </w:r>
          <w:r>
            <w:rPr>
              <w:sz w:val="24"/>
              <w:szCs w:val="24"/>
            </w:rPr>
            <w:fldChar w:fldCharType="separate"/>
          </w:r>
          <w:r>
            <w:rPr>
              <w:sz w:val="24"/>
              <w:szCs w:val="24"/>
            </w:rPr>
            <w:t>42</w:t>
          </w:r>
          <w:r>
            <w:rPr>
              <w:sz w:val="24"/>
              <w:szCs w:val="24"/>
            </w:rPr>
            <w:fldChar w:fldCharType="end"/>
          </w:r>
          <w:r>
            <w:rPr>
              <w:sz w:val="24"/>
              <w:szCs w:val="24"/>
            </w:rPr>
            <w:fldChar w:fldCharType="end"/>
          </w:r>
        </w:p>
        <w:p w14:paraId="3063940E">
          <w:pPr>
            <w:pStyle w:val="14"/>
            <w:tabs>
              <w:tab w:val="right" w:leader="dot" w:pos="8845"/>
              <w:tab w:val="clear" w:pos="8296"/>
            </w:tabs>
            <w:rPr>
              <w:sz w:val="24"/>
              <w:szCs w:val="24"/>
            </w:rPr>
          </w:pPr>
          <w:r>
            <w:fldChar w:fldCharType="begin"/>
          </w:r>
          <w:r>
            <w:instrText xml:space="preserve"> HYPERLINK \l "_Toc21090" </w:instrText>
          </w:r>
          <w:r>
            <w:fldChar w:fldCharType="separate"/>
          </w:r>
          <w:r>
            <w:rPr>
              <w:rFonts w:hint="eastAsia" w:ascii="Times New Roman" w:hAnsi="Times New Roman" w:eastAsia="仿宋_GB2312" w:cs="仿宋_GB2312"/>
              <w:sz w:val="24"/>
              <w:szCs w:val="24"/>
              <w:highlight w:val="none"/>
            </w:rPr>
            <w:t>十一、国有资本经营预算</w:t>
          </w:r>
          <w:r>
            <w:rPr>
              <w:rFonts w:hint="eastAsia" w:ascii="Times New Roman" w:hAnsi="Times New Roman" w:eastAsia="仿宋_GB2312" w:cs="仿宋_GB2312"/>
              <w:sz w:val="24"/>
              <w:szCs w:val="24"/>
              <w:highlight w:val="none"/>
              <w:lang w:eastAsia="zh-CN"/>
            </w:rPr>
            <w:t>财政拨款收入</w:t>
          </w:r>
          <w:r>
            <w:rPr>
              <w:rFonts w:hint="eastAsia" w:ascii="Times New Roman" w:hAnsi="Times New Roman" w:eastAsia="仿宋_GB2312" w:cs="仿宋_GB2312"/>
              <w:sz w:val="24"/>
              <w:szCs w:val="24"/>
              <w:highlight w:val="none"/>
            </w:rPr>
            <w:t>支出决算表</w:t>
          </w:r>
          <w:r>
            <w:rPr>
              <w:sz w:val="24"/>
              <w:szCs w:val="24"/>
            </w:rPr>
            <w:tab/>
          </w:r>
          <w:r>
            <w:rPr>
              <w:sz w:val="24"/>
              <w:szCs w:val="24"/>
            </w:rPr>
            <w:fldChar w:fldCharType="begin"/>
          </w:r>
          <w:r>
            <w:rPr>
              <w:sz w:val="24"/>
              <w:szCs w:val="24"/>
            </w:rPr>
            <w:instrText xml:space="preserve"> PAGEREF _Toc21090 \h </w:instrText>
          </w:r>
          <w:r>
            <w:rPr>
              <w:sz w:val="24"/>
              <w:szCs w:val="24"/>
            </w:rPr>
            <w:fldChar w:fldCharType="separate"/>
          </w:r>
          <w:r>
            <w:rPr>
              <w:sz w:val="24"/>
              <w:szCs w:val="24"/>
            </w:rPr>
            <w:t>42</w:t>
          </w:r>
          <w:r>
            <w:rPr>
              <w:sz w:val="24"/>
              <w:szCs w:val="24"/>
            </w:rPr>
            <w:fldChar w:fldCharType="end"/>
          </w:r>
          <w:r>
            <w:rPr>
              <w:sz w:val="24"/>
              <w:szCs w:val="24"/>
            </w:rPr>
            <w:fldChar w:fldCharType="end"/>
          </w:r>
        </w:p>
        <w:p w14:paraId="594B97EC">
          <w:pPr>
            <w:pStyle w:val="14"/>
            <w:tabs>
              <w:tab w:val="right" w:leader="dot" w:pos="8845"/>
              <w:tab w:val="clear" w:pos="8296"/>
            </w:tabs>
            <w:rPr>
              <w:sz w:val="24"/>
              <w:szCs w:val="24"/>
            </w:rPr>
          </w:pPr>
          <w:r>
            <w:fldChar w:fldCharType="begin"/>
          </w:r>
          <w:r>
            <w:instrText xml:space="preserve"> HYPERLINK \l "_Toc14498" </w:instrText>
          </w:r>
          <w:r>
            <w:fldChar w:fldCharType="separate"/>
          </w:r>
          <w:r>
            <w:rPr>
              <w:rFonts w:hint="eastAsia" w:ascii="Times New Roman" w:hAnsi="Times New Roman" w:eastAsia="仿宋_GB2312" w:cs="仿宋_GB2312"/>
              <w:sz w:val="24"/>
              <w:szCs w:val="24"/>
              <w:highlight w:val="none"/>
            </w:rPr>
            <w:t>十二、</w:t>
          </w:r>
          <w:r>
            <w:rPr>
              <w:rFonts w:hint="eastAsia" w:ascii="Times New Roman" w:hAnsi="Times New Roman" w:eastAsia="仿宋_GB2312" w:cs="仿宋_GB2312"/>
              <w:sz w:val="24"/>
              <w:szCs w:val="24"/>
              <w:highlight w:val="none"/>
              <w:lang w:eastAsia="zh-CN"/>
            </w:rPr>
            <w:t>国有资本经营预算财政拨款支出决算表</w:t>
          </w:r>
          <w:r>
            <w:rPr>
              <w:sz w:val="24"/>
              <w:szCs w:val="24"/>
            </w:rPr>
            <w:tab/>
          </w:r>
          <w:r>
            <w:rPr>
              <w:sz w:val="24"/>
              <w:szCs w:val="24"/>
            </w:rPr>
            <w:fldChar w:fldCharType="begin"/>
          </w:r>
          <w:r>
            <w:rPr>
              <w:sz w:val="24"/>
              <w:szCs w:val="24"/>
            </w:rPr>
            <w:instrText xml:space="preserve"> PAGEREF _Toc14498 \h </w:instrText>
          </w:r>
          <w:r>
            <w:rPr>
              <w:sz w:val="24"/>
              <w:szCs w:val="24"/>
            </w:rPr>
            <w:fldChar w:fldCharType="separate"/>
          </w:r>
          <w:r>
            <w:rPr>
              <w:sz w:val="24"/>
              <w:szCs w:val="24"/>
            </w:rPr>
            <w:t>42</w:t>
          </w:r>
          <w:r>
            <w:rPr>
              <w:sz w:val="24"/>
              <w:szCs w:val="24"/>
            </w:rPr>
            <w:fldChar w:fldCharType="end"/>
          </w:r>
          <w:r>
            <w:rPr>
              <w:sz w:val="24"/>
              <w:szCs w:val="24"/>
            </w:rPr>
            <w:fldChar w:fldCharType="end"/>
          </w:r>
        </w:p>
        <w:p w14:paraId="04DAC547">
          <w:pPr>
            <w:pStyle w:val="14"/>
            <w:tabs>
              <w:tab w:val="right" w:leader="dot" w:pos="8845"/>
              <w:tab w:val="clear" w:pos="8296"/>
            </w:tabs>
          </w:pPr>
          <w:r>
            <w:fldChar w:fldCharType="begin"/>
          </w:r>
          <w:r>
            <w:instrText xml:space="preserve"> HYPERLINK \l "_Toc26108" </w:instrText>
          </w:r>
          <w:r>
            <w:fldChar w:fldCharType="separate"/>
          </w:r>
          <w:r>
            <w:rPr>
              <w:rFonts w:hint="eastAsia" w:ascii="Times New Roman" w:hAnsi="Times New Roman" w:eastAsia="仿宋_GB2312" w:cs="仿宋_GB2312"/>
              <w:sz w:val="24"/>
              <w:szCs w:val="24"/>
              <w:highlight w:val="none"/>
            </w:rPr>
            <w:t>十三、</w:t>
          </w:r>
          <w:r>
            <w:rPr>
              <w:rFonts w:hint="eastAsia" w:ascii="Times New Roman" w:hAnsi="Times New Roman" w:eastAsia="仿宋_GB2312" w:cs="仿宋_GB2312"/>
              <w:sz w:val="24"/>
              <w:szCs w:val="24"/>
              <w:highlight w:val="none"/>
              <w:lang w:eastAsia="zh-CN"/>
            </w:rPr>
            <w:t>财政拨款“三公”经费支出决算表</w:t>
          </w:r>
          <w:r>
            <w:rPr>
              <w:sz w:val="24"/>
              <w:szCs w:val="24"/>
            </w:rPr>
            <w:tab/>
          </w:r>
          <w:r>
            <w:rPr>
              <w:sz w:val="24"/>
              <w:szCs w:val="24"/>
            </w:rPr>
            <w:fldChar w:fldCharType="begin"/>
          </w:r>
          <w:r>
            <w:rPr>
              <w:sz w:val="24"/>
              <w:szCs w:val="24"/>
            </w:rPr>
            <w:instrText xml:space="preserve"> PAGEREF _Toc26108 \h </w:instrText>
          </w:r>
          <w:r>
            <w:rPr>
              <w:sz w:val="24"/>
              <w:szCs w:val="24"/>
            </w:rPr>
            <w:fldChar w:fldCharType="separate"/>
          </w:r>
          <w:r>
            <w:rPr>
              <w:sz w:val="24"/>
              <w:szCs w:val="24"/>
            </w:rPr>
            <w:t>42</w:t>
          </w:r>
          <w:r>
            <w:rPr>
              <w:sz w:val="24"/>
              <w:szCs w:val="24"/>
            </w:rPr>
            <w:fldChar w:fldCharType="end"/>
          </w:r>
          <w:r>
            <w:rPr>
              <w:sz w:val="24"/>
              <w:szCs w:val="24"/>
            </w:rPr>
            <w:fldChar w:fldCharType="end"/>
          </w:r>
        </w:p>
        <w:p w14:paraId="2DD4D76A">
          <w:pPr>
            <w:pStyle w:val="14"/>
            <w:keepNext w:val="0"/>
            <w:keepLines w:val="0"/>
            <w:pageBreakBefore w:val="0"/>
            <w:widowControl w:val="0"/>
            <w:kinsoku/>
            <w:wordWrap/>
            <w:overflowPunct w:val="0"/>
            <w:topLinePunct/>
            <w:autoSpaceDE w:val="0"/>
            <w:autoSpaceDN w:val="0"/>
            <w:bidi w:val="0"/>
            <w:adjustRightInd w:val="0"/>
            <w:snapToGrid w:val="0"/>
            <w:spacing w:line="560" w:lineRule="exact"/>
            <w:ind w:left="0" w:leftChars="0" w:firstLine="0" w:firstLineChars="0"/>
            <w:jc w:val="left"/>
            <w:textAlignment w:val="auto"/>
            <w:rPr>
              <w:rFonts w:hint="eastAsia" w:ascii="Times New Roman" w:hAnsi="Times New Roman" w:eastAsia="仿宋_GB2312" w:cs="仿宋_GB2312"/>
              <w:bCs/>
              <w:color w:val="auto"/>
              <w:kern w:val="2"/>
              <w:sz w:val="21"/>
              <w:szCs w:val="32"/>
              <w:highlight w:val="none"/>
              <w:lang w:val="en-US" w:eastAsia="zh-CN" w:bidi="ar-SA"/>
            </w:rPr>
          </w:pPr>
          <w:r>
            <w:rPr>
              <w:rFonts w:hint="eastAsia" w:ascii="Times New Roman" w:hAnsi="Times New Roman" w:eastAsia="仿宋_GB2312" w:cs="仿宋_GB2312"/>
              <w:bCs/>
              <w:color w:val="auto"/>
              <w:szCs w:val="32"/>
              <w:highlight w:val="none"/>
              <w:lang w:eastAsia="zh-CN"/>
            </w:rPr>
            <w:fldChar w:fldCharType="end"/>
          </w:r>
        </w:p>
      </w:sdtContent>
    </w:sdt>
    <w:p w14:paraId="4D594DBE">
      <w:pPr>
        <w:rPr>
          <w:rFonts w:hint="eastAsia"/>
          <w:lang w:eastAsia="zh-CN"/>
        </w:rPr>
      </w:pPr>
    </w:p>
    <w:p w14:paraId="0953541C">
      <w:pPr>
        <w:keepNext w:val="0"/>
        <w:keepLines w:val="0"/>
        <w:pageBreakBefore w:val="0"/>
        <w:widowControl w:val="0"/>
        <w:kinsoku/>
        <w:wordWrap/>
        <w:overflowPunct w:val="0"/>
        <w:topLinePunct/>
        <w:autoSpaceDE w:val="0"/>
        <w:autoSpaceDN w:val="0"/>
        <w:bidi w:val="0"/>
        <w:spacing w:line="560" w:lineRule="exact"/>
        <w:jc w:val="left"/>
        <w:textAlignment w:val="auto"/>
        <w:rPr>
          <w:rFonts w:hint="eastAsia" w:ascii="Times New Roman" w:hAnsi="Times New Roman" w:eastAsia="仿宋_GB2312" w:cs="仿宋_GB2312"/>
          <w:b/>
          <w:color w:val="auto"/>
          <w:sz w:val="32"/>
          <w:szCs w:val="32"/>
          <w:highlight w:val="none"/>
        </w:rPr>
        <w:sectPr>
          <w:footerReference r:id="rId6" w:type="first"/>
          <w:footerReference r:id="rId5" w:type="default"/>
          <w:pgSz w:w="11906" w:h="16838"/>
          <w:pgMar w:top="2098" w:right="1474" w:bottom="1984" w:left="1587" w:header="851" w:footer="1304" w:gutter="0"/>
          <w:pgNumType w:fmt="decimal" w:start="1"/>
          <w:cols w:space="0" w:num="1"/>
          <w:titlePg/>
          <w:rtlGutter w:val="0"/>
          <w:docGrid w:type="lines" w:linePitch="312" w:charSpace="0"/>
        </w:sectPr>
      </w:pPr>
      <w:bookmarkStart w:id="6" w:name="_Toc15396599"/>
      <w:bookmarkStart w:id="7" w:name="_Toc15377196"/>
      <w:r>
        <w:br w:type="page"/>
      </w:r>
    </w:p>
    <w:p w14:paraId="5D1408FE">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8" w:name="_Toc25410"/>
      <w:r>
        <w:rPr>
          <w:rFonts w:hint="eastAsia" w:ascii="方正小标宋简体" w:hAnsi="方正小标宋简体" w:eastAsia="方正小标宋简体" w:cs="方正小标宋简体"/>
          <w:color w:val="auto"/>
          <w:sz w:val="44"/>
          <w:szCs w:val="44"/>
          <w:highlight w:val="none"/>
        </w:rPr>
        <w:t>第一部分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部门概况</w:t>
      </w:r>
      <w:bookmarkEnd w:id="6"/>
      <w:bookmarkEnd w:id="7"/>
      <w:bookmarkEnd w:id="8"/>
    </w:p>
    <w:p w14:paraId="52F25D9C">
      <w:pPr>
        <w:keepNext w:val="0"/>
        <w:keepLines w:val="0"/>
        <w:pageBreakBefore w:val="0"/>
        <w:widowControl w:val="0"/>
        <w:kinsoku/>
        <w:wordWrap/>
        <w:overflowPunct w:val="0"/>
        <w:topLinePunct/>
        <w:autoSpaceDE w:val="0"/>
        <w:autoSpaceDN w:val="0"/>
        <w:bidi w:val="0"/>
        <w:textAlignment w:val="auto"/>
        <w:rPr>
          <w:rFonts w:hint="eastAsia"/>
        </w:rPr>
      </w:pPr>
    </w:p>
    <w:p w14:paraId="4B220E3C">
      <w:pPr>
        <w:keepNext w:val="0"/>
        <w:keepLines w:val="0"/>
        <w:pageBreakBefore w:val="0"/>
        <w:widowControl w:val="0"/>
        <w:numPr>
          <w:ilvl w:val="0"/>
          <w:numId w:val="0"/>
        </w:numPr>
        <w:kinsoku/>
        <w:wordWrap/>
        <w:overflowPunct w:val="0"/>
        <w:topLinePunct/>
        <w:autoSpaceDE w:val="0"/>
        <w:autoSpaceDN w:val="0"/>
        <w:bidi w:val="0"/>
        <w:adjustRightInd/>
        <w:snapToGrid/>
        <w:spacing w:before="0" w:after="0" w:line="576" w:lineRule="exact"/>
        <w:ind w:firstLine="640" w:firstLineChars="200"/>
        <w:textAlignment w:val="auto"/>
        <w:outlineLvl w:val="1"/>
        <w:rPr>
          <w:rFonts w:hint="eastAsia" w:ascii="Times New Roman" w:hAnsi="Times New Roman" w:eastAsia="黑体"/>
          <w:b w:val="0"/>
          <w:color w:val="auto"/>
          <w:sz w:val="32"/>
          <w:szCs w:val="32"/>
          <w:highlight w:val="none"/>
          <w:lang w:eastAsia="zh-CN"/>
        </w:rPr>
      </w:pPr>
      <w:bookmarkStart w:id="9" w:name="_Toc24605"/>
      <w:r>
        <w:rPr>
          <w:rFonts w:hint="eastAsia" w:eastAsia="黑体"/>
          <w:b w:val="0"/>
          <w:color w:val="auto"/>
          <w:sz w:val="32"/>
          <w:szCs w:val="32"/>
          <w:highlight w:val="none"/>
          <w:lang w:val="en-US" w:eastAsia="zh-CN"/>
        </w:rPr>
        <w:t>一、</w:t>
      </w:r>
      <w:r>
        <w:rPr>
          <w:rFonts w:hint="eastAsia" w:ascii="Times New Roman" w:hAnsi="Times New Roman" w:eastAsia="黑体"/>
          <w:b w:val="0"/>
          <w:color w:val="auto"/>
          <w:sz w:val="32"/>
          <w:szCs w:val="32"/>
          <w:highlight w:val="none"/>
          <w:lang w:eastAsia="zh-CN"/>
        </w:rPr>
        <w:t>部门职责</w:t>
      </w:r>
      <w:bookmarkEnd w:id="9"/>
    </w:p>
    <w:p w14:paraId="6EDC0D6D">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32"/>
          <w:lang w:val="en-US"/>
        </w:rPr>
        <w:t>（一）主要职能。</w:t>
      </w:r>
    </w:p>
    <w:p w14:paraId="6D836C60">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1</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统筹推进巩固拓展脱贫攻坚成果同乡村振兴有效衔接。</w:t>
      </w:r>
    </w:p>
    <w:p w14:paraId="2DD61A44">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2</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参与乡村振兴有关法规起草修订和政策制订，参与乡村振 兴规划编制和组织实施。</w:t>
      </w:r>
    </w:p>
    <w:p w14:paraId="759ECE8D">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3</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督导检查党中央、国务院相关重大部署、重要文件、重点工作落实情况。</w:t>
      </w:r>
    </w:p>
    <w:p w14:paraId="09A0FB9F">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4</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统筹协调保持过渡期内主要帮扶政策稳定。</w:t>
      </w:r>
    </w:p>
    <w:p w14:paraId="47DBE737">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5</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组织开展防止返贫监测和帮扶。</w:t>
      </w:r>
    </w:p>
    <w:p w14:paraId="5D2CC2E2">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6</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参与组织中央财政专项补助资金分配、监管和绩效评价。</w:t>
      </w:r>
    </w:p>
    <w:p w14:paraId="318D6012">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7</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统筹加强扶贫项目资产管理。</w:t>
      </w:r>
    </w:p>
    <w:p w14:paraId="5F9668BE">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8</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组织指导易地扶贫搬迁后续帮扶。</w:t>
      </w:r>
    </w:p>
    <w:p w14:paraId="193778B6">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9</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承担巩固脱贫成果后评估相关工作，指导地方开展巩固拓 展脱贫攻坚成效考核。</w:t>
      </w:r>
    </w:p>
    <w:p w14:paraId="5FAF1CAE">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10</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协调推进脱贫地区劳动力转移就业能力提升、实用技能培训和转移就业，指导脱贫地区加强公益性岗位管理。</w:t>
      </w:r>
    </w:p>
    <w:p w14:paraId="369B85DE">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11</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组织开展东西部协作和中央单位定点帮扶、行业帮扶和相关考核评价工作，动员社会力量参与帮扶。</w:t>
      </w:r>
    </w:p>
    <w:p w14:paraId="34A3AC22">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12</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参与牵头协调驻村第一书记和驻村工作队员选派管理有 关工作。</w:t>
      </w:r>
    </w:p>
    <w:p w14:paraId="322662E8">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13</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协调指导全国革命老区帮扶工作。</w:t>
      </w:r>
    </w:p>
    <w:p w14:paraId="0C20E0B8">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14</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牵头实施乡村建设行动，推动完善农村基础设施。</w:t>
      </w:r>
    </w:p>
    <w:p w14:paraId="1F11CDF2">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15</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牵头组织改善农村人居环境，统筹指导村庄整治、村容村貌提升，保护传统村落和乡村风貌。</w:t>
      </w:r>
    </w:p>
    <w:p w14:paraId="7D68B1DD">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16</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推动发展农村社会事业、农村公共服务、农村文化，指导农村精神文明建设。</w:t>
      </w:r>
    </w:p>
    <w:p w14:paraId="0A62D4A4">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17</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协调推进乡村治理体系建设。</w:t>
      </w:r>
    </w:p>
    <w:p w14:paraId="2E584505">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18</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研究乡村振兴相关问题。</w:t>
      </w:r>
    </w:p>
    <w:p w14:paraId="52E2997C">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19</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协调推动金融支持巩固拓展脱贫攻坚成果和乡村振兴工作。</w:t>
      </w:r>
    </w:p>
    <w:p w14:paraId="5FAA8AEB">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20</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会同农业农村等部门指导脱贫地区巩固拓展脱贫攻坚成果与乡村振兴项目库建设管理。</w:t>
      </w:r>
    </w:p>
    <w:p w14:paraId="5E5C1487">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21</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组织乡村振兴系统表彰奖励工作。</w:t>
      </w:r>
    </w:p>
    <w:p w14:paraId="533F1545">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22</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组织开展乡村振兴重点帮扶县帮扶和监测评估。</w:t>
      </w:r>
    </w:p>
    <w:p w14:paraId="47D50DBA">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23</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组织开展减贫和乡村振兴领域理论研究和国际交流合作。</w:t>
      </w:r>
    </w:p>
    <w:p w14:paraId="5546310D">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24</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组织开展巩固拓展脱贫攻坚成果和全面推进乡村振兴有 关宣传工作。</w:t>
      </w:r>
    </w:p>
    <w:p w14:paraId="7E220722">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25</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组织巩固拓展脱贫攻坚成果和全面推进乡村振兴有关教 育培训工作。</w:t>
      </w:r>
    </w:p>
    <w:p w14:paraId="3CC409DB">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26</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承担乡村振兴督导、检查具体工作。</w:t>
      </w:r>
    </w:p>
    <w:p w14:paraId="4C2142E1">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rPr>
        <w:t>27</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指导乡村振兴系统加强队伍建设。</w:t>
      </w:r>
    </w:p>
    <w:p w14:paraId="481C0B4D">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24"/>
          <w:highlight w:val="none"/>
          <w:lang w:val="en-US"/>
        </w:rPr>
        <w:t>28</w:t>
      </w:r>
      <w:r>
        <w:rPr>
          <w:rFonts w:hint="eastAsia" w:ascii="仿宋_GB2312" w:hAnsi="仿宋_GB2312" w:eastAsia="仿宋_GB2312"/>
          <w:color w:val="000000"/>
          <w:sz w:val="32"/>
          <w:szCs w:val="24"/>
          <w:highlight w:val="none"/>
          <w:lang w:val="en-US" w:eastAsia="zh-CN"/>
        </w:rPr>
        <w:t>.</w:t>
      </w:r>
      <w:r>
        <w:rPr>
          <w:rFonts w:hint="eastAsia" w:ascii="仿宋_GB2312" w:hAnsi="仿宋_GB2312" w:eastAsia="仿宋_GB2312"/>
          <w:color w:val="000000"/>
          <w:sz w:val="32"/>
          <w:szCs w:val="24"/>
          <w:highlight w:val="none"/>
          <w:lang w:val="en-US"/>
        </w:rPr>
        <w:t>完成区委、区政府和区委农村工作领导小组交办的其他任务。</w:t>
      </w:r>
    </w:p>
    <w:p w14:paraId="5DFF9658">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color w:val="000000"/>
          <w:sz w:val="32"/>
          <w:szCs w:val="32"/>
          <w:lang w:val="en-US"/>
        </w:rPr>
      </w:pPr>
      <w:r>
        <w:rPr>
          <w:rFonts w:hint="eastAsia" w:ascii="仿宋_GB2312" w:hAnsi="仿宋_GB2312" w:eastAsia="仿宋_GB2312"/>
          <w:color w:val="000000"/>
          <w:sz w:val="32"/>
          <w:szCs w:val="32"/>
          <w:lang w:val="en-US"/>
        </w:rPr>
        <w:t>（二）202</w:t>
      </w:r>
      <w:r>
        <w:rPr>
          <w:rFonts w:hint="eastAsia" w:ascii="仿宋_GB2312" w:hAnsi="仿宋_GB2312" w:eastAsia="仿宋_GB2312"/>
          <w:color w:val="000000"/>
          <w:sz w:val="32"/>
          <w:szCs w:val="32"/>
          <w:lang w:val="en-US" w:eastAsia="zh-CN"/>
        </w:rPr>
        <w:t>4</w:t>
      </w:r>
      <w:r>
        <w:rPr>
          <w:rFonts w:hint="eastAsia" w:ascii="仿宋_GB2312" w:hAnsi="仿宋_GB2312" w:eastAsia="仿宋_GB2312"/>
          <w:color w:val="000000"/>
          <w:sz w:val="32"/>
          <w:szCs w:val="32"/>
          <w:lang w:val="en-US"/>
        </w:rPr>
        <w:t>年重点工作完成情况。</w:t>
      </w:r>
    </w:p>
    <w:p w14:paraId="390348EB">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1.</w:t>
      </w:r>
      <w:r>
        <w:rPr>
          <w:rFonts w:hint="eastAsia" w:ascii="仿宋_GB2312" w:hAnsi="仿宋_GB2312" w:eastAsia="仿宋_GB2312"/>
          <w:color w:val="000000"/>
          <w:sz w:val="32"/>
          <w:szCs w:val="24"/>
          <w:highlight w:val="none"/>
          <w:lang w:val="en-US"/>
        </w:rPr>
        <w:t>持续做好有效衔接工作，全面巩固拓展脱贫攻坚成果。一是持续发挥衔接引领作用。印发《昭化区2024年巩固拓展脱贫攻坚成果同乡村振兴有效衔接工作要点》《昭化区乡村建设行动中期建设任务清单和2024年度建设任务清单》《防止返贫监测帮扶集中排查工作方案》，积极抓好巩固脱贫成果责任衔接、政策衔接、工作衔接和成效巩固，全面补齐产业就业、综合保障、乡村建设、乡村治理等短板弱项。牵头完成省级巩固脱贫成果后评估县际交叉考核和第三方实地考核，配合完成省市级乡村振兴战略实绩考核和省级乡村振兴成效显著县创建。牵头承办各类会议28场。二是扎实开展防返贫动态监测帮扶。建立防止返贫全覆盖网格化管理体系，落实排查干部1100人，多渠道推广防止返贫监测帮扶政策“明白纸”，累计推送风险预警信息5505条，今年新增监测对象100户333人，累计纳入监测对象311户892人，逐户落实监测联系人，均落实低保兜底、产业扶持、医疗保障等帮扶措施，全区未发生一人一户返贫致贫。三是切实开展农村“厕所革命”。印发《广元市昭化区2024年农村人居环境整治（厕所革命）项目建设实施方案》，全面完成农村“厕所革命”整村推进示范村建设15个、户厕改造3931户的建设任务，任务完成率100%，全区卫生厕所普及率达到97%以上、改厕群众满意度达95%以上。四是扎实开展问题整改。牵头做好中省督查巡察、媒体暗访、审计、中央纪委定点帮扶专项调研等各类问题，举一反三，逐一建立问题台账、责任台账和整改台账，确保各类问题得到有效解决，同步开展问题整改“回头看”“回头查”，切实确保问题整改到位。</w:t>
      </w:r>
    </w:p>
    <w:p w14:paraId="486CB56C">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2.</w:t>
      </w:r>
      <w:r>
        <w:rPr>
          <w:rFonts w:hint="eastAsia" w:ascii="仿宋_GB2312" w:hAnsi="仿宋_GB2312" w:eastAsia="仿宋_GB2312"/>
          <w:color w:val="000000"/>
          <w:sz w:val="32"/>
          <w:szCs w:val="24"/>
          <w:highlight w:val="none"/>
          <w:lang w:val="en-US"/>
        </w:rPr>
        <w:t>有序推进衔接项目建设，切实提升资金使用绩效。一是扎实推进衔接资金项目建设。2024年共规划财政衔接资金项目219个，到位各级财政衔接资金15129万元，中省两级衔接资金用于产业发展占比分别为62.3%、63.4%。认真做好2024年度实施计划编制，完成统筹整合财政涉农资金使用方案编制、印发和备案。二是做优重点村帮扶。围绕《昭化区关于扎实做好乡村振兴重点帮扶村工作的实施意见》总体要求，制定年度工作计划，明确任务、细化措施。三是强化扶贫项目资产管理。开展乡村振兴专项调研，清理脱贫攻坚期和过渡期扶贫资金、帮扶资金项目资产。印发《昭化区扶贫帮扶产业“四个一批”项目管理工作实施方案》，按照“巩固一批、提升一批、盘活一批、另起炉灶一批”总体思路，不断探索多元业态产业经营模式。</w:t>
      </w:r>
    </w:p>
    <w:p w14:paraId="3DE6B5EA">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3.</w:t>
      </w:r>
      <w:r>
        <w:rPr>
          <w:rFonts w:hint="eastAsia" w:ascii="仿宋_GB2312" w:hAnsi="仿宋_GB2312" w:eastAsia="仿宋_GB2312"/>
          <w:color w:val="000000"/>
          <w:sz w:val="32"/>
          <w:szCs w:val="24"/>
          <w:highlight w:val="none"/>
          <w:lang w:val="en-US"/>
        </w:rPr>
        <w:t>不断强化巩固区域合作，持续深化拱昭东西部协作。一是强化组织领导。印发《昭化区2024年东西部协作工作要点》《关于下达2024年东西部协作项目资金计划的通知》，持续加大协作力度，规范工作流程，提升工作水平，推动各项工作任务落地落实。二是推进项目建设。三是加强劳务协作。举办乡村振兴干部和人才培训班20期1315人次，持续实施“周末工程师”柔性引才计划，推行医疗、教育专业人才“组团式”帮扶模式。举办劳务协作培训班15场次，精准提升农村劳动力就业技能。统筹安排“春风行动东西部劳务协作”专车，提供“点对点、门对门、一对一”返岗服务，全力保障劳动力返岗就业。四是推进示范村建设。学习浙江省“千万工程”经验，深入推进天雄村乡村振兴示范村建设，推动天雄村生产、生活、生态融合发展。今年以来，国家乡村振兴局副局长黄艳、全国工商联副主席方光华等领导先后到天雄村考察调研，对天雄村的发展变化给予充分肯定。</w:t>
      </w:r>
    </w:p>
    <w:p w14:paraId="7D0C7D57">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highlight w:val="none"/>
          <w:lang w:val="en-US"/>
        </w:rPr>
      </w:pPr>
      <w:r>
        <w:rPr>
          <w:rFonts w:hint="eastAsia" w:ascii="仿宋_GB2312" w:hAnsi="仿宋_GB2312" w:eastAsia="仿宋_GB2312"/>
          <w:color w:val="000000"/>
          <w:sz w:val="32"/>
          <w:szCs w:val="24"/>
          <w:highlight w:val="none"/>
          <w:lang w:val="en-US" w:eastAsia="zh-CN"/>
        </w:rPr>
        <w:t>4.</w:t>
      </w:r>
      <w:r>
        <w:rPr>
          <w:rFonts w:hint="eastAsia" w:ascii="仿宋_GB2312" w:hAnsi="仿宋_GB2312" w:eastAsia="仿宋_GB2312"/>
          <w:color w:val="000000"/>
          <w:sz w:val="32"/>
          <w:szCs w:val="24"/>
          <w:highlight w:val="none"/>
          <w:lang w:val="en-US"/>
        </w:rPr>
        <w:t>持续抓好生态平安建设，营造良好营商环境。一是加强平安昭化建设。及时办理12345政务服务热线和“有事来协商”平台来信，办理群众来访信件6件，接待来访群众20人次、电话访15人次，信访件及时签收率、及时办结率和回访信访群众满意率均达100%。二是扎实做好依法治区和法治政府建设。进一步强化学法普法，切实营造普法宣传良好氛围，干部学法考试参考率和合格率均为100%，局党组专题研究依法治区工作3次，会前学法3场51人次。三是常态化推进扫黑除恶、统计、人社、群团、机要、保密和政务内网工作，持续推进文化、体育和广播电视事业，切实加强妇儿“两纲”工作。</w:t>
      </w:r>
    </w:p>
    <w:p w14:paraId="3DEA3C08">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sz w:val="32"/>
          <w:szCs w:val="32"/>
          <w:lang w:eastAsia="zh-CN"/>
        </w:rPr>
      </w:pPr>
      <w:r>
        <w:rPr>
          <w:rFonts w:hint="eastAsia" w:ascii="仿宋_GB2312" w:hAnsi="仿宋_GB2312" w:eastAsia="仿宋_GB2312"/>
          <w:color w:val="000000"/>
          <w:sz w:val="32"/>
          <w:szCs w:val="24"/>
          <w:highlight w:val="none"/>
          <w:lang w:val="en-US" w:eastAsia="zh-CN"/>
        </w:rPr>
        <w:t>5.</w:t>
      </w:r>
      <w:r>
        <w:rPr>
          <w:rFonts w:hint="eastAsia" w:ascii="仿宋_GB2312" w:hAnsi="仿宋_GB2312" w:eastAsia="仿宋_GB2312"/>
          <w:color w:val="000000"/>
          <w:sz w:val="32"/>
          <w:szCs w:val="24"/>
          <w:highlight w:val="none"/>
          <w:lang w:val="en-US"/>
        </w:rPr>
        <w:t>全面落实党建和党风廉政意识形态工作责任。一是切实推进从严治党。坚持把抓好党建作为最大政绩，围绕中心工作履行主体责任、抓好党建工作，严格执行《党委（党组）落实全面从严治党主体责任规定》，制定2024年党建工作要点和责任清单，召开党员大会8次、支委会10次、书记讲党课3次，专题研究党建工作3次，全面对2023年党建述职中查摆出的问题进行整改落实。二是强化理论武装。采取领导上党课、专题领学、集中交流研讨等形式，持续学深悟透习近平新时代中国特色社会主义思想、党的二十大精神，推动中央和省委、市委和区委各项决策部署在乡村振兴工作中落地生根。三是强化引领示范。严格落实“三会一课”，持续开展以重温入党誓词、“红色星期六”等主题党日活动13次，充分发挥党组织党员在创建天府旅游名县、全域旅游示范区等工作中的先锋模范作用。四是抓强作风效能。对上下班纪律、请销假、去向告知、服务态度、参会纪律等事项进行再要求，常态化实行干部岗位职责管理，有效促进干部机关作风大转变，工作效率大提升。机关管理及项目实施监管全年安全无事故，干部职工当年无违纪违规违法行为发生。五是抓牢意识形态。认真落实意识形态工作“一岗双责”，严格执行《昭化区意识形态工作定期提示制度》，建立健全研判机制，在理论武装、舆论引导、弘扬社会文明等方面，牢牢掌握意识形态领导主动权，全力打好意识形态工作主动战。</w:t>
      </w:r>
    </w:p>
    <w:p w14:paraId="60921759">
      <w:pPr>
        <w:keepNext w:val="0"/>
        <w:keepLines w:val="0"/>
        <w:pageBreakBefore w:val="0"/>
        <w:widowControl w:val="0"/>
        <w:numPr>
          <w:ilvl w:val="0"/>
          <w:numId w:val="0"/>
        </w:numPr>
        <w:kinsoku/>
        <w:wordWrap/>
        <w:overflowPunct w:val="0"/>
        <w:topLinePunct/>
        <w:autoSpaceDE w:val="0"/>
        <w:autoSpaceDN w:val="0"/>
        <w:bidi w:val="0"/>
        <w:adjustRightInd/>
        <w:snapToGrid/>
        <w:spacing w:before="0" w:after="0" w:line="576" w:lineRule="exact"/>
        <w:ind w:firstLine="640" w:firstLineChars="200"/>
        <w:textAlignment w:val="auto"/>
        <w:outlineLvl w:val="1"/>
        <w:rPr>
          <w:rFonts w:hint="eastAsia" w:ascii="Times New Roman" w:hAnsi="Times New Roman" w:eastAsia="黑体" w:cs="Times New Roman"/>
          <w:b w:val="0"/>
          <w:color w:val="auto"/>
          <w:sz w:val="32"/>
          <w:szCs w:val="32"/>
          <w:highlight w:val="none"/>
          <w:lang w:val="en-US" w:eastAsia="zh-CN"/>
        </w:rPr>
      </w:pPr>
      <w:bookmarkStart w:id="10" w:name="_Toc15377200"/>
      <w:bookmarkStart w:id="11" w:name="_Toc20806"/>
      <w:bookmarkStart w:id="12" w:name="_Toc15396601"/>
      <w:r>
        <w:rPr>
          <w:rFonts w:hint="eastAsia" w:ascii="Times New Roman" w:hAnsi="Times New Roman" w:eastAsia="黑体" w:cs="Times New Roman"/>
          <w:b w:val="0"/>
          <w:color w:val="auto"/>
          <w:sz w:val="32"/>
          <w:szCs w:val="32"/>
          <w:highlight w:val="none"/>
          <w:lang w:val="en-US" w:eastAsia="zh-CN"/>
        </w:rPr>
        <w:t>二、机构设置</w:t>
      </w:r>
      <w:bookmarkEnd w:id="10"/>
      <w:bookmarkEnd w:id="11"/>
      <w:bookmarkEnd w:id="12"/>
    </w:p>
    <w:p w14:paraId="5C1B7C5D">
      <w:pPr>
        <w:keepNext w:val="0"/>
        <w:keepLines w:val="0"/>
        <w:pageBreakBefore w:val="0"/>
        <w:widowControl w:val="0"/>
        <w:kinsoku/>
        <w:wordWrap/>
        <w:overflowPunct w:val="0"/>
        <w:topLinePunct/>
        <w:autoSpaceDE w:val="0"/>
        <w:autoSpaceDN w:val="0"/>
        <w:bidi w:val="0"/>
        <w:spacing w:line="576" w:lineRule="exact"/>
        <w:ind w:firstLine="640" w:firstLineChars="200"/>
        <w:textAlignment w:val="auto"/>
        <w:outlineLvl w:val="9"/>
        <w:rPr>
          <w:rFonts w:hint="eastAsia" w:ascii="Times New Roman" w:hAnsi="Times New Roman" w:eastAsia="仿宋_GB2312" w:cs="仿宋_GB2312"/>
          <w:color w:val="auto"/>
          <w:sz w:val="32"/>
          <w:szCs w:val="32"/>
          <w:highlight w:val="none"/>
        </w:rPr>
      </w:pPr>
      <w:r>
        <w:rPr>
          <w:rFonts w:hint="default" w:ascii="Times New Roman" w:hAnsi="Times New Roman" w:eastAsia="仿宋_GB2312" w:cs="Times New Roman"/>
          <w:b w:val="0"/>
          <w:bCs w:val="0"/>
          <w:color w:val="000000"/>
          <w:kern w:val="2"/>
          <w:sz w:val="32"/>
          <w:szCs w:val="32"/>
        </w:rPr>
        <w:t>广元市昭化区乡村振兴局</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335C458E">
      <w:pPr>
        <w:pStyle w:val="5"/>
        <w:keepNext w:val="0"/>
        <w:keepLines w:val="0"/>
        <w:pageBreakBefore w:val="0"/>
        <w:widowControl w:val="0"/>
        <w:kinsoku/>
        <w:wordWrap/>
        <w:overflowPunct w:val="0"/>
        <w:topLinePunct/>
        <w:autoSpaceDE w:val="0"/>
        <w:autoSpaceDN w:val="0"/>
        <w:bidi w:val="0"/>
        <w:adjustRightInd w:val="0"/>
        <w:snapToGrid w:val="0"/>
        <w:spacing w:beforeLines="0" w:line="576" w:lineRule="exact"/>
        <w:ind w:firstLine="640" w:firstLineChars="200"/>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纳入</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w:t>
      </w:r>
      <w:r>
        <w:rPr>
          <w:rFonts w:hint="eastAsia" w:ascii="Times New Roman" w:cs="仿宋_GB2312"/>
          <w:color w:val="auto"/>
          <w:sz w:val="32"/>
          <w:szCs w:val="32"/>
          <w:highlight w:val="none"/>
          <w:lang w:val="en-US" w:eastAsia="zh-CN"/>
        </w:rPr>
        <w:t>一</w:t>
      </w:r>
      <w:r>
        <w:rPr>
          <w:rFonts w:hint="eastAsia" w:ascii="Times New Roman" w:hAnsi="Times New Roman" w:eastAsia="仿宋_GB2312" w:cs="仿宋_GB2312"/>
          <w:color w:val="auto"/>
          <w:sz w:val="32"/>
          <w:szCs w:val="32"/>
          <w:highlight w:val="none"/>
        </w:rPr>
        <w:t>级预算单位包括：</w:t>
      </w:r>
    </w:p>
    <w:p w14:paraId="391E459E">
      <w:pPr>
        <w:keepNext w:val="0"/>
        <w:keepLines w:val="0"/>
        <w:pageBreakBefore w:val="0"/>
        <w:widowControl w:val="0"/>
        <w:kinsoku/>
        <w:wordWrap/>
        <w:overflowPunct w:val="0"/>
        <w:topLinePunct/>
        <w:autoSpaceDE w:val="0"/>
        <w:autoSpaceDN w:val="0"/>
        <w:bidi w:val="0"/>
        <w:spacing w:line="576" w:lineRule="exact"/>
        <w:ind w:firstLine="640" w:firstLineChars="200"/>
        <w:jc w:val="both"/>
        <w:textAlignment w:val="auto"/>
        <w:outlineLvl w:val="9"/>
        <w:rPr>
          <w:rFonts w:hint="eastAsia" w:ascii="仿宋_GB2312" w:hAnsi="仿宋_GB2312" w:eastAsia="仿宋_GB2312"/>
          <w:i/>
          <w:color w:val="000000"/>
          <w:sz w:val="32"/>
          <w:szCs w:val="32"/>
          <w:highlight w:val="yellow"/>
          <w:lang w:val="en-US"/>
        </w:rPr>
      </w:pPr>
      <w:r>
        <w:rPr>
          <w:rFonts w:hint="eastAsia" w:ascii="仿宋_GB2312" w:hAnsi="仿宋_GB2312" w:eastAsia="仿宋_GB2312"/>
          <w:color w:val="000000"/>
          <w:sz w:val="32"/>
          <w:szCs w:val="32"/>
          <w:lang w:val="en-US"/>
        </w:rPr>
        <w:t>1.广元市昭化区乡村振兴局</w:t>
      </w:r>
    </w:p>
    <w:p w14:paraId="00904FE3">
      <w:pPr>
        <w:keepNext w:val="0"/>
        <w:keepLines w:val="0"/>
        <w:pageBreakBefore w:val="0"/>
        <w:widowControl w:val="0"/>
        <w:kinsoku/>
        <w:wordWrap/>
        <w:overflowPunct w:val="0"/>
        <w:topLinePunct/>
        <w:autoSpaceDE w:val="0"/>
        <w:autoSpaceDN w:val="0"/>
        <w:bidi w:val="0"/>
        <w:spacing w:line="576" w:lineRule="exact"/>
        <w:jc w:val="both"/>
        <w:textAlignment w:val="auto"/>
        <w:outlineLvl w:val="9"/>
        <w:rPr>
          <w:rFonts w:hint="eastAsia" w:ascii="黑体" w:hAnsi="黑体" w:eastAsia="仿宋_GB2312"/>
          <w:b/>
          <w:color w:val="auto"/>
          <w:kern w:val="44"/>
          <w:sz w:val="44"/>
          <w:szCs w:val="24"/>
          <w:lang w:val="en-US" w:eastAsia="zh-CN"/>
        </w:rPr>
      </w:pPr>
    </w:p>
    <w:p w14:paraId="47FD05E6">
      <w:pPr>
        <w:keepNext w:val="0"/>
        <w:keepLines w:val="0"/>
        <w:pageBreakBefore w:val="0"/>
        <w:widowControl w:val="0"/>
        <w:kinsoku/>
        <w:wordWrap/>
        <w:overflowPunct w:val="0"/>
        <w:topLinePunct/>
        <w:autoSpaceDE w:val="0"/>
        <w:autoSpaceDN w:val="0"/>
        <w:bidi w:val="0"/>
        <w:jc w:val="left"/>
        <w:textAlignment w:val="auto"/>
        <w:rPr>
          <w:rFonts w:ascii="Times New Roman" w:hAnsi="Times New Roman" w:eastAsia="仿宋"/>
          <w:color w:val="auto"/>
          <w:kern w:val="0"/>
          <w:sz w:val="32"/>
          <w:szCs w:val="32"/>
          <w:highlight w:val="none"/>
        </w:rPr>
      </w:pPr>
      <w:r>
        <w:br w:type="page"/>
      </w:r>
    </w:p>
    <w:p w14:paraId="7CAAAB9F">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13" w:name="_Toc15377204"/>
      <w:bookmarkStart w:id="14" w:name="_Toc28626"/>
      <w:bookmarkStart w:id="15" w:name="_Toc15396602"/>
      <w:r>
        <w:rPr>
          <w:rFonts w:hint="eastAsia" w:ascii="方正小标宋简体" w:hAnsi="方正小标宋简体" w:eastAsia="方正小标宋简体" w:cs="方正小标宋简体"/>
          <w:color w:val="auto"/>
          <w:sz w:val="44"/>
          <w:szCs w:val="44"/>
          <w:highlight w:val="none"/>
        </w:rPr>
        <w:t>第二部分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lang w:val="en-US" w:eastAsia="zh-CN"/>
        </w:rPr>
        <w:t>2024年度</w:t>
      </w:r>
      <w:r>
        <w:rPr>
          <w:rFonts w:hint="eastAsia" w:ascii="方正小标宋简体" w:hAnsi="方正小标宋简体" w:eastAsia="方正小标宋简体" w:cs="方正小标宋简体"/>
          <w:color w:val="auto"/>
          <w:sz w:val="44"/>
          <w:szCs w:val="44"/>
          <w:highlight w:val="none"/>
        </w:rPr>
        <w:t>部门决算情况说明</w:t>
      </w:r>
      <w:bookmarkEnd w:id="13"/>
      <w:bookmarkEnd w:id="14"/>
      <w:bookmarkEnd w:id="15"/>
    </w:p>
    <w:p w14:paraId="1BFB9FFC">
      <w:pPr>
        <w:pStyle w:val="5"/>
        <w:keepNext w:val="0"/>
        <w:keepLines w:val="0"/>
        <w:pageBreakBefore w:val="0"/>
        <w:widowControl w:val="0"/>
        <w:kinsoku/>
        <w:wordWrap/>
        <w:overflowPunct w:val="0"/>
        <w:topLinePunct/>
        <w:autoSpaceDE w:val="0"/>
        <w:autoSpaceDN w:val="0"/>
        <w:bidi w:val="0"/>
        <w:textAlignment w:val="auto"/>
      </w:pPr>
    </w:p>
    <w:p w14:paraId="1A6A996A">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Style w:val="31"/>
          <w:rFonts w:hint="eastAsia" w:ascii="Times New Roman" w:hAnsi="Times New Roman" w:eastAsia="黑体"/>
          <w:b w:val="0"/>
          <w:color w:val="auto"/>
          <w:sz w:val="32"/>
          <w:szCs w:val="32"/>
          <w:highlight w:val="none"/>
        </w:rPr>
      </w:pPr>
      <w:bookmarkStart w:id="16" w:name="_Toc15377205"/>
      <w:bookmarkStart w:id="17" w:name="_Toc650"/>
      <w:bookmarkStart w:id="18"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sz w:val="32"/>
          <w:szCs w:val="32"/>
          <w:highlight w:val="none"/>
        </w:rPr>
        <w:t>入支出决算总体情况说明</w:t>
      </w:r>
      <w:bookmarkEnd w:id="16"/>
      <w:bookmarkEnd w:id="17"/>
      <w:bookmarkEnd w:id="18"/>
    </w:p>
    <w:p w14:paraId="2744BD5F">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24"/>
          <w:lang w:val="en-US"/>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407.8</w:t>
      </w:r>
      <w:r>
        <w:rPr>
          <w:rFonts w:hint="eastAsia" w:ascii="仿宋_GB2312" w:hAnsi="仿宋_GB2312" w:eastAsia="仿宋_GB2312"/>
          <w:color w:val="000000"/>
          <w:kern w:val="2"/>
          <w:sz w:val="32"/>
          <w:szCs w:val="24"/>
          <w:lang w:val="en-US"/>
        </w:rPr>
        <w:t>万元。与202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相比，收、支总计各减少</w:t>
      </w:r>
      <w:r>
        <w:rPr>
          <w:rFonts w:hint="eastAsia" w:ascii="仿宋_GB2312" w:hAnsi="仿宋_GB2312" w:eastAsia="仿宋_GB2312"/>
          <w:color w:val="000000"/>
          <w:kern w:val="2"/>
          <w:sz w:val="32"/>
          <w:szCs w:val="24"/>
          <w:lang w:val="en-US" w:eastAsia="zh-CN"/>
        </w:rPr>
        <w:t>3,072.85</w:t>
      </w:r>
      <w:r>
        <w:rPr>
          <w:rFonts w:hint="eastAsia" w:ascii="仿宋_GB2312" w:hAnsi="仿宋_GB2312" w:eastAsia="仿宋_GB2312"/>
          <w:color w:val="000000"/>
          <w:kern w:val="2"/>
          <w:sz w:val="32"/>
          <w:szCs w:val="24"/>
          <w:lang w:val="en-US"/>
        </w:rPr>
        <w:t>万元，下降</w:t>
      </w:r>
      <w:r>
        <w:rPr>
          <w:rFonts w:hint="eastAsia" w:ascii="仿宋_GB2312" w:hAnsi="仿宋_GB2312" w:eastAsia="仿宋_GB2312"/>
          <w:color w:val="000000"/>
          <w:kern w:val="2"/>
          <w:sz w:val="32"/>
          <w:szCs w:val="24"/>
          <w:lang w:val="en-US" w:eastAsia="zh-CN"/>
        </w:rPr>
        <w:t>41.1</w:t>
      </w:r>
      <w:r>
        <w:rPr>
          <w:rFonts w:hint="eastAsia" w:ascii="仿宋_GB2312" w:hAnsi="仿宋_GB2312" w:eastAsia="仿宋_GB2312"/>
          <w:color w:val="000000"/>
          <w:kern w:val="2"/>
          <w:sz w:val="32"/>
          <w:szCs w:val="24"/>
          <w:lang w:val="en-US"/>
        </w:rPr>
        <w:t>%。主要变动原因是机构改革，2024年下半年我单位划入区农业农村局，部分人员类、公用经费类、特定目标类项目调剂到合并单位。</w:t>
      </w:r>
    </w:p>
    <w:p w14:paraId="28405BFA">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240" w:lineRule="auto"/>
        <w:jc w:val="center"/>
        <w:textAlignment w:val="auto"/>
        <w:outlineLvl w:val="9"/>
        <w:rPr>
          <w:rFonts w:hint="eastAsia" w:ascii="仿宋_GB2312" w:hAnsi="仿宋_GB2312" w:eastAsia="仿宋_GB2312"/>
          <w:color w:val="000000"/>
          <w:kern w:val="2"/>
          <w:sz w:val="32"/>
          <w:szCs w:val="24"/>
          <w:lang w:val="en-US" w:eastAsia="zh-CN"/>
        </w:rPr>
      </w:pPr>
      <w:r>
        <w:rPr>
          <w:rFonts w:hint="eastAsia" w:ascii="仿宋_GB2312" w:hAnsi="仿宋_GB2312" w:eastAsia="仿宋_GB2312"/>
          <w:color w:val="000000"/>
          <w:kern w:val="2"/>
          <w:sz w:val="32"/>
          <w:szCs w:val="24"/>
          <w:lang w:val="en-US" w:eastAsia="zh-CN"/>
        </w:rPr>
        <w:drawing>
          <wp:inline distT="0" distB="0" distL="114300" distR="114300">
            <wp:extent cx="4657090" cy="2493010"/>
            <wp:effectExtent l="0" t="0" r="3810" b="8890"/>
            <wp:docPr id="156"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5" descr="图片1"/>
                    <pic:cNvPicPr>
                      <a:picLocks noChangeAspect="1"/>
                    </pic:cNvPicPr>
                  </pic:nvPicPr>
                  <pic:blipFill>
                    <a:blip r:embed="rId10"/>
                    <a:stretch>
                      <a:fillRect/>
                    </a:stretch>
                  </pic:blipFill>
                  <pic:spPr>
                    <a:xfrm>
                      <a:off x="0" y="0"/>
                      <a:ext cx="4657090" cy="2493010"/>
                    </a:xfrm>
                    <a:prstGeom prst="rect">
                      <a:avLst/>
                    </a:prstGeom>
                  </pic:spPr>
                </pic:pic>
              </a:graphicData>
            </a:graphic>
          </wp:inline>
        </w:drawing>
      </w:r>
    </w:p>
    <w:p w14:paraId="606F3D0F">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ascii="Times New Roman" w:hAnsi="Times New Roman" w:eastAsia="仿宋_GB2312" w:cs="仿宋_GB2312"/>
          <w:color w:val="auto"/>
          <w:sz w:val="32"/>
          <w:szCs w:val="32"/>
          <w:highlight w:val="none"/>
        </w:rPr>
      </w:pPr>
      <w:r>
        <w:rPr>
          <w:rFonts w:hint="eastAsia" w:ascii="仿宋_GB2312" w:hAnsi="仿宋_GB2312" w:eastAsia="仿宋_GB2312"/>
          <w:color w:val="000000"/>
          <w:kern w:val="2"/>
          <w:sz w:val="32"/>
          <w:szCs w:val="32"/>
          <w:highlight w:val="none"/>
          <w:lang w:val="en-US"/>
        </w:rPr>
        <w:t>（图1：收、支决算总计变动情况图）</w:t>
      </w:r>
    </w:p>
    <w:p w14:paraId="31EEA59D">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Fonts w:hint="eastAsia" w:ascii="Times New Roman" w:hAnsi="Times New Roman" w:eastAsia="黑体" w:cs="Times New Roman"/>
          <w:color w:val="auto"/>
          <w:sz w:val="32"/>
          <w:szCs w:val="32"/>
          <w:highlight w:val="none"/>
          <w:lang w:eastAsia="zh-CN"/>
        </w:rPr>
      </w:pPr>
      <w:bookmarkStart w:id="19" w:name="_Toc29179"/>
      <w:bookmarkStart w:id="20" w:name="_Toc15377206"/>
      <w:bookmarkStart w:id="21" w:name="_Toc15396604"/>
      <w:r>
        <w:rPr>
          <w:rFonts w:hint="eastAsia" w:ascii="Times New Roman" w:hAnsi="Times New Roman" w:eastAsia="黑体" w:cs="Times New Roman"/>
          <w:color w:val="auto"/>
          <w:sz w:val="32"/>
          <w:szCs w:val="32"/>
          <w:highlight w:val="none"/>
          <w:lang w:eastAsia="zh-CN"/>
        </w:rPr>
        <w:t>二、收入决算情况说明</w:t>
      </w:r>
      <w:bookmarkEnd w:id="19"/>
      <w:bookmarkEnd w:id="20"/>
      <w:bookmarkEnd w:id="21"/>
    </w:p>
    <w:p w14:paraId="490F39BD">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407.8</w:t>
      </w:r>
      <w:r>
        <w:rPr>
          <w:rFonts w:hint="eastAsia" w:ascii="仿宋_GB2312" w:hAnsi="仿宋_GB2312" w:eastAsia="仿宋_GB2312"/>
          <w:color w:val="000000"/>
          <w:kern w:val="2"/>
          <w:sz w:val="32"/>
          <w:szCs w:val="24"/>
          <w:lang w:val="en-US"/>
        </w:rPr>
        <w:t>万元，其中：一般公共预算财政拨款收入</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407.8</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w:t>
      </w:r>
      <w:r>
        <w:rPr>
          <w:rFonts w:hint="eastAsia" w:ascii="仿宋_GB2312" w:hAnsi="仿宋_GB2312" w:eastAsia="仿宋_GB2312" w:cs="仿宋_GB2312"/>
          <w:color w:val="auto"/>
          <w:sz w:val="32"/>
          <w:szCs w:val="32"/>
          <w:highlight w:val="none"/>
          <w:lang w:eastAsia="zh-CN"/>
        </w:rPr>
        <w:t>。</w:t>
      </w:r>
    </w:p>
    <w:p w14:paraId="02EA1F2A">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240" w:lineRule="auto"/>
        <w:jc w:val="center"/>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inline distT="0" distB="0" distL="114300" distR="114300">
            <wp:extent cx="4847590" cy="2574925"/>
            <wp:effectExtent l="0" t="0" r="3810" b="3175"/>
            <wp:docPr id="157" name="图片 6"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6" descr="图片2"/>
                    <pic:cNvPicPr>
                      <a:picLocks noChangeAspect="1"/>
                    </pic:cNvPicPr>
                  </pic:nvPicPr>
                  <pic:blipFill>
                    <a:blip r:embed="rId11"/>
                    <a:stretch>
                      <a:fillRect/>
                    </a:stretch>
                  </pic:blipFill>
                  <pic:spPr>
                    <a:xfrm>
                      <a:off x="0" y="0"/>
                      <a:ext cx="4847590" cy="2574925"/>
                    </a:xfrm>
                    <a:prstGeom prst="rect">
                      <a:avLst/>
                    </a:prstGeom>
                  </pic:spPr>
                </pic:pic>
              </a:graphicData>
            </a:graphic>
          </wp:inline>
        </w:drawing>
      </w:r>
    </w:p>
    <w:p w14:paraId="29E67028">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olor w:val="000000"/>
          <w:kern w:val="2"/>
          <w:sz w:val="32"/>
          <w:szCs w:val="32"/>
          <w:highlight w:val="none"/>
          <w:lang w:val="en-US"/>
        </w:rPr>
        <w:t>（图2：收入决算结构图）</w:t>
      </w:r>
    </w:p>
    <w:p w14:paraId="01A1715C">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Fonts w:hint="eastAsia" w:ascii="Times New Roman" w:hAnsi="Times New Roman" w:eastAsia="黑体" w:cs="Times New Roman"/>
          <w:color w:val="auto"/>
          <w:sz w:val="32"/>
          <w:szCs w:val="32"/>
          <w:highlight w:val="none"/>
          <w:lang w:eastAsia="zh-CN"/>
        </w:rPr>
      </w:pPr>
      <w:bookmarkStart w:id="22" w:name="_Toc15396605"/>
      <w:bookmarkStart w:id="23" w:name="_Toc15377207"/>
      <w:bookmarkStart w:id="24" w:name="_Toc5325"/>
      <w:r>
        <w:rPr>
          <w:rFonts w:hint="eastAsia" w:ascii="Times New Roman" w:hAnsi="Times New Roman" w:eastAsia="黑体" w:cs="Times New Roman"/>
          <w:color w:val="auto"/>
          <w:sz w:val="32"/>
          <w:szCs w:val="32"/>
          <w:highlight w:val="none"/>
          <w:lang w:eastAsia="zh-CN"/>
        </w:rPr>
        <w:t>三、支出决算情况说明</w:t>
      </w:r>
      <w:bookmarkEnd w:id="22"/>
      <w:bookmarkEnd w:id="23"/>
      <w:bookmarkEnd w:id="24"/>
    </w:p>
    <w:p w14:paraId="005C0AD9">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407.8</w:t>
      </w:r>
      <w:r>
        <w:rPr>
          <w:rFonts w:hint="eastAsia" w:ascii="仿宋_GB2312" w:hAnsi="仿宋_GB2312" w:eastAsia="仿宋_GB2312"/>
          <w:color w:val="000000"/>
          <w:kern w:val="2"/>
          <w:sz w:val="32"/>
          <w:szCs w:val="24"/>
          <w:lang w:val="en-US"/>
        </w:rPr>
        <w:t>万元，其中：基本支出</w:t>
      </w:r>
      <w:r>
        <w:rPr>
          <w:rFonts w:hint="eastAsia" w:ascii="仿宋_GB2312" w:hAnsi="仿宋_GB2312" w:eastAsia="仿宋_GB2312" w:cs="仿宋_GB2312"/>
          <w:sz w:val="32"/>
          <w:szCs w:val="32"/>
        </w:rPr>
        <w:t>210.07</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8</w:t>
      </w:r>
      <w:r>
        <w:rPr>
          <w:rFonts w:hint="eastAsia" w:ascii="仿宋_GB2312" w:hAnsi="仿宋_GB2312" w:eastAsia="仿宋_GB2312"/>
          <w:color w:val="000000"/>
          <w:kern w:val="2"/>
          <w:sz w:val="32"/>
          <w:szCs w:val="24"/>
          <w:lang w:val="en-US"/>
        </w:rPr>
        <w:t>%；项目支出</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197.73</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s="仿宋_GB2312"/>
          <w:sz w:val="32"/>
          <w:szCs w:val="32"/>
        </w:rPr>
        <w:t>95.2</w:t>
      </w:r>
      <w:r>
        <w:rPr>
          <w:rFonts w:hint="eastAsia" w:ascii="仿宋_GB2312" w:hAnsi="仿宋_GB2312" w:eastAsia="仿宋_GB2312"/>
          <w:color w:val="000000"/>
          <w:kern w:val="2"/>
          <w:sz w:val="32"/>
          <w:szCs w:val="24"/>
          <w:lang w:val="en-US"/>
        </w:rPr>
        <w:t>%</w:t>
      </w:r>
      <w:r>
        <w:rPr>
          <w:rFonts w:hint="eastAsia" w:ascii="仿宋_GB2312" w:hAnsi="仿宋_GB2312" w:eastAsia="仿宋_GB2312" w:cs="仿宋_GB2312"/>
          <w:color w:val="auto"/>
          <w:sz w:val="32"/>
          <w:szCs w:val="32"/>
          <w:highlight w:val="none"/>
          <w:lang w:eastAsia="zh-CN"/>
        </w:rPr>
        <w:t>。</w:t>
      </w:r>
    </w:p>
    <w:p w14:paraId="1018355A">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240" w:lineRule="auto"/>
        <w:jc w:val="center"/>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drawing>
          <wp:inline distT="0" distB="0" distL="114300" distR="114300">
            <wp:extent cx="5020945" cy="2879090"/>
            <wp:effectExtent l="0" t="0" r="8255" b="3810"/>
            <wp:docPr id="158" name="图片 7"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7" descr="图片3"/>
                    <pic:cNvPicPr>
                      <a:picLocks noChangeAspect="1"/>
                    </pic:cNvPicPr>
                  </pic:nvPicPr>
                  <pic:blipFill>
                    <a:blip r:embed="rId12"/>
                    <a:stretch>
                      <a:fillRect/>
                    </a:stretch>
                  </pic:blipFill>
                  <pic:spPr>
                    <a:xfrm>
                      <a:off x="0" y="0"/>
                      <a:ext cx="5020945" cy="2879090"/>
                    </a:xfrm>
                    <a:prstGeom prst="rect">
                      <a:avLst/>
                    </a:prstGeom>
                  </pic:spPr>
                </pic:pic>
              </a:graphicData>
            </a:graphic>
          </wp:inline>
        </w:drawing>
      </w:r>
    </w:p>
    <w:p w14:paraId="1A43F3E2">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sz w:val="32"/>
          <w:szCs w:val="32"/>
          <w:highlight w:val="none"/>
          <w:lang w:eastAsia="zh-CN"/>
        </w:rPr>
      </w:pPr>
      <w:r>
        <w:rPr>
          <w:rFonts w:hint="eastAsia" w:ascii="仿宋_GB2312" w:hAnsi="仿宋_GB2312" w:eastAsia="仿宋_GB2312"/>
          <w:color w:val="000000"/>
          <w:kern w:val="2"/>
          <w:sz w:val="32"/>
          <w:szCs w:val="32"/>
          <w:highlight w:val="none"/>
          <w:lang w:val="en-US"/>
        </w:rPr>
        <w:t>（图3：支出决算结构图）</w:t>
      </w:r>
    </w:p>
    <w:p w14:paraId="0ACD0AD1">
      <w:pPr>
        <w:rPr>
          <w:rFonts w:hint="eastAsia" w:ascii="Times New Roman" w:hAnsi="Times New Roman" w:eastAsia="黑体"/>
          <w:color w:val="auto"/>
          <w:sz w:val="32"/>
          <w:szCs w:val="32"/>
          <w:highlight w:val="none"/>
        </w:rPr>
      </w:pPr>
      <w:bookmarkStart w:id="25" w:name="_Toc15396606"/>
      <w:bookmarkStart w:id="26" w:name="_Toc15377208"/>
      <w:r>
        <w:br w:type="page"/>
      </w:r>
    </w:p>
    <w:p w14:paraId="50EBCA80">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Fonts w:hint="eastAsia" w:ascii="Times New Roman" w:hAnsi="Times New Roman" w:eastAsia="黑体" w:cs="Times New Roman"/>
          <w:color w:val="auto"/>
          <w:sz w:val="32"/>
          <w:szCs w:val="32"/>
          <w:highlight w:val="none"/>
          <w:lang w:eastAsia="zh-CN"/>
        </w:rPr>
      </w:pPr>
      <w:bookmarkStart w:id="27" w:name="_Toc24856"/>
      <w:r>
        <w:rPr>
          <w:rFonts w:hint="eastAsia" w:ascii="Times New Roman" w:hAnsi="Times New Roman" w:eastAsia="黑体" w:cs="Times New Roman"/>
          <w:color w:val="auto"/>
          <w:sz w:val="32"/>
          <w:szCs w:val="32"/>
          <w:highlight w:val="none"/>
          <w:lang w:eastAsia="zh-CN"/>
        </w:rPr>
        <w:t>四、财政拨款收入支出决算总体情况说明</w:t>
      </w:r>
      <w:bookmarkEnd w:id="25"/>
      <w:bookmarkEnd w:id="26"/>
      <w:bookmarkEnd w:id="27"/>
    </w:p>
    <w:p w14:paraId="0B881CB4">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24"/>
          <w:lang w:val="en-US"/>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407.8</w:t>
      </w:r>
      <w:r>
        <w:rPr>
          <w:rFonts w:hint="eastAsia" w:ascii="仿宋_GB2312" w:hAnsi="仿宋_GB2312" w:eastAsia="仿宋_GB2312"/>
          <w:color w:val="000000"/>
          <w:kern w:val="2"/>
          <w:sz w:val="32"/>
          <w:szCs w:val="24"/>
          <w:lang w:val="en-US"/>
        </w:rPr>
        <w:t>万元。与202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相比，财政拨款收、支总计各下降</w:t>
      </w:r>
      <w:r>
        <w:rPr>
          <w:rFonts w:hint="eastAsia" w:ascii="仿宋_GB2312" w:hAnsi="仿宋_GB2312" w:eastAsia="仿宋_GB2312"/>
          <w:color w:val="000000"/>
          <w:kern w:val="2"/>
          <w:sz w:val="32"/>
          <w:szCs w:val="24"/>
          <w:lang w:val="en-US" w:eastAsia="zh-CN"/>
        </w:rPr>
        <w:t>41.1</w:t>
      </w:r>
      <w:r>
        <w:rPr>
          <w:rFonts w:hint="eastAsia" w:ascii="仿宋_GB2312" w:hAnsi="仿宋_GB2312" w:eastAsia="仿宋_GB2312"/>
          <w:color w:val="000000"/>
          <w:kern w:val="2"/>
          <w:sz w:val="32"/>
          <w:szCs w:val="24"/>
          <w:lang w:val="en-US"/>
        </w:rPr>
        <w:t>%。主要变动原因是机构改革，2024年下半年我单位划入区农业农村局，部分人员类、公用经费类、特定目标类项目调剂到合并单位。</w:t>
      </w:r>
    </w:p>
    <w:p w14:paraId="1C53C15F">
      <w:pPr>
        <w:pStyle w:val="5"/>
        <w:jc w:val="center"/>
        <w:rPr>
          <w:rFonts w:hint="eastAsia"/>
          <w:lang w:val="en-US" w:eastAsia="zh-CN"/>
        </w:rPr>
      </w:pPr>
      <w:r>
        <w:rPr>
          <w:rFonts w:hint="eastAsia"/>
          <w:lang w:val="en-US" w:eastAsia="zh-CN"/>
        </w:rPr>
        <w:drawing>
          <wp:inline distT="0" distB="0" distL="114300" distR="114300">
            <wp:extent cx="4657090" cy="2493010"/>
            <wp:effectExtent l="0" t="0" r="3810" b="8890"/>
            <wp:docPr id="159"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8" descr="图片1"/>
                    <pic:cNvPicPr>
                      <a:picLocks noChangeAspect="1"/>
                    </pic:cNvPicPr>
                  </pic:nvPicPr>
                  <pic:blipFill>
                    <a:blip r:embed="rId10"/>
                    <a:stretch>
                      <a:fillRect/>
                    </a:stretch>
                  </pic:blipFill>
                  <pic:spPr>
                    <a:xfrm>
                      <a:off x="0" y="0"/>
                      <a:ext cx="4657090" cy="2493010"/>
                    </a:xfrm>
                    <a:prstGeom prst="rect">
                      <a:avLst/>
                    </a:prstGeom>
                  </pic:spPr>
                </pic:pic>
              </a:graphicData>
            </a:graphic>
          </wp:inline>
        </w:drawing>
      </w:r>
    </w:p>
    <w:p w14:paraId="7E7A16C0">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olor w:val="000000"/>
          <w:kern w:val="2"/>
          <w:sz w:val="32"/>
          <w:szCs w:val="32"/>
          <w:highlight w:val="none"/>
          <w:lang w:val="en-US"/>
        </w:rPr>
        <w:t>（图4：财政拨款收、支决算总计变动情况）</w:t>
      </w:r>
    </w:p>
    <w:p w14:paraId="24D54471">
      <w:pPr>
        <w:pStyle w:val="29"/>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1"/>
        <w:rPr>
          <w:rFonts w:hint="eastAsia" w:ascii="Times New Roman" w:hAnsi="Times New Roman" w:eastAsia="黑体" w:cs="Times New Roman"/>
          <w:color w:val="auto"/>
          <w:sz w:val="32"/>
          <w:szCs w:val="32"/>
          <w:highlight w:val="none"/>
          <w:lang w:eastAsia="zh-CN"/>
        </w:rPr>
      </w:pPr>
      <w:bookmarkStart w:id="28" w:name="_Toc15377209"/>
      <w:bookmarkStart w:id="29" w:name="_Toc15396607"/>
      <w:bookmarkStart w:id="30" w:name="_Toc1374"/>
      <w:r>
        <w:rPr>
          <w:rFonts w:hint="eastAsia" w:ascii="Times New Roman" w:hAnsi="Times New Roman" w:eastAsia="黑体" w:cs="Times New Roman"/>
          <w:color w:val="auto"/>
          <w:sz w:val="32"/>
          <w:szCs w:val="32"/>
          <w:highlight w:val="none"/>
          <w:lang w:eastAsia="zh-CN"/>
        </w:rPr>
        <w:t>五、一般公共预算财政拨款支出决算情况说明</w:t>
      </w:r>
      <w:bookmarkEnd w:id="28"/>
      <w:bookmarkEnd w:id="29"/>
      <w:bookmarkEnd w:id="30"/>
      <w:bookmarkStart w:id="94" w:name="_GoBack"/>
      <w:bookmarkEnd w:id="94"/>
    </w:p>
    <w:p w14:paraId="1A66B861">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31"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1"/>
    </w:p>
    <w:p w14:paraId="04BEB6AC">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24"/>
          <w:lang w:val="en-US"/>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407.8</w:t>
      </w:r>
      <w:r>
        <w:rPr>
          <w:rFonts w:hint="eastAsia" w:ascii="仿宋_GB2312" w:hAnsi="仿宋_GB2312" w:eastAsia="仿宋_GB2312"/>
          <w:color w:val="000000"/>
          <w:kern w:val="2"/>
          <w:sz w:val="32"/>
          <w:szCs w:val="24"/>
          <w:lang w:val="en-US"/>
        </w:rPr>
        <w:t>万元，占本年支出合计的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%。与202</w:t>
      </w:r>
      <w:r>
        <w:rPr>
          <w:rFonts w:hint="eastAsia" w:ascii="仿宋_GB2312" w:hAnsi="仿宋_GB2312" w:eastAsia="仿宋_GB2312"/>
          <w:color w:val="000000"/>
          <w:kern w:val="2"/>
          <w:sz w:val="32"/>
          <w:szCs w:val="24"/>
          <w:lang w:val="en-US" w:eastAsia="zh-CN"/>
        </w:rPr>
        <w:t>3</w:t>
      </w:r>
      <w:r>
        <w:rPr>
          <w:rFonts w:hint="eastAsia" w:ascii="仿宋_GB2312" w:hAnsi="仿宋_GB2312" w:eastAsia="仿宋_GB2312"/>
          <w:color w:val="000000"/>
          <w:kern w:val="2"/>
          <w:sz w:val="32"/>
          <w:szCs w:val="24"/>
          <w:lang w:val="en-US"/>
        </w:rPr>
        <w:t>年</w:t>
      </w:r>
      <w:r>
        <w:rPr>
          <w:rFonts w:hint="eastAsia" w:ascii="仿宋_GB2312" w:hAnsi="仿宋_GB2312" w:eastAsia="仿宋_GB2312"/>
          <w:color w:val="000000"/>
          <w:kern w:val="2"/>
          <w:sz w:val="32"/>
          <w:szCs w:val="24"/>
          <w:lang w:val="en-US" w:eastAsia="zh-CN"/>
        </w:rPr>
        <w:t>度</w:t>
      </w:r>
      <w:r>
        <w:rPr>
          <w:rFonts w:hint="eastAsia" w:ascii="仿宋_GB2312" w:hAnsi="仿宋_GB2312" w:eastAsia="仿宋_GB2312"/>
          <w:color w:val="000000"/>
          <w:kern w:val="2"/>
          <w:sz w:val="32"/>
          <w:szCs w:val="24"/>
          <w:lang w:val="en-US"/>
        </w:rPr>
        <w:t>相比，一般公共预算财政拨款支出下降</w:t>
      </w:r>
      <w:r>
        <w:rPr>
          <w:rFonts w:hint="eastAsia" w:ascii="仿宋_GB2312" w:hAnsi="仿宋_GB2312" w:eastAsia="仿宋_GB2312"/>
          <w:color w:val="000000"/>
          <w:kern w:val="2"/>
          <w:sz w:val="32"/>
          <w:szCs w:val="24"/>
          <w:lang w:val="en-US" w:eastAsia="zh-CN"/>
        </w:rPr>
        <w:t>41.1</w:t>
      </w:r>
      <w:r>
        <w:rPr>
          <w:rFonts w:hint="eastAsia" w:ascii="仿宋_GB2312" w:hAnsi="仿宋_GB2312" w:eastAsia="仿宋_GB2312"/>
          <w:color w:val="000000"/>
          <w:kern w:val="2"/>
          <w:sz w:val="32"/>
          <w:szCs w:val="24"/>
          <w:lang w:val="en-US"/>
        </w:rPr>
        <w:t>%。主要变动原因是机构改革，2024年下半年我单位划入区农业农村局，部分人员类、公用经费类、特定目标类项目调剂到合并单位。</w:t>
      </w:r>
    </w:p>
    <w:p w14:paraId="0F432EC1">
      <w:pPr>
        <w:pStyle w:val="5"/>
        <w:jc w:val="center"/>
        <w:rPr>
          <w:rFonts w:hint="eastAsia"/>
          <w:lang w:val="en-US" w:eastAsia="zh-CN"/>
        </w:rPr>
      </w:pPr>
      <w:r>
        <w:rPr>
          <w:rFonts w:hint="eastAsia"/>
          <w:lang w:val="en-US" w:eastAsia="zh-CN"/>
        </w:rPr>
        <w:drawing>
          <wp:inline distT="0" distB="0" distL="114300" distR="114300">
            <wp:extent cx="4657090" cy="2493010"/>
            <wp:effectExtent l="0" t="0" r="3810" b="8890"/>
            <wp:docPr id="160" name="图片 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9" descr="图片1"/>
                    <pic:cNvPicPr>
                      <a:picLocks noChangeAspect="1"/>
                    </pic:cNvPicPr>
                  </pic:nvPicPr>
                  <pic:blipFill>
                    <a:blip r:embed="rId10"/>
                    <a:stretch>
                      <a:fillRect/>
                    </a:stretch>
                  </pic:blipFill>
                  <pic:spPr>
                    <a:xfrm>
                      <a:off x="0" y="0"/>
                      <a:ext cx="4657090" cy="2493010"/>
                    </a:xfrm>
                    <a:prstGeom prst="rect">
                      <a:avLst/>
                    </a:prstGeom>
                  </pic:spPr>
                </pic:pic>
              </a:graphicData>
            </a:graphic>
          </wp:inline>
        </w:drawing>
      </w:r>
    </w:p>
    <w:p w14:paraId="36934B4F">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191D0567">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32"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2"/>
    </w:p>
    <w:p w14:paraId="4ADB1F4D">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olor w:val="000000"/>
          <w:kern w:val="2"/>
          <w:sz w:val="32"/>
          <w:szCs w:val="24"/>
          <w:lang w:val="en-US"/>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407.8</w:t>
      </w:r>
      <w:r>
        <w:rPr>
          <w:rFonts w:hint="eastAsia" w:ascii="仿宋_GB2312" w:hAnsi="仿宋_GB2312" w:eastAsia="仿宋_GB2312"/>
          <w:color w:val="000000"/>
          <w:kern w:val="2"/>
          <w:sz w:val="32"/>
          <w:szCs w:val="24"/>
          <w:lang w:val="en-US"/>
        </w:rPr>
        <w:t>万元，主要用于以下方面: 社会保障和就业支出</w:t>
      </w:r>
      <w:r>
        <w:rPr>
          <w:rFonts w:hint="eastAsia" w:ascii="仿宋_GB2312" w:hAnsi="仿宋_GB2312" w:eastAsia="仿宋_GB2312"/>
          <w:color w:val="000000"/>
          <w:kern w:val="2"/>
          <w:sz w:val="32"/>
          <w:szCs w:val="24"/>
          <w:lang w:val="en-US" w:eastAsia="zh-CN"/>
        </w:rPr>
        <w:t>28.91</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0.7</w:t>
      </w:r>
      <w:r>
        <w:rPr>
          <w:rFonts w:hint="eastAsia" w:ascii="仿宋_GB2312" w:hAnsi="仿宋_GB2312" w:eastAsia="仿宋_GB2312"/>
          <w:color w:val="000000"/>
          <w:kern w:val="2"/>
          <w:sz w:val="32"/>
          <w:szCs w:val="24"/>
          <w:lang w:val="en-US"/>
        </w:rPr>
        <w:t>%；卫生健康支出</w:t>
      </w:r>
      <w:r>
        <w:rPr>
          <w:rFonts w:hint="eastAsia" w:ascii="仿宋_GB2312" w:hAnsi="仿宋_GB2312" w:eastAsia="仿宋_GB2312"/>
          <w:color w:val="000000"/>
          <w:kern w:val="2"/>
          <w:sz w:val="32"/>
          <w:szCs w:val="24"/>
          <w:lang w:val="en-US" w:eastAsia="zh-CN"/>
        </w:rPr>
        <w:t>7.83</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0.2</w:t>
      </w:r>
      <w:r>
        <w:rPr>
          <w:rFonts w:hint="eastAsia" w:ascii="仿宋_GB2312" w:hAnsi="仿宋_GB2312" w:eastAsia="仿宋_GB2312"/>
          <w:color w:val="000000"/>
          <w:kern w:val="2"/>
          <w:sz w:val="32"/>
          <w:szCs w:val="24"/>
          <w:lang w:val="en-US"/>
        </w:rPr>
        <w:t>%；农林水支出</w:t>
      </w:r>
      <w:r>
        <w:rPr>
          <w:rFonts w:hint="eastAsia" w:ascii="仿宋_GB2312" w:hAnsi="仿宋_GB2312" w:eastAsia="仿宋_GB2312"/>
          <w:color w:val="000000"/>
          <w:kern w:val="2"/>
          <w:sz w:val="32"/>
          <w:szCs w:val="24"/>
          <w:lang w:val="en-US" w:eastAsia="zh-CN"/>
        </w:rPr>
        <w:t>4,354.27</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98.7</w:t>
      </w:r>
      <w:r>
        <w:rPr>
          <w:rFonts w:hint="eastAsia" w:ascii="仿宋_GB2312" w:hAnsi="仿宋_GB2312" w:eastAsia="仿宋_GB2312"/>
          <w:color w:val="000000"/>
          <w:kern w:val="2"/>
          <w:sz w:val="32"/>
          <w:szCs w:val="24"/>
          <w:lang w:val="en-US"/>
        </w:rPr>
        <w:t>%；住房保障支出</w:t>
      </w:r>
      <w:r>
        <w:rPr>
          <w:rFonts w:hint="eastAsia" w:ascii="仿宋_GB2312" w:hAnsi="仿宋_GB2312" w:eastAsia="仿宋_GB2312"/>
          <w:color w:val="000000"/>
          <w:kern w:val="2"/>
          <w:sz w:val="32"/>
          <w:szCs w:val="24"/>
          <w:lang w:val="en-US" w:eastAsia="zh-CN"/>
        </w:rPr>
        <w:t>16.78</w:t>
      </w:r>
      <w:r>
        <w:rPr>
          <w:rFonts w:hint="eastAsia" w:ascii="仿宋_GB2312" w:hAnsi="仿宋_GB2312" w:eastAsia="仿宋_GB2312"/>
          <w:color w:val="000000"/>
          <w:kern w:val="2"/>
          <w:sz w:val="32"/>
          <w:szCs w:val="24"/>
          <w:lang w:val="en-US"/>
        </w:rPr>
        <w:t>万元，占</w:t>
      </w:r>
      <w:r>
        <w:rPr>
          <w:rFonts w:hint="eastAsia" w:ascii="仿宋_GB2312" w:hAnsi="仿宋_GB2312" w:eastAsia="仿宋_GB2312"/>
          <w:color w:val="000000"/>
          <w:kern w:val="2"/>
          <w:sz w:val="32"/>
          <w:szCs w:val="24"/>
          <w:lang w:val="en-US" w:eastAsia="zh-CN"/>
        </w:rPr>
        <w:t>0.4</w:t>
      </w:r>
      <w:r>
        <w:rPr>
          <w:rFonts w:hint="eastAsia" w:ascii="仿宋_GB2312" w:hAnsi="仿宋_GB2312" w:eastAsia="仿宋_GB2312"/>
          <w:color w:val="000000"/>
          <w:kern w:val="2"/>
          <w:sz w:val="32"/>
          <w:szCs w:val="24"/>
          <w:lang w:val="en-US"/>
        </w:rPr>
        <w:t>%。</w:t>
      </w:r>
    </w:p>
    <w:p w14:paraId="51214D53">
      <w:pPr>
        <w:pStyle w:val="5"/>
        <w:jc w:val="center"/>
        <w:rPr>
          <w:rFonts w:hint="eastAsia"/>
          <w:lang w:val="en-US" w:eastAsia="zh-CN"/>
        </w:rPr>
      </w:pPr>
      <w:r>
        <w:rPr>
          <w:rFonts w:hint="eastAsia"/>
          <w:lang w:val="en-US" w:eastAsia="zh-CN"/>
        </w:rPr>
        <w:drawing>
          <wp:inline distT="0" distB="0" distL="114300" distR="114300">
            <wp:extent cx="5611495" cy="2074545"/>
            <wp:effectExtent l="0" t="0" r="1905" b="8255"/>
            <wp:docPr id="161" name="图片 10"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10" descr="图片4"/>
                    <pic:cNvPicPr>
                      <a:picLocks noChangeAspect="1"/>
                    </pic:cNvPicPr>
                  </pic:nvPicPr>
                  <pic:blipFill>
                    <a:blip r:embed="rId13"/>
                    <a:stretch>
                      <a:fillRect/>
                    </a:stretch>
                  </pic:blipFill>
                  <pic:spPr>
                    <a:xfrm>
                      <a:off x="0" y="0"/>
                      <a:ext cx="5611495" cy="2074545"/>
                    </a:xfrm>
                    <a:prstGeom prst="rect">
                      <a:avLst/>
                    </a:prstGeom>
                  </pic:spPr>
                </pic:pic>
              </a:graphicData>
            </a:graphic>
          </wp:inline>
        </w:drawing>
      </w:r>
    </w:p>
    <w:p w14:paraId="4015FA57">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olor w:val="000000"/>
          <w:kern w:val="2"/>
          <w:sz w:val="32"/>
          <w:szCs w:val="32"/>
          <w:highlight w:val="none"/>
          <w:lang w:val="en-US"/>
        </w:rPr>
        <w:t>（图6：一般公共预算财政拨款支出决算结构）</w:t>
      </w:r>
    </w:p>
    <w:p w14:paraId="20374102">
      <w:pPr>
        <w:rPr>
          <w:rFonts w:hint="eastAsia" w:ascii="Times New Roman" w:hAnsi="Times New Roman" w:eastAsia="楷体_GB2312" w:cs="楷体_GB2312"/>
          <w:b/>
          <w:color w:val="auto"/>
          <w:sz w:val="32"/>
          <w:szCs w:val="32"/>
          <w:highlight w:val="none"/>
        </w:rPr>
      </w:pPr>
      <w:bookmarkStart w:id="33" w:name="_Toc15377212"/>
      <w:r>
        <w:br w:type="page"/>
      </w:r>
    </w:p>
    <w:p w14:paraId="5B1123EA">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33"/>
    </w:p>
    <w:p w14:paraId="0A73B614">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bookmarkStart w:id="34" w:name="_Toc15377213"/>
      <w:bookmarkStart w:id="35" w:name="_Toc15377444"/>
      <w:bookmarkStart w:id="36"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407.8</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ascii="仿宋_GB2312" w:hAnsi="仿宋_GB2312" w:eastAsia="仿宋_GB2312" w:cs="Times New Roman"/>
          <w:color w:val="000000"/>
          <w:kern w:val="2"/>
          <w:sz w:val="32"/>
          <w:szCs w:val="24"/>
          <w:lang w:val="en-US" w:eastAsia="zh-CN"/>
        </w:rPr>
        <w:t>100</w:t>
      </w:r>
      <w:r>
        <w:rPr>
          <w:rFonts w:hint="eastAsia" w:ascii="仿宋_GB2312" w:hAnsi="仿宋_GB2312" w:eastAsia="仿宋_GB2312" w:cs="Times New Roman"/>
          <w:color w:val="000000"/>
          <w:kern w:val="2"/>
          <w:sz w:val="32"/>
          <w:szCs w:val="24"/>
          <w:lang w:val="en-US"/>
        </w:rPr>
        <w:t>%</w:t>
      </w:r>
      <w:r>
        <w:rPr>
          <w:rFonts w:hint="eastAsia" w:ascii="Times New Roman" w:hAnsi="Times New Roman" w:eastAsia="仿宋_GB2312" w:cs="仿宋_GB2312"/>
          <w:color w:val="auto"/>
          <w:kern w:val="2"/>
          <w:sz w:val="32"/>
          <w:szCs w:val="32"/>
          <w:highlight w:val="none"/>
          <w:lang w:val="en-US" w:eastAsia="zh-CN" w:bidi="ar-SA"/>
        </w:rPr>
        <w:t>。其中：</w:t>
      </w:r>
      <w:bookmarkEnd w:id="34"/>
      <w:bookmarkEnd w:id="35"/>
      <w:bookmarkEnd w:id="36"/>
    </w:p>
    <w:p w14:paraId="7EF81138">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lang w:val="en-US" w:eastAsia="zh-CN"/>
        </w:rPr>
      </w:pPr>
      <w:r>
        <w:rPr>
          <w:rFonts w:hint="eastAsia" w:ascii="仿宋_GB2312" w:hAnsi="仿宋_GB2312" w:eastAsia="仿宋_GB2312"/>
          <w:b/>
          <w:color w:val="000000"/>
          <w:kern w:val="2"/>
          <w:sz w:val="32"/>
          <w:szCs w:val="24"/>
          <w:lang w:val="en-US"/>
        </w:rPr>
        <w:t>1.社会保障和就业支出（类）行政事业单位养老支出（款）行政单位离退休（项）:</w:t>
      </w:r>
      <w:r>
        <w:rPr>
          <w:rFonts w:hint="eastAsia" w:ascii="仿宋_GB2312" w:hAnsi="仿宋_GB2312" w:eastAsia="仿宋_GB2312"/>
          <w:color w:val="000000"/>
          <w:kern w:val="2"/>
          <w:sz w:val="32"/>
          <w:szCs w:val="24"/>
          <w:lang w:val="en-US"/>
        </w:rPr>
        <w:t>全年预算为6万元，支出决算为6万元，完成全年预算的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lang w:val="en-US" w:eastAsia="zh-CN"/>
        </w:rPr>
        <w:t>决算数等于预算数。</w:t>
      </w:r>
    </w:p>
    <w:p w14:paraId="40387827">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lang w:val="en-US" w:eastAsia="zh-CN"/>
        </w:rPr>
      </w:pPr>
      <w:r>
        <w:rPr>
          <w:rFonts w:hint="eastAsia" w:ascii="仿宋_GB2312" w:hAnsi="仿宋_GB2312" w:eastAsia="仿宋_GB2312"/>
          <w:b/>
          <w:color w:val="000000"/>
          <w:kern w:val="2"/>
          <w:sz w:val="32"/>
          <w:szCs w:val="24"/>
          <w:lang w:val="en-US"/>
        </w:rPr>
        <w:t>2.社会保障和就业支出（类）行政事业单位养老支出（款）机关事业单位基本养老保险缴费支出（项）:</w:t>
      </w:r>
      <w:r>
        <w:rPr>
          <w:rFonts w:hint="eastAsia" w:ascii="仿宋_GB2312" w:hAnsi="仿宋_GB2312" w:eastAsia="仿宋_GB2312"/>
          <w:color w:val="000000"/>
          <w:kern w:val="2"/>
          <w:sz w:val="32"/>
          <w:szCs w:val="24"/>
          <w:lang w:val="en-US"/>
        </w:rPr>
        <w:t>全年预算为22.37万元，支出决算为22.37万元，完成全年预算的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lang w:val="en-US" w:eastAsia="zh-CN"/>
        </w:rPr>
        <w:t>决算数等于预算数。</w:t>
      </w:r>
    </w:p>
    <w:p w14:paraId="1202B498">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lang w:val="en-US" w:eastAsia="zh-CN"/>
        </w:rPr>
      </w:pPr>
      <w:r>
        <w:rPr>
          <w:rFonts w:hint="eastAsia" w:ascii="仿宋_GB2312" w:hAnsi="仿宋_GB2312" w:eastAsia="仿宋_GB2312"/>
          <w:b/>
          <w:color w:val="000000"/>
          <w:kern w:val="2"/>
          <w:sz w:val="32"/>
          <w:szCs w:val="24"/>
          <w:lang w:val="en-US"/>
        </w:rPr>
        <w:t>3.社会保障和就业支出（类）其他社会保障和就业支出（款）其他社会保障和就业支出（项）:</w:t>
      </w:r>
      <w:r>
        <w:rPr>
          <w:rFonts w:hint="eastAsia" w:ascii="仿宋_GB2312" w:hAnsi="仿宋_GB2312" w:eastAsia="仿宋_GB2312"/>
          <w:color w:val="000000"/>
          <w:kern w:val="2"/>
          <w:sz w:val="32"/>
          <w:szCs w:val="24"/>
          <w:lang w:val="en-US"/>
        </w:rPr>
        <w:t>全年预算为0.54万元，支出决算为0.54万元，完成全年预算的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lang w:val="en-US" w:eastAsia="zh-CN"/>
        </w:rPr>
        <w:t>决算数等于预算数。</w:t>
      </w:r>
    </w:p>
    <w:p w14:paraId="7D003F8E">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lang w:val="en-US" w:eastAsia="zh-CN"/>
        </w:rPr>
      </w:pPr>
      <w:r>
        <w:rPr>
          <w:rFonts w:hint="eastAsia" w:ascii="仿宋_GB2312" w:hAnsi="仿宋_GB2312" w:eastAsia="仿宋_GB2312"/>
          <w:b/>
          <w:color w:val="000000"/>
          <w:kern w:val="2"/>
          <w:sz w:val="32"/>
          <w:szCs w:val="24"/>
          <w:lang w:val="en-US"/>
        </w:rPr>
        <w:t>4.卫生健康支出（类）行政事业单位医疗（款）行政单位医疗（项）:</w:t>
      </w:r>
      <w:r>
        <w:rPr>
          <w:rFonts w:hint="eastAsia" w:ascii="仿宋_GB2312" w:hAnsi="仿宋_GB2312" w:eastAsia="仿宋_GB2312"/>
          <w:color w:val="000000"/>
          <w:kern w:val="2"/>
          <w:sz w:val="32"/>
          <w:szCs w:val="24"/>
          <w:lang w:val="en-US"/>
        </w:rPr>
        <w:t>全年预算为3.94万元，支出决算为3.94万元，完成全年预算的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lang w:val="en-US" w:eastAsia="zh-CN"/>
        </w:rPr>
        <w:t>决算数等于预算数。</w:t>
      </w:r>
    </w:p>
    <w:p w14:paraId="6B7E65BA">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lang w:val="en-US" w:eastAsia="zh-CN"/>
        </w:rPr>
      </w:pPr>
      <w:r>
        <w:rPr>
          <w:rFonts w:hint="eastAsia" w:ascii="仿宋_GB2312" w:hAnsi="仿宋_GB2312" w:eastAsia="仿宋_GB2312"/>
          <w:b/>
          <w:color w:val="000000"/>
          <w:kern w:val="2"/>
          <w:sz w:val="32"/>
          <w:szCs w:val="24"/>
          <w:lang w:val="en-US"/>
        </w:rPr>
        <w:t>5.卫生健康支出（类）行政事业单位医疗（款）事业单位医疗（项）:</w:t>
      </w:r>
      <w:r>
        <w:rPr>
          <w:rFonts w:hint="eastAsia" w:ascii="仿宋_GB2312" w:hAnsi="仿宋_GB2312" w:eastAsia="仿宋_GB2312"/>
          <w:color w:val="000000"/>
          <w:kern w:val="2"/>
          <w:sz w:val="32"/>
          <w:szCs w:val="24"/>
          <w:lang w:val="en-US"/>
        </w:rPr>
        <w:t>全年预算为3.9万元，支出决算为3.9万元，完成全年预算的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lang w:val="en-US" w:eastAsia="zh-CN"/>
        </w:rPr>
        <w:t>决算数等于预算数。</w:t>
      </w:r>
    </w:p>
    <w:p w14:paraId="54C762B4">
      <w:pPr>
        <w:overflowPunct w:val="0"/>
        <w:topLinePunct/>
        <w:spacing w:beforeLines="0" w:afterLines="0" w:line="576" w:lineRule="exact"/>
        <w:ind w:firstLine="643" w:firstLineChars="200"/>
        <w:jc w:val="both"/>
        <w:rPr>
          <w:rFonts w:hint="eastAsia" w:ascii="仿宋_GB2312" w:hAnsi="仿宋_GB2312" w:eastAsia="仿宋_GB2312"/>
          <w:b/>
          <w:color w:val="000000"/>
          <w:kern w:val="2"/>
          <w:sz w:val="32"/>
          <w:szCs w:val="24"/>
          <w:lang w:val="en-US" w:eastAsia="zh-CN"/>
        </w:rPr>
      </w:pPr>
      <w:r>
        <w:rPr>
          <w:rFonts w:hint="eastAsia" w:ascii="仿宋_GB2312" w:hAnsi="仿宋_GB2312" w:eastAsia="仿宋_GB2312"/>
          <w:b/>
          <w:color w:val="000000"/>
          <w:kern w:val="2"/>
          <w:sz w:val="32"/>
          <w:szCs w:val="24"/>
          <w:lang w:val="en-US"/>
        </w:rPr>
        <w:t>6.农林水支出（类）农业农村（款）其他农业农村支出（项）:</w:t>
      </w:r>
      <w:r>
        <w:rPr>
          <w:rFonts w:hint="eastAsia" w:ascii="仿宋_GB2312" w:hAnsi="仿宋_GB2312" w:eastAsia="仿宋_GB2312"/>
          <w:color w:val="000000"/>
          <w:kern w:val="2"/>
          <w:sz w:val="32"/>
          <w:szCs w:val="24"/>
          <w:lang w:val="en-US"/>
        </w:rPr>
        <w:t>全年预算为347万元，支出决算为347万元，完成全年预算的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lang w:val="en-US" w:eastAsia="zh-CN"/>
        </w:rPr>
        <w:t>决算数等于预算数。</w:t>
      </w:r>
    </w:p>
    <w:p w14:paraId="0CC6F96D">
      <w:pPr>
        <w:keepNext w:val="0"/>
        <w:keepLines w:val="0"/>
        <w:pageBreakBefore w:val="0"/>
        <w:widowControl w:val="0"/>
        <w:kinsoku/>
        <w:wordWrap/>
        <w:overflowPunct w:val="0"/>
        <w:topLinePunct/>
        <w:autoSpaceDE w:val="0"/>
        <w:autoSpaceDN w:val="0"/>
        <w:bidi w:val="0"/>
        <w:adjustRightInd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lang w:val="en-US" w:eastAsia="zh-CN"/>
        </w:rPr>
      </w:pPr>
      <w:r>
        <w:rPr>
          <w:rFonts w:hint="eastAsia" w:ascii="仿宋_GB2312" w:hAnsi="仿宋_GB2312" w:eastAsia="仿宋_GB2312"/>
          <w:b/>
          <w:color w:val="000000"/>
          <w:kern w:val="2"/>
          <w:sz w:val="32"/>
          <w:szCs w:val="24"/>
          <w:lang w:val="en-US" w:eastAsia="zh-CN"/>
        </w:rPr>
        <w:t>7</w:t>
      </w:r>
      <w:r>
        <w:rPr>
          <w:rFonts w:hint="eastAsia" w:ascii="仿宋_GB2312" w:hAnsi="仿宋_GB2312" w:eastAsia="仿宋_GB2312"/>
          <w:b/>
          <w:color w:val="000000"/>
          <w:kern w:val="2"/>
          <w:sz w:val="32"/>
          <w:szCs w:val="24"/>
          <w:lang w:val="en-US"/>
        </w:rPr>
        <w:t>.农林水支出（类）巩固脱贫攻坚成果衔接乡村振兴（款）行政运行（项）:</w:t>
      </w:r>
      <w:r>
        <w:rPr>
          <w:rFonts w:hint="eastAsia" w:ascii="仿宋_GB2312" w:hAnsi="仿宋_GB2312" w:eastAsia="仿宋_GB2312"/>
          <w:color w:val="000000"/>
          <w:kern w:val="2"/>
          <w:sz w:val="32"/>
          <w:szCs w:val="24"/>
          <w:lang w:val="en-US"/>
        </w:rPr>
        <w:t>全年预算为101.71万元，支出决算为101.71万元，完成全年预算的</w:t>
      </w:r>
      <w:r>
        <w:rPr>
          <w:rFonts w:hint="eastAsia" w:ascii="仿宋_GB2312" w:hAnsi="仿宋_GB2312" w:eastAsia="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w:t>
      </w:r>
      <w:r>
        <w:rPr>
          <w:rFonts w:hint="eastAsia" w:ascii="仿宋_GB2312" w:hAnsi="仿宋_GB2312" w:eastAsia="仿宋_GB2312"/>
          <w:color w:val="000000"/>
          <w:kern w:val="2"/>
          <w:sz w:val="32"/>
          <w:szCs w:val="24"/>
          <w:lang w:val="en-US" w:eastAsia="zh-CN"/>
        </w:rPr>
        <w:t>决算数等于预算数。</w:t>
      </w:r>
    </w:p>
    <w:p w14:paraId="78FDD2D9">
      <w:pPr>
        <w:pStyle w:val="5"/>
        <w:keepNext w:val="0"/>
        <w:keepLines w:val="0"/>
        <w:pageBreakBefore w:val="0"/>
        <w:widowControl w:val="0"/>
        <w:kinsoku/>
        <w:wordWrap/>
        <w:autoSpaceDE w:val="0"/>
        <w:autoSpaceDN w:val="0"/>
        <w:bidi w:val="0"/>
        <w:adjustRightInd w:val="0"/>
        <w:snapToGrid/>
        <w:spacing w:beforeLines="0" w:line="576" w:lineRule="exact"/>
        <w:ind w:firstLine="643" w:firstLineChars="200"/>
        <w:textAlignment w:val="auto"/>
        <w:rPr>
          <w:rFonts w:hint="eastAsia" w:ascii="仿宋_GB2312" w:hAnsi="仿宋_GB2312" w:eastAsia="仿宋_GB2312"/>
          <w:color w:val="000000"/>
          <w:kern w:val="2"/>
          <w:sz w:val="32"/>
          <w:szCs w:val="24"/>
          <w:lang w:val="en-US" w:eastAsia="zh-CN"/>
        </w:rPr>
      </w:pPr>
      <w:r>
        <w:rPr>
          <w:rFonts w:hint="eastAsia" w:hAnsi="仿宋_GB2312"/>
          <w:b/>
          <w:color w:val="000000"/>
          <w:kern w:val="2"/>
          <w:sz w:val="32"/>
          <w:szCs w:val="24"/>
          <w:lang w:val="en-US" w:eastAsia="zh-CN"/>
        </w:rPr>
        <w:t>8</w:t>
      </w:r>
      <w:r>
        <w:rPr>
          <w:rFonts w:hint="eastAsia" w:ascii="仿宋_GB2312" w:hAnsi="仿宋_GB2312" w:eastAsia="仿宋_GB2312"/>
          <w:b/>
          <w:color w:val="000000"/>
          <w:kern w:val="2"/>
          <w:sz w:val="32"/>
          <w:szCs w:val="24"/>
          <w:lang w:val="en-US"/>
        </w:rPr>
        <w:t>.农林水支出（类）巩固脱贫攻坚成果衔接乡村振兴（款）事业运行（项）:</w:t>
      </w:r>
      <w:r>
        <w:rPr>
          <w:rFonts w:hint="eastAsia" w:ascii="仿宋_GB2312" w:hAnsi="仿宋_GB2312" w:eastAsia="仿宋_GB2312"/>
          <w:color w:val="000000"/>
          <w:kern w:val="2"/>
          <w:sz w:val="32"/>
          <w:szCs w:val="24"/>
          <w:lang w:val="en-US"/>
        </w:rPr>
        <w:t>全年预算为54.83万元，支出决算为54.83万元，完成全年预算的</w:t>
      </w:r>
      <w:r>
        <w:rPr>
          <w:rFonts w:hint="eastAsia" w:hAnsi="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w:t>
      </w:r>
      <w:r>
        <w:rPr>
          <w:rFonts w:hint="eastAsia" w:hAnsi="仿宋_GB2312"/>
          <w:color w:val="000000"/>
          <w:kern w:val="2"/>
          <w:sz w:val="32"/>
          <w:szCs w:val="24"/>
          <w:lang w:val="en-US" w:eastAsia="zh-CN"/>
        </w:rPr>
        <w:t>决算数等于预算数。</w:t>
      </w:r>
    </w:p>
    <w:p w14:paraId="43A7F6FE">
      <w:pPr>
        <w:pStyle w:val="5"/>
        <w:keepNext w:val="0"/>
        <w:keepLines w:val="0"/>
        <w:pageBreakBefore w:val="0"/>
        <w:widowControl w:val="0"/>
        <w:kinsoku/>
        <w:wordWrap/>
        <w:autoSpaceDE w:val="0"/>
        <w:autoSpaceDN w:val="0"/>
        <w:bidi w:val="0"/>
        <w:adjustRightInd w:val="0"/>
        <w:snapToGrid/>
        <w:spacing w:beforeLines="0" w:line="576" w:lineRule="exact"/>
        <w:ind w:firstLine="643" w:firstLineChars="200"/>
        <w:textAlignment w:val="auto"/>
        <w:rPr>
          <w:rFonts w:hint="eastAsia" w:ascii="仿宋_GB2312" w:hAnsi="仿宋_GB2312" w:eastAsia="仿宋_GB2312"/>
          <w:color w:val="000000"/>
          <w:kern w:val="2"/>
          <w:sz w:val="32"/>
          <w:szCs w:val="24"/>
          <w:lang w:val="en-US" w:eastAsia="zh-CN"/>
        </w:rPr>
      </w:pPr>
      <w:r>
        <w:rPr>
          <w:rFonts w:hint="eastAsia" w:hAnsi="仿宋_GB2312"/>
          <w:b/>
          <w:color w:val="000000"/>
          <w:kern w:val="2"/>
          <w:sz w:val="32"/>
          <w:szCs w:val="24"/>
          <w:lang w:val="en-US" w:eastAsia="zh-CN"/>
        </w:rPr>
        <w:t>9</w:t>
      </w:r>
      <w:r>
        <w:rPr>
          <w:rFonts w:hint="eastAsia" w:ascii="仿宋_GB2312" w:hAnsi="仿宋_GB2312" w:eastAsia="仿宋_GB2312"/>
          <w:b/>
          <w:color w:val="000000"/>
          <w:kern w:val="2"/>
          <w:sz w:val="32"/>
          <w:szCs w:val="24"/>
          <w:lang w:val="en-US"/>
        </w:rPr>
        <w:t>.农林水支出（类）巩固脱贫攻坚成果衔接乡村振兴（款）其他巩固脱贫攻坚成果衔接乡村振兴支出（项）:</w:t>
      </w:r>
      <w:r>
        <w:rPr>
          <w:rFonts w:hint="eastAsia" w:ascii="仿宋_GB2312" w:hAnsi="仿宋_GB2312" w:eastAsia="仿宋_GB2312"/>
          <w:color w:val="000000"/>
          <w:kern w:val="2"/>
          <w:sz w:val="32"/>
          <w:szCs w:val="24"/>
          <w:lang w:val="en-US"/>
        </w:rPr>
        <w:t>全年预算为3,850.73万元，支出决算为3,850.73万元，完成全年预算的</w:t>
      </w:r>
      <w:r>
        <w:rPr>
          <w:rFonts w:hint="eastAsia" w:hAnsi="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w:t>
      </w:r>
      <w:r>
        <w:rPr>
          <w:rFonts w:hint="eastAsia" w:hAnsi="仿宋_GB2312"/>
          <w:color w:val="000000"/>
          <w:kern w:val="2"/>
          <w:sz w:val="32"/>
          <w:szCs w:val="24"/>
          <w:lang w:val="en-US" w:eastAsia="zh-CN"/>
        </w:rPr>
        <w:t>决算数等于预算数。</w:t>
      </w:r>
    </w:p>
    <w:p w14:paraId="73BCF7DC">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hAnsi="仿宋_GB2312"/>
          <w:b/>
          <w:color w:val="000000"/>
          <w:kern w:val="2"/>
          <w:sz w:val="32"/>
          <w:szCs w:val="24"/>
          <w:lang w:val="en-US" w:eastAsia="zh-CN"/>
        </w:rPr>
        <w:t>10</w:t>
      </w:r>
      <w:r>
        <w:rPr>
          <w:rFonts w:hint="eastAsia" w:ascii="仿宋_GB2312" w:hAnsi="仿宋_GB2312" w:eastAsia="仿宋_GB2312"/>
          <w:b/>
          <w:color w:val="000000"/>
          <w:kern w:val="2"/>
          <w:sz w:val="32"/>
          <w:szCs w:val="24"/>
          <w:lang w:val="en-US"/>
        </w:rPr>
        <w:t>.住房保障支出（类）住房改革支出（款）住房公积金（项）:</w:t>
      </w:r>
      <w:r>
        <w:rPr>
          <w:rFonts w:hint="eastAsia" w:ascii="仿宋_GB2312" w:hAnsi="仿宋_GB2312" w:eastAsia="仿宋_GB2312"/>
          <w:color w:val="000000"/>
          <w:kern w:val="2"/>
          <w:sz w:val="32"/>
          <w:szCs w:val="24"/>
          <w:lang w:val="en-US"/>
        </w:rPr>
        <w:t>全年预算为16.78万元，支出决算为16.78万元，完成全年预算的</w:t>
      </w:r>
      <w:r>
        <w:rPr>
          <w:rFonts w:hint="eastAsia" w:hAnsi="仿宋_GB2312"/>
          <w:color w:val="000000"/>
          <w:kern w:val="2"/>
          <w:sz w:val="32"/>
          <w:szCs w:val="24"/>
          <w:lang w:val="en-US" w:eastAsia="zh-CN"/>
        </w:rPr>
        <w:t>100</w:t>
      </w:r>
      <w:r>
        <w:rPr>
          <w:rFonts w:hint="eastAsia" w:ascii="仿宋_GB2312" w:hAnsi="仿宋_GB2312" w:eastAsia="仿宋_GB2312"/>
          <w:color w:val="000000"/>
          <w:kern w:val="2"/>
          <w:sz w:val="32"/>
          <w:szCs w:val="24"/>
          <w:lang w:val="en-US"/>
        </w:rPr>
        <w:t>%。</w:t>
      </w:r>
      <w:r>
        <w:rPr>
          <w:rFonts w:hint="eastAsia" w:hAnsi="仿宋_GB2312"/>
          <w:color w:val="000000"/>
          <w:kern w:val="2"/>
          <w:sz w:val="32"/>
          <w:szCs w:val="24"/>
          <w:lang w:val="en-US" w:eastAsia="zh-CN"/>
        </w:rPr>
        <w:t>决算数等于预算数。</w:t>
      </w:r>
    </w:p>
    <w:p w14:paraId="6A2B72DF">
      <w:pPr>
        <w:keepNext w:val="0"/>
        <w:keepLines w:val="0"/>
        <w:pageBreakBefore w:val="0"/>
        <w:widowControl w:val="0"/>
        <w:tabs>
          <w:tab w:val="right" w:pos="8306"/>
        </w:tabs>
        <w:kinsoku/>
        <w:wordWrap/>
        <w:overflowPunct w:val="0"/>
        <w:topLinePunct/>
        <w:autoSpaceDE w:val="0"/>
        <w:autoSpaceDN w:val="0"/>
        <w:bidi w:val="0"/>
        <w:adjustRightInd/>
        <w:snapToGrid/>
        <w:spacing w:line="576" w:lineRule="exact"/>
        <w:ind w:left="0" w:firstLine="640" w:firstLineChars="200"/>
        <w:jc w:val="both"/>
        <w:textAlignment w:val="auto"/>
        <w:outlineLvl w:val="1"/>
        <w:rPr>
          <w:rStyle w:val="31"/>
          <w:rFonts w:ascii="Times New Roman" w:hAnsi="Times New Roman"/>
          <w:color w:val="auto"/>
          <w:sz w:val="32"/>
          <w:szCs w:val="32"/>
          <w:highlight w:val="none"/>
        </w:rPr>
      </w:pPr>
      <w:bookmarkStart w:id="37" w:name="_Toc18120"/>
      <w:bookmarkStart w:id="38" w:name="_Toc15396608"/>
      <w:bookmarkStart w:id="39"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sz w:val="32"/>
          <w:szCs w:val="32"/>
          <w:highlight w:val="none"/>
        </w:rPr>
        <w:t>般公共预算财政拨款基本支出决算情况说明</w:t>
      </w:r>
      <w:bookmarkEnd w:id="37"/>
      <w:bookmarkEnd w:id="38"/>
      <w:bookmarkEnd w:id="39"/>
    </w:p>
    <w:p w14:paraId="391BDB9E">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210.07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2B0C4D68">
      <w:pPr>
        <w:overflowPunct w:val="0"/>
        <w:topLinePunct/>
        <w:spacing w:beforeLines="0" w:afterLines="0" w:line="576" w:lineRule="exact"/>
        <w:ind w:firstLine="640" w:firstLineChars="200"/>
        <w:jc w:val="both"/>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191.74</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_GB2312" w:hAnsi="仿宋_GB2312" w:eastAsia="仿宋_GB2312"/>
          <w:color w:val="000000"/>
          <w:kern w:val="2"/>
          <w:sz w:val="32"/>
          <w:szCs w:val="24"/>
          <w:lang w:val="en-US"/>
        </w:rPr>
        <w:t>基本工资58.48万元、津贴补贴14.52万元、奖金39.46万元、绩效工资25.77万元、机关事业单位基本养老保险缴费22.37万元、职工基本医疗保险缴费7.83万元、其他社会保障缴费0.54万元、住房公积金16.78万元、生活补助6万元。</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lang w:val="en-US" w:eastAsia="zh-CN"/>
        </w:rPr>
        <w:t>18.32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_GB2312" w:hAnsi="仿宋_GB2312" w:eastAsia="仿宋_GB2312"/>
          <w:color w:val="000000"/>
          <w:kern w:val="2"/>
          <w:sz w:val="32"/>
          <w:szCs w:val="24"/>
          <w:lang w:val="en-US"/>
        </w:rPr>
        <w:t>办公费6.33万元、水费0.21万元、电费0.44万元、邮电费1.26万元、差旅费5.49万元、会议费0.34万元、培训费0.41万元、公务接待费0.83万元、工会经费1.03万元、其他交通费用1.98万元</w:t>
      </w:r>
      <w:r>
        <w:rPr>
          <w:rFonts w:hint="eastAsia" w:ascii="Times New Roman" w:hAnsi="Times New Roman" w:eastAsia="仿宋_GB2312" w:cs="仿宋_GB2312"/>
          <w:color w:val="auto"/>
          <w:kern w:val="2"/>
          <w:sz w:val="32"/>
          <w:szCs w:val="32"/>
          <w:highlight w:val="none"/>
          <w:lang w:val="en-US" w:eastAsia="zh-CN" w:bidi="ar-SA"/>
        </w:rPr>
        <w:t>。</w:t>
      </w:r>
    </w:p>
    <w:p w14:paraId="5AC135B6">
      <w:pPr>
        <w:keepNext w:val="0"/>
        <w:keepLines w:val="0"/>
        <w:pageBreakBefore w:val="0"/>
        <w:widowControl w:val="0"/>
        <w:tabs>
          <w:tab w:val="right" w:pos="8306"/>
        </w:tabs>
        <w:kinsoku/>
        <w:wordWrap/>
        <w:overflowPunct w:val="0"/>
        <w:topLinePunct/>
        <w:autoSpaceDE w:val="0"/>
        <w:autoSpaceDN w:val="0"/>
        <w:bidi w:val="0"/>
        <w:adjustRightInd/>
        <w:snapToGrid/>
        <w:spacing w:line="576" w:lineRule="exact"/>
        <w:ind w:left="0" w:firstLine="640" w:firstLineChars="200"/>
        <w:jc w:val="both"/>
        <w:textAlignment w:val="auto"/>
        <w:outlineLvl w:val="1"/>
        <w:rPr>
          <w:rFonts w:hint="eastAsia" w:ascii="Times New Roman" w:hAnsi="Times New Roman" w:eastAsia="黑体" w:cs="Times New Roman"/>
          <w:color w:val="auto"/>
          <w:sz w:val="32"/>
          <w:szCs w:val="32"/>
          <w:highlight w:val="none"/>
        </w:rPr>
      </w:pPr>
      <w:bookmarkStart w:id="40" w:name="_Toc23238"/>
      <w:bookmarkStart w:id="41" w:name="_Toc15396609"/>
      <w:bookmarkStart w:id="42" w:name="_Toc15377215"/>
      <w:r>
        <w:rPr>
          <w:rFonts w:hint="eastAsia" w:ascii="Times New Roman" w:hAnsi="Times New Roman" w:eastAsia="黑体" w:cs="Times New Roman"/>
          <w:color w:val="auto"/>
          <w:sz w:val="32"/>
          <w:szCs w:val="32"/>
          <w:highlight w:val="none"/>
        </w:rPr>
        <w:t>七、财政拨款“三公”经费支出决算情况说明</w:t>
      </w:r>
      <w:bookmarkEnd w:id="40"/>
      <w:bookmarkEnd w:id="41"/>
      <w:bookmarkEnd w:id="42"/>
    </w:p>
    <w:p w14:paraId="56825746">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43"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3"/>
    </w:p>
    <w:p w14:paraId="72EFA2AE">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b/>
          <w:bCs/>
          <w:color w:val="auto"/>
          <w:kern w:val="2"/>
          <w:sz w:val="32"/>
          <w:szCs w:val="32"/>
          <w:highlight w:val="yellow"/>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olor w:val="000000"/>
          <w:kern w:val="2"/>
          <w:sz w:val="32"/>
          <w:szCs w:val="24"/>
          <w:lang w:val="en-US" w:eastAsia="zh-CN"/>
        </w:rPr>
        <w:t>16.83</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en-US"/>
        </w:rPr>
        <w:t>。决算数</w:t>
      </w:r>
      <w:r>
        <w:rPr>
          <w:rFonts w:hint="eastAsia" w:ascii="仿宋_GB2312" w:hAnsi="仿宋_GB2312" w:eastAsia="仿宋_GB2312"/>
          <w:color w:val="000000"/>
          <w:kern w:val="2"/>
          <w:sz w:val="32"/>
          <w:szCs w:val="24"/>
          <w:highlight w:val="none"/>
          <w:lang w:val="en-US"/>
        </w:rPr>
        <w:t>与预算数持平的主</w:t>
      </w:r>
      <w:r>
        <w:rPr>
          <w:rFonts w:hint="eastAsia" w:ascii="仿宋_GB2312" w:hAnsi="仿宋_GB2312" w:eastAsia="仿宋_GB2312"/>
          <w:color w:val="000000"/>
          <w:kern w:val="2"/>
          <w:sz w:val="32"/>
          <w:szCs w:val="24"/>
          <w:lang w:val="en-US"/>
        </w:rPr>
        <w:t>要原因是</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严格控制经费开支</w:t>
      </w:r>
      <w:r>
        <w:rPr>
          <w:rFonts w:hint="eastAsia" w:ascii="仿宋_GB2312" w:hAnsi="仿宋_GB2312" w:eastAsia="仿宋_GB2312"/>
          <w:color w:val="000000"/>
          <w:kern w:val="2"/>
          <w:sz w:val="32"/>
          <w:szCs w:val="24"/>
          <w:lang w:val="en-US"/>
        </w:rPr>
        <w:t>。</w:t>
      </w:r>
    </w:p>
    <w:p w14:paraId="2A2B7772">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44"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4"/>
    </w:p>
    <w:p w14:paraId="12B694ED">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16.83</w:t>
      </w:r>
      <w:r>
        <w:rPr>
          <w:rFonts w:hint="eastAsia" w:ascii="仿宋_GB2312" w:hAnsi="仿宋_GB2312" w:eastAsia="仿宋_GB2312" w:cs="仿宋_GB2312"/>
          <w:color w:val="auto"/>
          <w:kern w:val="2"/>
          <w:sz w:val="32"/>
          <w:szCs w:val="32"/>
          <w:highlight w:val="none"/>
          <w:lang w:val="en-US" w:eastAsia="zh-CN" w:bidi="ar-SA"/>
        </w:rPr>
        <w:t>万元，占100%。具体情况如下：</w:t>
      </w:r>
    </w:p>
    <w:p w14:paraId="2B5FE452">
      <w:pPr>
        <w:pStyle w:val="5"/>
        <w:jc w:val="center"/>
        <w:rPr>
          <w:rFonts w:hint="eastAsia"/>
          <w:lang w:val="en-US" w:eastAsia="zh-CN"/>
        </w:rPr>
      </w:pPr>
      <w:r>
        <w:rPr>
          <w:rFonts w:hint="eastAsia"/>
          <w:lang w:val="en-US" w:eastAsia="zh-CN"/>
        </w:rPr>
        <w:drawing>
          <wp:inline distT="0" distB="0" distL="114300" distR="114300">
            <wp:extent cx="4657090" cy="2670175"/>
            <wp:effectExtent l="0" t="0" r="3810" b="9525"/>
            <wp:docPr id="162" name="图片 11" descr="图片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1" descr="图片5"/>
                    <pic:cNvPicPr>
                      <a:picLocks noChangeAspect="1"/>
                    </pic:cNvPicPr>
                  </pic:nvPicPr>
                  <pic:blipFill>
                    <a:blip r:embed="rId14"/>
                    <a:stretch>
                      <a:fillRect/>
                    </a:stretch>
                  </pic:blipFill>
                  <pic:spPr>
                    <a:xfrm>
                      <a:off x="0" y="0"/>
                      <a:ext cx="4657090" cy="2670175"/>
                    </a:xfrm>
                    <a:prstGeom prst="rect">
                      <a:avLst/>
                    </a:prstGeom>
                  </pic:spPr>
                </pic:pic>
              </a:graphicData>
            </a:graphic>
          </wp:inline>
        </w:drawing>
      </w:r>
    </w:p>
    <w:p w14:paraId="07CB7483">
      <w:pPr>
        <w:keepNext w:val="0"/>
        <w:keepLines w:val="0"/>
        <w:pageBreakBefore w:val="0"/>
        <w:widowControl w:val="0"/>
        <w:kinsoku/>
        <w:wordWrap/>
        <w:overflowPunct w:val="0"/>
        <w:topLinePunct/>
        <w:autoSpaceDE w:val="0"/>
        <w:autoSpaceDN w:val="0"/>
        <w:bidi w:val="0"/>
        <w:adjustRightInd/>
        <w:snapToGrid/>
        <w:spacing w:line="576" w:lineRule="exact"/>
        <w:jc w:val="center"/>
        <w:textAlignment w:val="auto"/>
        <w:outlineLvl w:val="9"/>
        <w:rPr>
          <w:rFonts w:hint="eastAsia" w:ascii="仿宋_GB2312" w:hAnsi="仿宋_GB2312" w:eastAsia="仿宋_GB2312"/>
          <w:i/>
          <w:color w:val="000000"/>
          <w:kern w:val="2"/>
          <w:sz w:val="32"/>
          <w:szCs w:val="32"/>
          <w:highlight w:val="none"/>
          <w:lang w:val="en-US"/>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w:t>
      </w:r>
    </w:p>
    <w:p w14:paraId="21221A71">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b/>
          <w:color w:val="000000"/>
          <w:kern w:val="2"/>
          <w:sz w:val="32"/>
          <w:szCs w:val="24"/>
          <w:lang w:val="en-US"/>
        </w:rPr>
        <w:t>1.</w:t>
      </w: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ascii="仿宋_GB2312" w:hAnsi="仿宋_GB2312"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ascii="仿宋_GB2312" w:hAnsi="仿宋_GB2312" w:eastAsia="仿宋_GB2312"/>
          <w:color w:val="000000"/>
          <w:kern w:val="2"/>
          <w:sz w:val="32"/>
          <w:szCs w:val="24"/>
          <w:lang w:val="en-US"/>
        </w:rPr>
        <w:t>年初未安排预算。因公出国（境）支出决算较2023年度无变化</w:t>
      </w:r>
      <w:r>
        <w:rPr>
          <w:rFonts w:hint="eastAsia" w:ascii="仿宋_GB2312" w:hAnsi="仿宋_GB2312" w:eastAsia="仿宋_GB2312"/>
          <w:color w:val="000000"/>
          <w:kern w:val="2"/>
          <w:sz w:val="32"/>
          <w:szCs w:val="24"/>
          <w:lang w:val="en-US" w:eastAsia="zh-CN"/>
        </w:rPr>
        <w:t>。</w:t>
      </w:r>
    </w:p>
    <w:p w14:paraId="58F1052E">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firstLine="643"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b/>
          <w:color w:val="auto"/>
          <w:kern w:val="2"/>
          <w:sz w:val="32"/>
          <w:szCs w:val="24"/>
          <w:lang w:val="en-US"/>
        </w:rPr>
        <w:t>2.</w:t>
      </w:r>
      <w:r>
        <w:rPr>
          <w:rFonts w:hint="eastAsia" w:ascii="Times New Roman" w:hAnsi="Times New Roman" w:eastAsia="仿宋_GB2312" w:cs="仿宋_GB2312"/>
          <w:b/>
          <w:bCs/>
          <w:color w:val="auto"/>
          <w:kern w:val="2"/>
          <w:sz w:val="32"/>
          <w:szCs w:val="32"/>
          <w:highlight w:val="none"/>
          <w:lang w:val="en-US" w:eastAsia="zh-CN" w:bidi="ar-SA"/>
        </w:rPr>
        <w:t>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en-US"/>
        </w:rPr>
        <w:t>年初未安排预算</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w:t>
      </w:r>
      <w:r>
        <w:rPr>
          <w:rFonts w:hint="eastAsia" w:ascii="仿宋_GB2312" w:hAnsi="仿宋_GB2312" w:eastAsia="仿宋_GB2312"/>
          <w:color w:val="000000"/>
          <w:kern w:val="2"/>
          <w:sz w:val="32"/>
          <w:szCs w:val="24"/>
          <w:lang w:val="en-US"/>
        </w:rPr>
        <w:t>无变化</w:t>
      </w:r>
      <w:r>
        <w:rPr>
          <w:rFonts w:hint="eastAsia" w:ascii="仿宋_GB2312" w:hAnsi="仿宋_GB2312" w:eastAsia="仿宋_GB2312"/>
          <w:color w:val="000000"/>
          <w:kern w:val="2"/>
          <w:sz w:val="32"/>
          <w:szCs w:val="24"/>
          <w:lang w:val="en-US" w:eastAsia="zh-CN"/>
        </w:rPr>
        <w:t>。</w:t>
      </w:r>
    </w:p>
    <w:p w14:paraId="2EFBF562">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lang w:val="en-US" w:eastAsia="zh-CN"/>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r>
        <w:rPr>
          <w:rFonts w:hint="eastAsia" w:ascii="仿宋_GB2312" w:hAnsi="仿宋_GB2312" w:eastAsia="仿宋_GB2312"/>
          <w:color w:val="000000"/>
          <w:kern w:val="2"/>
          <w:sz w:val="32"/>
          <w:szCs w:val="32"/>
          <w:lang w:val="en-US"/>
        </w:rPr>
        <w:t>，</w:t>
      </w:r>
      <w:r>
        <w:rPr>
          <w:rFonts w:hint="eastAsia" w:ascii="Times New Roman" w:hAnsi="Times New Roman" w:eastAsia="仿宋_GB2312" w:cs="仿宋_GB2312"/>
          <w:color w:val="auto"/>
          <w:kern w:val="2"/>
          <w:sz w:val="32"/>
          <w:szCs w:val="32"/>
          <w:highlight w:val="none"/>
          <w:lang w:val="en-US" w:eastAsia="zh-CN" w:bidi="ar-SA"/>
        </w:rPr>
        <w:t>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550D7935">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sz w:val="32"/>
          <w:szCs w:val="32"/>
          <w:lang w:val="en-US" w:eastAsia="zh-CN"/>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出0</w:t>
      </w:r>
      <w:r>
        <w:rPr>
          <w:rFonts w:hint="eastAsia" w:ascii="Times New Roman" w:hAnsi="Times New Roman" w:eastAsia="仿宋_GB2312" w:cs="仿宋_GB2312"/>
          <w:color w:val="auto"/>
          <w:kern w:val="2"/>
          <w:sz w:val="32"/>
          <w:szCs w:val="32"/>
          <w:highlight w:val="none"/>
          <w:lang w:val="en-US" w:eastAsia="zh-CN" w:bidi="ar-SA"/>
        </w:rPr>
        <w:t>万元。</w:t>
      </w:r>
    </w:p>
    <w:p w14:paraId="3DA4F153">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firstLine="643"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b/>
          <w:color w:val="000000"/>
          <w:kern w:val="2"/>
          <w:sz w:val="32"/>
          <w:szCs w:val="24"/>
          <w:lang w:val="en-US"/>
        </w:rPr>
        <w:t>3.</w:t>
      </w:r>
      <w:r>
        <w:rPr>
          <w:rFonts w:hint="eastAsia" w:ascii="Times New Roman" w:hAnsi="Times New Roman" w:eastAsia="仿宋_GB2312" w:cs="仿宋_GB2312"/>
          <w:b/>
          <w:bCs/>
          <w:color w:val="auto"/>
          <w:kern w:val="2"/>
          <w:sz w:val="32"/>
          <w:szCs w:val="32"/>
          <w:highlight w:val="none"/>
          <w:lang w:val="en-US" w:eastAsia="zh-CN" w:bidi="ar-SA"/>
        </w:rPr>
        <w:t>公务接待费支出</w:t>
      </w:r>
      <w:r>
        <w:rPr>
          <w:rFonts w:hint="eastAsia" w:ascii="仿宋_GB2312" w:hAnsi="仿宋_GB2312" w:eastAsia="仿宋_GB2312" w:cs="仿宋_GB2312"/>
          <w:sz w:val="32"/>
          <w:szCs w:val="32"/>
        </w:rPr>
        <w:t>16.83</w:t>
      </w:r>
      <w:r>
        <w:rPr>
          <w:rFonts w:hint="eastAsia" w:ascii="仿宋_GB2312" w:hAnsi="仿宋_GB2312" w:eastAsia="仿宋_GB2312" w:cs="仿宋_GB2312"/>
          <w:b/>
          <w:bCs/>
          <w:color w:val="auto"/>
          <w:kern w:val="2"/>
          <w:sz w:val="32"/>
          <w:szCs w:val="32"/>
          <w:highlight w:val="none"/>
          <w:lang w:val="en-US" w:eastAsia="zh-CN" w:bidi="ar-SA"/>
        </w:rPr>
        <w:t>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ascii="仿宋_GB2312" w:hAnsi="仿宋_GB2312" w:eastAsia="仿宋_GB2312" w:cs="Times New Roman"/>
          <w:b/>
          <w:bCs/>
          <w:color w:val="000000"/>
          <w:kern w:val="2"/>
          <w:sz w:val="32"/>
          <w:szCs w:val="24"/>
          <w:lang w:val="en-US" w:eastAsia="zh-CN"/>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hAnsi="仿宋_GB2312" w:eastAsia="仿宋_GB2312"/>
          <w:color w:val="000000"/>
          <w:kern w:val="2"/>
          <w:sz w:val="32"/>
          <w:szCs w:val="24"/>
          <w:lang w:val="en-US"/>
        </w:rPr>
        <w:t>决算数</w:t>
      </w:r>
      <w:r>
        <w:rPr>
          <w:rFonts w:hint="eastAsia" w:ascii="仿宋_GB2312" w:hAnsi="仿宋_GB2312" w:eastAsia="仿宋_GB2312"/>
          <w:color w:val="000000"/>
          <w:kern w:val="2"/>
          <w:sz w:val="32"/>
          <w:szCs w:val="24"/>
          <w:highlight w:val="none"/>
          <w:lang w:val="en-US"/>
        </w:rPr>
        <w:t>与预算数持平的主</w:t>
      </w:r>
      <w:r>
        <w:rPr>
          <w:rFonts w:hint="eastAsia" w:ascii="仿宋_GB2312" w:hAnsi="仿宋_GB2312" w:eastAsia="仿宋_GB2312"/>
          <w:color w:val="000000"/>
          <w:kern w:val="2"/>
          <w:sz w:val="32"/>
          <w:szCs w:val="24"/>
          <w:lang w:val="en-US"/>
        </w:rPr>
        <w:t>要原因是</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严格控制经费开支</w:t>
      </w:r>
      <w:r>
        <w:rPr>
          <w:rFonts w:hint="eastAsia" w:ascii="仿宋_GB2312" w:hAnsi="仿宋_GB2312" w:eastAsia="仿宋_GB2312"/>
          <w:color w:val="000000"/>
          <w:kern w:val="2"/>
          <w:sz w:val="32"/>
          <w:szCs w:val="24"/>
          <w:lang w:val="en-US"/>
        </w:rPr>
        <w:t>。</w:t>
      </w:r>
      <w:r>
        <w:rPr>
          <w:rFonts w:hint="eastAsia" w:ascii="Times New Roman" w:hAnsi="Times New Roman" w:eastAsia="仿宋_GB2312" w:cs="仿宋_GB2312"/>
          <w:color w:val="auto"/>
          <w:kern w:val="2"/>
          <w:sz w:val="32"/>
          <w:szCs w:val="32"/>
          <w:highlight w:val="none"/>
          <w:lang w:val="en-US" w:eastAsia="zh-CN" w:bidi="ar-SA"/>
        </w:rPr>
        <w:t>其中：</w:t>
      </w:r>
    </w:p>
    <w:p w14:paraId="6F1B3E72">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16.83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元，主要用于</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东西部协作工作来访指导工作、省市部门调研考察，友好县区学习交流等发生的餐费及交通费等</w:t>
      </w:r>
      <w:r>
        <w:rPr>
          <w:rFonts w:hint="eastAsia" w:ascii="Times New Roman" w:hAnsi="Times New Roman" w:eastAsia="仿宋_GB2312" w:cs="仿宋_GB2312"/>
          <w:color w:val="auto"/>
          <w:kern w:val="2"/>
          <w:sz w:val="32"/>
          <w:szCs w:val="32"/>
          <w:highlight w:val="none"/>
          <w:lang w:val="en-US" w:eastAsia="zh-CN" w:bidi="ar-SA"/>
        </w:rPr>
        <w:t>。国内公务接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123</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1012</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ascii="仿宋_GB2312" w:hAnsi="仿宋_GB2312" w:eastAsia="仿宋_GB2312" w:cs="仿宋_GB2312"/>
          <w:sz w:val="32"/>
          <w:szCs w:val="32"/>
        </w:rPr>
        <w:t>16.83</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default" w:ascii="Times New Roman" w:hAnsi="Times New Roman" w:eastAsia="仿宋_GB2312" w:cs="Times New Roman"/>
          <w:b w:val="0"/>
          <w:bCs w:val="0"/>
          <w:color w:val="000000" w:themeColor="text1"/>
          <w:kern w:val="2"/>
          <w:sz w:val="32"/>
          <w:szCs w:val="24"/>
          <w14:textFill>
            <w14:solidFill>
              <w14:schemeClr w14:val="tx1"/>
            </w14:solidFill>
          </w14:textFill>
        </w:rPr>
        <w:t>东西部协作工作来访指导工作、省市部门调研考察，友好县区学习交流等发生的餐费及交通费等</w:t>
      </w:r>
      <w:r>
        <w:rPr>
          <w:rFonts w:hint="eastAsia" w:ascii="Times New Roman" w:hAnsi="Times New Roman" w:eastAsia="仿宋_GB2312" w:cs="Times New Roman"/>
          <w:b w:val="0"/>
          <w:bCs w:val="0"/>
          <w:color w:val="000000" w:themeColor="text1"/>
          <w:kern w:val="2"/>
          <w:sz w:val="32"/>
          <w:szCs w:val="24"/>
          <w:lang w:eastAsia="zh-CN"/>
          <w14:textFill>
            <w14:solidFill>
              <w14:schemeClr w14:val="tx1"/>
            </w14:solidFill>
          </w14:textFill>
        </w:rPr>
        <w:t>，</w:t>
      </w:r>
      <w:r>
        <w:rPr>
          <w:rFonts w:hint="eastAsia" w:ascii="仿宋_GB2312" w:hAnsi="仿宋_GB2312" w:eastAsia="仿宋_GB2312"/>
          <w:color w:val="000000"/>
          <w:kern w:val="2"/>
          <w:sz w:val="32"/>
          <w:szCs w:val="24"/>
          <w:lang w:val="en-US"/>
        </w:rPr>
        <w:t>共计支出</w:t>
      </w:r>
      <w:r>
        <w:rPr>
          <w:rFonts w:hint="eastAsia" w:ascii="仿宋_GB2312" w:hAnsi="仿宋_GB2312" w:eastAsia="仿宋_GB2312" w:cs="仿宋_GB2312"/>
          <w:sz w:val="32"/>
          <w:szCs w:val="32"/>
        </w:rPr>
        <w:t>16.83</w:t>
      </w:r>
      <w:r>
        <w:rPr>
          <w:rFonts w:hint="eastAsia" w:ascii="仿宋_GB2312" w:hAnsi="仿宋_GB2312" w:eastAsia="仿宋_GB2312"/>
          <w:color w:val="000000"/>
          <w:kern w:val="2"/>
          <w:sz w:val="32"/>
          <w:szCs w:val="24"/>
          <w:lang w:val="en-US"/>
        </w:rPr>
        <w:t>万元</w:t>
      </w:r>
      <w:r>
        <w:rPr>
          <w:rFonts w:hint="eastAsia" w:ascii="Times New Roman" w:hAnsi="Times New Roman" w:eastAsia="仿宋_GB2312" w:cs="仿宋_GB2312"/>
          <w:color w:val="auto"/>
          <w:kern w:val="2"/>
          <w:sz w:val="32"/>
          <w:szCs w:val="32"/>
          <w:highlight w:val="none"/>
          <w:lang w:val="en-US" w:eastAsia="zh-CN" w:bidi="ar-SA"/>
        </w:rPr>
        <w:t>。</w:t>
      </w:r>
    </w:p>
    <w:p w14:paraId="548B613F">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698CE42E">
      <w:pPr>
        <w:keepNext w:val="0"/>
        <w:keepLines w:val="0"/>
        <w:pageBreakBefore w:val="0"/>
        <w:widowControl w:val="0"/>
        <w:tabs>
          <w:tab w:val="right" w:pos="8306"/>
        </w:tabs>
        <w:kinsoku/>
        <w:wordWrap/>
        <w:overflowPunct w:val="0"/>
        <w:topLinePunct/>
        <w:autoSpaceDE w:val="0"/>
        <w:autoSpaceDN w:val="0"/>
        <w:bidi w:val="0"/>
        <w:adjustRightInd/>
        <w:snapToGrid/>
        <w:spacing w:line="576" w:lineRule="exact"/>
        <w:ind w:left="0" w:firstLine="640" w:firstLineChars="200"/>
        <w:jc w:val="both"/>
        <w:textAlignment w:val="auto"/>
        <w:outlineLvl w:val="1"/>
        <w:rPr>
          <w:rFonts w:hint="eastAsia" w:ascii="Times New Roman" w:hAnsi="Times New Roman" w:eastAsia="黑体" w:cs="Times New Roman"/>
          <w:color w:val="auto"/>
          <w:sz w:val="32"/>
          <w:szCs w:val="32"/>
          <w:highlight w:val="none"/>
        </w:rPr>
      </w:pPr>
      <w:bookmarkStart w:id="45" w:name="_Toc11591"/>
      <w:bookmarkStart w:id="46" w:name="_Toc15396610"/>
      <w:bookmarkStart w:id="47" w:name="_Toc15377218"/>
      <w:r>
        <w:rPr>
          <w:rFonts w:hint="eastAsia" w:ascii="Times New Roman" w:hAnsi="Times New Roman" w:eastAsia="黑体" w:cs="Times New Roman"/>
          <w:color w:val="auto"/>
          <w:sz w:val="32"/>
          <w:szCs w:val="32"/>
          <w:highlight w:val="none"/>
        </w:rPr>
        <w:t>八、政府性基金预算支出决算情况说明</w:t>
      </w:r>
      <w:bookmarkEnd w:id="45"/>
      <w:bookmarkEnd w:id="46"/>
      <w:bookmarkEnd w:id="47"/>
    </w:p>
    <w:p w14:paraId="70CC1612">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w:t>
      </w:r>
      <w:r>
        <w:rPr>
          <w:rFonts w:hint="eastAsia" w:ascii="仿宋_GB2312" w:hAnsi="仿宋_GB2312" w:eastAsia="仿宋_GB2312"/>
          <w:color w:val="000000"/>
          <w:kern w:val="2"/>
          <w:sz w:val="32"/>
          <w:szCs w:val="24"/>
          <w:lang w:val="en-US" w:eastAsia="zh-CN"/>
        </w:rPr>
        <w:t>无变化</w:t>
      </w:r>
      <w:r>
        <w:rPr>
          <w:rFonts w:hint="eastAsia" w:ascii="仿宋_GB2312" w:hAnsi="仿宋_GB2312" w:eastAsia="仿宋_GB2312"/>
          <w:color w:val="000000"/>
          <w:kern w:val="2"/>
          <w:sz w:val="32"/>
          <w:szCs w:val="24"/>
          <w:lang w:val="en-US"/>
        </w:rPr>
        <w:t>。</w:t>
      </w:r>
    </w:p>
    <w:p w14:paraId="3CF2073D">
      <w:pPr>
        <w:keepNext w:val="0"/>
        <w:keepLines w:val="0"/>
        <w:pageBreakBefore w:val="0"/>
        <w:widowControl w:val="0"/>
        <w:tabs>
          <w:tab w:val="right" w:pos="8306"/>
        </w:tabs>
        <w:kinsoku/>
        <w:wordWrap/>
        <w:overflowPunct w:val="0"/>
        <w:topLinePunct/>
        <w:autoSpaceDE w:val="0"/>
        <w:autoSpaceDN w:val="0"/>
        <w:bidi w:val="0"/>
        <w:adjustRightInd/>
        <w:snapToGrid/>
        <w:spacing w:line="576" w:lineRule="exact"/>
        <w:ind w:left="0" w:firstLine="640" w:firstLineChars="200"/>
        <w:jc w:val="both"/>
        <w:textAlignment w:val="auto"/>
        <w:outlineLvl w:val="1"/>
        <w:rPr>
          <w:rFonts w:hint="eastAsia" w:ascii="Times New Roman" w:hAnsi="Times New Roman" w:eastAsia="黑体" w:cs="Times New Roman"/>
          <w:color w:val="auto"/>
          <w:sz w:val="32"/>
          <w:szCs w:val="32"/>
          <w:highlight w:val="none"/>
        </w:rPr>
      </w:pPr>
      <w:bookmarkStart w:id="48" w:name="_Toc15396611"/>
      <w:bookmarkStart w:id="49" w:name="_Toc15377219"/>
      <w:bookmarkStart w:id="50" w:name="_Toc1217"/>
      <w:r>
        <w:rPr>
          <w:rFonts w:hint="eastAsia" w:ascii="Times New Roman" w:hAnsi="Times New Roman" w:eastAsia="黑体" w:cs="Times New Roman"/>
          <w:color w:val="auto"/>
          <w:sz w:val="32"/>
          <w:szCs w:val="32"/>
          <w:highlight w:val="none"/>
          <w:lang w:eastAsia="zh-CN"/>
        </w:rPr>
        <w:t>九、</w:t>
      </w:r>
      <w:r>
        <w:rPr>
          <w:rFonts w:hint="eastAsia" w:ascii="Times New Roman" w:hAnsi="Times New Roman" w:eastAsia="黑体" w:cs="Times New Roman"/>
          <w:color w:val="auto"/>
          <w:sz w:val="32"/>
          <w:szCs w:val="32"/>
          <w:highlight w:val="none"/>
        </w:rPr>
        <w:t>国有资本经营预算支出决算情况说明</w:t>
      </w:r>
      <w:bookmarkEnd w:id="48"/>
      <w:bookmarkEnd w:id="49"/>
      <w:bookmarkEnd w:id="50"/>
    </w:p>
    <w:p w14:paraId="3FD7C146">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ascii="仿宋_GB2312" w:hAnsi="仿宋_GB2312" w:eastAsia="仿宋_GB2312"/>
          <w:color w:val="000000"/>
          <w:kern w:val="2"/>
          <w:sz w:val="32"/>
          <w:szCs w:val="24"/>
          <w:lang w:val="en-US" w:eastAsia="zh-CN"/>
        </w:rPr>
        <w:t>无变化</w:t>
      </w:r>
      <w:r>
        <w:rPr>
          <w:rFonts w:hint="eastAsia" w:ascii="仿宋_GB2312" w:hAnsi="仿宋_GB2312" w:eastAsia="仿宋_GB2312"/>
          <w:color w:val="000000"/>
          <w:kern w:val="2"/>
          <w:sz w:val="32"/>
          <w:szCs w:val="24"/>
          <w:lang w:val="en-US"/>
        </w:rPr>
        <w:t>。</w:t>
      </w:r>
    </w:p>
    <w:p w14:paraId="19BB70D1">
      <w:pPr>
        <w:keepNext w:val="0"/>
        <w:keepLines w:val="0"/>
        <w:pageBreakBefore w:val="0"/>
        <w:widowControl w:val="0"/>
        <w:tabs>
          <w:tab w:val="right" w:pos="8306"/>
        </w:tabs>
        <w:kinsoku/>
        <w:wordWrap/>
        <w:overflowPunct w:val="0"/>
        <w:topLinePunct/>
        <w:autoSpaceDE w:val="0"/>
        <w:autoSpaceDN w:val="0"/>
        <w:bidi w:val="0"/>
        <w:adjustRightInd/>
        <w:snapToGrid/>
        <w:spacing w:line="576" w:lineRule="exact"/>
        <w:ind w:left="0" w:firstLine="640" w:firstLineChars="200"/>
        <w:jc w:val="both"/>
        <w:textAlignment w:val="auto"/>
        <w:outlineLvl w:val="1"/>
        <w:rPr>
          <w:rFonts w:hint="eastAsia" w:ascii="Times New Roman" w:hAnsi="Times New Roman" w:eastAsia="黑体" w:cs="Times New Roman"/>
          <w:color w:val="auto"/>
          <w:sz w:val="32"/>
          <w:szCs w:val="32"/>
          <w:highlight w:val="none"/>
          <w:lang w:eastAsia="zh-CN"/>
        </w:rPr>
      </w:pPr>
      <w:bookmarkStart w:id="51" w:name="_Toc15377221"/>
      <w:bookmarkStart w:id="52" w:name="_Toc15396612"/>
      <w:bookmarkStart w:id="53" w:name="_Toc25102"/>
      <w:r>
        <w:rPr>
          <w:rFonts w:hint="eastAsia" w:ascii="Times New Roman" w:hAnsi="Times New Roman" w:eastAsia="黑体" w:cs="Times New Roman"/>
          <w:color w:val="auto"/>
          <w:sz w:val="32"/>
          <w:szCs w:val="32"/>
          <w:highlight w:val="none"/>
          <w:lang w:eastAsia="zh-CN"/>
        </w:rPr>
        <w:t>十、其他重要事项的情况说明</w:t>
      </w:r>
      <w:bookmarkEnd w:id="51"/>
      <w:bookmarkEnd w:id="52"/>
      <w:bookmarkEnd w:id="53"/>
    </w:p>
    <w:p w14:paraId="2249A6C5">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54" w:name="_Toc15377222"/>
      <w:r>
        <w:rPr>
          <w:rFonts w:hint="eastAsia" w:ascii="Times New Roman" w:hAnsi="Times New Roman" w:eastAsia="楷体_GB2312" w:cs="楷体_GB2312"/>
          <w:b/>
          <w:color w:val="auto"/>
          <w:sz w:val="32"/>
          <w:szCs w:val="32"/>
          <w:highlight w:val="none"/>
        </w:rPr>
        <w:t>（一）机关运行经费支出情况</w:t>
      </w:r>
      <w:bookmarkEnd w:id="54"/>
    </w:p>
    <w:p w14:paraId="7CED03F6">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广元市昭化区乡村振兴局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18.32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w:t>
      </w:r>
      <w:r>
        <w:rPr>
          <w:rFonts w:hint="eastAsia" w:ascii="仿宋_GB2312" w:hAnsi="仿宋_GB2312" w:eastAsia="仿宋_GB2312"/>
          <w:color w:val="000000"/>
          <w:kern w:val="2"/>
          <w:sz w:val="32"/>
          <w:szCs w:val="24"/>
          <w:lang w:val="en-US"/>
        </w:rPr>
        <w:t>减少</w:t>
      </w:r>
      <w:r>
        <w:rPr>
          <w:rFonts w:hint="eastAsia" w:ascii="仿宋_GB2312" w:hAnsi="仿宋_GB2312" w:eastAsia="仿宋_GB2312"/>
          <w:color w:val="000000"/>
          <w:kern w:val="2"/>
          <w:sz w:val="32"/>
          <w:szCs w:val="24"/>
          <w:lang w:val="en-US" w:eastAsia="zh-CN"/>
        </w:rPr>
        <w:t>29.45</w:t>
      </w:r>
      <w:r>
        <w:rPr>
          <w:rFonts w:hint="eastAsia" w:ascii="仿宋_GB2312" w:hAnsi="仿宋_GB2312" w:eastAsia="仿宋_GB2312"/>
          <w:color w:val="000000"/>
          <w:kern w:val="2"/>
          <w:sz w:val="32"/>
          <w:szCs w:val="24"/>
          <w:lang w:val="en-US"/>
        </w:rPr>
        <w:t>万元，下降</w:t>
      </w:r>
      <w:r>
        <w:rPr>
          <w:rFonts w:hint="eastAsia" w:ascii="仿宋_GB2312" w:hAnsi="仿宋_GB2312" w:eastAsia="仿宋_GB2312"/>
          <w:color w:val="000000"/>
          <w:kern w:val="2"/>
          <w:sz w:val="32"/>
          <w:szCs w:val="24"/>
          <w:lang w:val="en-US" w:eastAsia="zh-CN"/>
        </w:rPr>
        <w:t>61.7</w:t>
      </w:r>
      <w:r>
        <w:rPr>
          <w:rFonts w:hint="eastAsia" w:ascii="仿宋_GB2312" w:hAnsi="仿宋_GB2312" w:eastAsia="仿宋_GB2312"/>
          <w:color w:val="000000"/>
          <w:kern w:val="2"/>
          <w:sz w:val="32"/>
          <w:szCs w:val="24"/>
          <w:lang w:val="en-US"/>
        </w:rPr>
        <w:t>%。主要原因是机构改革，2024年下半年我单位划入区农业农村局，部分公用经费类项目调剂到合并单位。</w:t>
      </w:r>
    </w:p>
    <w:p w14:paraId="0BA98194">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bookmarkStart w:id="55" w:name="_Toc15377223"/>
      <w:r>
        <w:rPr>
          <w:rFonts w:hint="eastAsia" w:ascii="Times New Roman" w:hAnsi="Times New Roman" w:eastAsia="楷体_GB2312" w:cs="楷体_GB2312"/>
          <w:b/>
          <w:color w:val="auto"/>
          <w:sz w:val="32"/>
          <w:szCs w:val="32"/>
          <w:highlight w:val="none"/>
        </w:rPr>
        <w:t>（二）政府采购支出情况</w:t>
      </w:r>
      <w:bookmarkEnd w:id="55"/>
    </w:p>
    <w:p w14:paraId="2226442B">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广元市昭化区乡村振兴局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w:t>
      </w:r>
    </w:p>
    <w:p w14:paraId="259C2392">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firstLine="643"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bookmarkStart w:id="56" w:name="_Toc15377224"/>
      <w:r>
        <w:rPr>
          <w:rFonts w:hint="eastAsia" w:eastAsia="楷体_GB2312" w:cs="楷体_GB2312"/>
          <w:b/>
          <w:color w:val="auto"/>
          <w:sz w:val="32"/>
          <w:szCs w:val="32"/>
          <w:highlight w:val="none"/>
          <w:lang w:eastAsia="zh-CN"/>
        </w:rPr>
        <w:t>（</w:t>
      </w:r>
      <w:r>
        <w:rPr>
          <w:rFonts w:hint="eastAsia" w:eastAsia="楷体_GB2312" w:cs="楷体_GB2312"/>
          <w:b/>
          <w:color w:val="auto"/>
          <w:sz w:val="32"/>
          <w:szCs w:val="32"/>
          <w:highlight w:val="none"/>
          <w:lang w:val="en-US" w:eastAsia="zh-CN"/>
        </w:rPr>
        <w:t>三</w:t>
      </w:r>
      <w:r>
        <w:rPr>
          <w:rFonts w:hint="eastAsia" w:eastAsia="楷体_GB2312" w:cs="楷体_GB2312"/>
          <w:b/>
          <w:color w:val="auto"/>
          <w:sz w:val="32"/>
          <w:szCs w:val="32"/>
          <w:highlight w:val="none"/>
          <w:lang w:eastAsia="zh-CN"/>
        </w:rPr>
        <w:t>）</w:t>
      </w:r>
      <w:r>
        <w:rPr>
          <w:rFonts w:hint="eastAsia" w:ascii="Times New Roman" w:hAnsi="Times New Roman" w:eastAsia="楷体_GB2312" w:cs="楷体_GB2312"/>
          <w:b/>
          <w:color w:val="auto"/>
          <w:sz w:val="32"/>
          <w:szCs w:val="32"/>
          <w:highlight w:val="none"/>
        </w:rPr>
        <w:t>国有资产占有使用情况</w:t>
      </w:r>
      <w:bookmarkEnd w:id="56"/>
    </w:p>
    <w:p w14:paraId="3E3FA77D">
      <w:pPr>
        <w:keepNext w:val="0"/>
        <w:keepLines w:val="0"/>
        <w:pageBreakBefore w:val="0"/>
        <w:widowControl w:val="0"/>
        <w:numPr>
          <w:ilvl w:val="0"/>
          <w:numId w:val="0"/>
        </w:numPr>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广元市昭化区乡村振兴局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w:t>
      </w:r>
    </w:p>
    <w:p w14:paraId="253A9044">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0F6915DE">
      <w:pPr>
        <w:keepNext w:val="0"/>
        <w:keepLines w:val="0"/>
        <w:pageBreakBefore w:val="0"/>
        <w:widowControl w:val="0"/>
        <w:kinsoku/>
        <w:wordWrap/>
        <w:overflowPunct w:val="0"/>
        <w:topLinePunct/>
        <w:autoSpaceDE w:val="0"/>
        <w:autoSpaceDN w:val="0"/>
        <w:bidi w:val="0"/>
        <w:adjustRightInd/>
        <w:snapToGrid/>
        <w:spacing w:line="576" w:lineRule="exact"/>
        <w:ind w:left="0" w:firstLine="643" w:firstLineChars="200"/>
        <w:jc w:val="both"/>
        <w:textAlignment w:val="auto"/>
        <w:outlineLvl w:val="9"/>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5CFED6E3">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ascii="仿宋_GB2312" w:hAnsi="仿宋_GB2312" w:eastAsia="仿宋_GB2312" w:cs="仿宋_GB2312"/>
          <w:sz w:val="32"/>
          <w:szCs w:val="32"/>
        </w:rPr>
        <w:t>广元市昭化区乡村振兴局</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ascii="仿宋_GB2312" w:hAnsi="仿宋_GB2312" w:eastAsia="仿宋_GB2312"/>
          <w:color w:val="auto"/>
          <w:kern w:val="2"/>
          <w:sz w:val="32"/>
          <w:szCs w:val="24"/>
          <w:lang w:val="en-US"/>
        </w:rPr>
        <w:t>广财农（2024）69号2024年省级财政衔接推进乡村振兴补助资金</w:t>
      </w:r>
      <w:r>
        <w:rPr>
          <w:rFonts w:hint="eastAsia" w:ascii="仿宋_GB2312" w:hAnsi="仿宋_GB2312" w:eastAsia="仿宋_GB2312"/>
          <w:color w:val="auto"/>
          <w:kern w:val="2"/>
          <w:sz w:val="32"/>
          <w:szCs w:val="24"/>
          <w:lang w:val="en-US" w:eastAsia="zh-CN"/>
        </w:rPr>
        <w:t>、2023年财政绩效评价奖金、解决我区参加四川省第二届和美乡村篮球大赛（村BA)广元市预选赛工作经费）、解决2023年度巩固拓展脱贫攻坚成果同乡村振兴有效衔接第三方评估工作经费、2024年乡村振兴统计监测系统维护</w:t>
      </w:r>
      <w:r>
        <w:rPr>
          <w:rFonts w:hint="eastAsia" w:ascii="仿宋_GB2312" w:hAnsi="仿宋_GB2312" w:eastAsia="仿宋_GB2312"/>
          <w:color w:val="auto"/>
          <w:kern w:val="2"/>
          <w:sz w:val="32"/>
          <w:szCs w:val="24"/>
          <w:lang w:val="en-US"/>
        </w:rPr>
        <w:t>等</w:t>
      </w:r>
      <w:r>
        <w:rPr>
          <w:rFonts w:hint="eastAsia" w:ascii="仿宋_GB2312" w:hAnsi="仿宋_GB2312" w:eastAsia="仿宋_GB2312"/>
          <w:color w:val="auto"/>
          <w:kern w:val="2"/>
          <w:sz w:val="32"/>
          <w:szCs w:val="24"/>
          <w:lang w:val="en-US" w:eastAsia="zh-CN"/>
        </w:rPr>
        <w:t>5</w:t>
      </w:r>
      <w:r>
        <w:rPr>
          <w:rFonts w:hint="eastAsia" w:ascii="仿宋_GB2312" w:hAnsi="仿宋_GB2312" w:eastAsia="仿宋_GB2312"/>
          <w:color w:val="auto"/>
          <w:kern w:val="2"/>
          <w:sz w:val="32"/>
          <w:szCs w:val="24"/>
          <w:lang w:val="en-US"/>
        </w:rPr>
        <w:t>个项目开展了预算事前绩效评估，对</w:t>
      </w:r>
      <w:r>
        <w:rPr>
          <w:rFonts w:hint="eastAsia" w:ascii="仿宋_GB2312" w:hAnsi="仿宋_GB2312" w:eastAsia="仿宋_GB2312"/>
          <w:color w:val="auto"/>
          <w:kern w:val="2"/>
          <w:sz w:val="32"/>
          <w:szCs w:val="24"/>
          <w:lang w:val="en-US" w:eastAsia="zh-CN"/>
        </w:rPr>
        <w:t>5</w:t>
      </w:r>
      <w:r>
        <w:rPr>
          <w:rFonts w:hint="eastAsia" w:ascii="仿宋_GB2312" w:hAnsi="仿宋_GB2312" w:eastAsia="仿宋_GB2312"/>
          <w:color w:val="auto"/>
          <w:kern w:val="2"/>
          <w:sz w:val="32"/>
          <w:szCs w:val="24"/>
          <w:lang w:val="en-US"/>
        </w:rPr>
        <w:t>个项目编制了绩效目标，预算执行过程中，选取</w:t>
      </w:r>
      <w:r>
        <w:rPr>
          <w:rFonts w:hint="eastAsia" w:ascii="仿宋_GB2312" w:hAnsi="仿宋_GB2312" w:eastAsia="仿宋_GB2312"/>
          <w:color w:val="auto"/>
          <w:kern w:val="2"/>
          <w:sz w:val="32"/>
          <w:szCs w:val="24"/>
          <w:lang w:val="en-US" w:eastAsia="zh-CN"/>
        </w:rPr>
        <w:t>5</w:t>
      </w:r>
      <w:r>
        <w:rPr>
          <w:rFonts w:hint="eastAsia" w:ascii="仿宋_GB2312" w:hAnsi="仿宋_GB2312" w:eastAsia="仿宋_GB2312"/>
          <w:color w:val="auto"/>
          <w:kern w:val="2"/>
          <w:sz w:val="32"/>
          <w:szCs w:val="24"/>
          <w:lang w:val="en-US"/>
        </w:rPr>
        <w:t>个项目开展绩效监控</w:t>
      </w:r>
      <w:r>
        <w:rPr>
          <w:rFonts w:hint="eastAsia" w:ascii="Times New Roman" w:hAnsi="Times New Roman" w:eastAsia="仿宋_GB2312" w:cs="仿宋_GB2312"/>
          <w:color w:val="auto"/>
          <w:kern w:val="2"/>
          <w:sz w:val="32"/>
          <w:szCs w:val="32"/>
          <w:highlight w:val="none"/>
          <w:lang w:val="en-US" w:eastAsia="zh-CN" w:bidi="ar-SA"/>
        </w:rPr>
        <w:t>。</w:t>
      </w:r>
    </w:p>
    <w:p w14:paraId="7A810CA5">
      <w:pPr>
        <w:keepNext w:val="0"/>
        <w:keepLines w:val="0"/>
        <w:pageBreakBefore w:val="0"/>
        <w:widowControl w:val="0"/>
        <w:kinsoku/>
        <w:wordWrap/>
        <w:overflowPunct w:val="0"/>
        <w:topLinePunct/>
        <w:autoSpaceDE w:val="0"/>
        <w:autoSpaceDN w:val="0"/>
        <w:bidi w:val="0"/>
        <w:adjustRightInd/>
        <w:snapToGrid/>
        <w:spacing w:line="576" w:lineRule="exact"/>
        <w:ind w:left="0" w:firstLine="640" w:firstLineChars="200"/>
        <w:jc w:val="both"/>
        <w:textAlignment w:val="auto"/>
        <w:outlineLvl w:val="9"/>
        <w:rPr>
          <w:rFonts w:hint="eastAsia" w:ascii="Times New Roman" w:hAnsi="Times New Roman" w:eastAsia="仿宋_GB2312" w:cs="仿宋_GB2312"/>
          <w:b/>
          <w:bCs/>
          <w:color w:val="auto"/>
          <w:kern w:val="2"/>
          <w:sz w:val="32"/>
          <w:szCs w:val="32"/>
          <w:highlight w:val="yellow"/>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ascii="仿宋_GB2312" w:hAnsi="仿宋_GB2312" w:eastAsia="仿宋_GB2312" w:cs="仿宋_GB2312"/>
          <w:sz w:val="32"/>
          <w:szCs w:val="32"/>
        </w:rPr>
        <w:t>广元市昭化区乡村振兴局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w:t>
      </w:r>
      <w:r>
        <w:rPr>
          <w:rFonts w:hint="eastAsia" w:eastAsia="仿宋_GB2312" w:cs="仿宋_GB2312"/>
          <w:color w:val="auto"/>
          <w:kern w:val="2"/>
          <w:sz w:val="32"/>
          <w:szCs w:val="32"/>
          <w:highlight w:val="none"/>
          <w:lang w:val="en-US" w:eastAsia="zh-CN" w:bidi="ar-SA"/>
        </w:rPr>
        <w:t>2024年度我单位无专项项目</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76C15CA7">
      <w:pPr>
        <w:keepNext w:val="0"/>
        <w:keepLines w:val="0"/>
        <w:pageBreakBefore w:val="0"/>
        <w:widowControl w:val="0"/>
        <w:kinsoku/>
        <w:wordWrap/>
        <w:overflowPunct w:val="0"/>
        <w:topLinePunct/>
        <w:autoSpaceDE w:val="0"/>
        <w:autoSpaceDN w:val="0"/>
        <w:bidi w:val="0"/>
        <w:textAlignment w:val="auto"/>
        <w:rPr>
          <w:rFonts w:hint="eastAsia" w:ascii="Times New Roman" w:hAnsi="Times New Roman" w:eastAsia="仿宋_GB2312" w:cs="仿宋_GB2312"/>
          <w:color w:val="auto"/>
          <w:kern w:val="2"/>
          <w:sz w:val="32"/>
          <w:szCs w:val="32"/>
          <w:highlight w:val="none"/>
          <w:lang w:val="en-US" w:eastAsia="zh-CN" w:bidi="ar-SA"/>
        </w:rPr>
      </w:pPr>
      <w:r>
        <w:br w:type="page"/>
      </w:r>
    </w:p>
    <w:p w14:paraId="0FB5C3F2">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57" w:name="_Toc15396613"/>
      <w:bookmarkStart w:id="58" w:name="_Toc27879"/>
      <w:bookmarkStart w:id="59" w:name="_Toc15377225"/>
      <w:r>
        <w:rPr>
          <w:rFonts w:hint="eastAsia" w:ascii="方正小标宋简体" w:hAnsi="方正小标宋简体" w:eastAsia="方正小标宋简体" w:cs="方正小标宋简体"/>
          <w:color w:val="auto"/>
          <w:sz w:val="44"/>
          <w:szCs w:val="44"/>
          <w:highlight w:val="none"/>
        </w:rPr>
        <w:t>第</w:t>
      </w:r>
      <w:r>
        <w:rPr>
          <w:rFonts w:hint="eastAsia" w:ascii="方正小标宋简体" w:hAnsi="方正小标宋简体" w:eastAsia="方正小标宋简体" w:cs="方正小标宋简体"/>
          <w:color w:val="auto"/>
          <w:sz w:val="44"/>
          <w:szCs w:val="44"/>
          <w:highlight w:val="none"/>
          <w:lang w:eastAsia="zh-CN"/>
        </w:rPr>
        <w:t>三</w:t>
      </w:r>
      <w:r>
        <w:rPr>
          <w:rFonts w:hint="eastAsia" w:ascii="方正小标宋简体" w:hAnsi="方正小标宋简体" w:eastAsia="方正小标宋简体" w:cs="方正小标宋简体"/>
          <w:color w:val="auto"/>
          <w:sz w:val="44"/>
          <w:szCs w:val="44"/>
          <w:highlight w:val="none"/>
        </w:rPr>
        <w:t>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名词解释</w:t>
      </w:r>
      <w:bookmarkEnd w:id="57"/>
      <w:bookmarkEnd w:id="58"/>
      <w:bookmarkEnd w:id="59"/>
    </w:p>
    <w:p w14:paraId="21645E37">
      <w:pPr>
        <w:keepNext w:val="0"/>
        <w:keepLines w:val="0"/>
        <w:pageBreakBefore w:val="0"/>
        <w:widowControl w:val="0"/>
        <w:kinsoku/>
        <w:wordWrap/>
        <w:overflowPunct w:val="0"/>
        <w:topLinePunct/>
        <w:autoSpaceDE w:val="0"/>
        <w:autoSpaceDN w:val="0"/>
        <w:bidi w:val="0"/>
        <w:spacing w:line="600" w:lineRule="exact"/>
        <w:jc w:val="left"/>
        <w:textAlignment w:val="auto"/>
        <w:rPr>
          <w:rFonts w:ascii="Times New Roman" w:hAnsi="Times New Roman"/>
          <w:b/>
          <w:color w:val="auto"/>
          <w:sz w:val="44"/>
          <w:szCs w:val="44"/>
          <w:highlight w:val="none"/>
        </w:rPr>
      </w:pPr>
    </w:p>
    <w:p w14:paraId="1C470712">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一、财政拨款收入：指单位从同级财政部门取得的财政预算资金。</w:t>
      </w:r>
    </w:p>
    <w:p w14:paraId="1565B4DB">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二、事业收入：指事业单位开展专业业务活动及辅助活动取得的收入。</w:t>
      </w:r>
    </w:p>
    <w:p w14:paraId="67A66C1B">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三、经营收入：指事业单位在专业业务活动及其辅助活动之外开展非独立核算经营活动取得的收入。</w:t>
      </w:r>
    </w:p>
    <w:p w14:paraId="24AB6C5E">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四、其他收入：指单位取得的除上述收入以外的各项收入。 </w:t>
      </w:r>
    </w:p>
    <w:p w14:paraId="65C7E188">
      <w:pPr>
        <w:pStyle w:val="28"/>
        <w:overflowPunct w:val="0"/>
        <w:topLinePunct/>
        <w:spacing w:beforeLines="0" w:afterLines="0" w:line="576" w:lineRule="exact"/>
        <w:ind w:firstLine="640" w:firstLineChars="200"/>
        <w:jc w:val="both"/>
        <w:rPr>
          <w:rFonts w:hint="eastAsia" w:ascii="仿宋_GB2312" w:hAnsi="仿宋_GB2312" w:eastAsia="仿宋_GB2312"/>
          <w:color w:val="auto"/>
          <w:kern w:val="2"/>
          <w:sz w:val="32"/>
          <w:szCs w:val="24"/>
        </w:rPr>
      </w:pPr>
      <w:r>
        <w:rPr>
          <w:rFonts w:hint="eastAsia" w:ascii="仿宋_GB2312" w:hAnsi="仿宋_GB2312" w:eastAsia="仿宋_GB2312"/>
          <w:color w:val="auto"/>
          <w:kern w:val="2"/>
          <w:sz w:val="32"/>
          <w:szCs w:val="24"/>
        </w:rPr>
        <w:t>五、</w:t>
      </w:r>
      <w:r>
        <w:rPr>
          <w:rFonts w:hint="eastAsia" w:ascii="仿宋_GB2312" w:hAnsi="华文中宋" w:eastAsia="仿宋_GB2312"/>
          <w:sz w:val="32"/>
          <w:szCs w:val="24"/>
        </w:rPr>
        <w:t>使用非财政拨款结余（含专用结余）</w:t>
      </w:r>
      <w:r>
        <w:rPr>
          <w:rFonts w:hint="eastAsia" w:ascii="仿宋_GB2312" w:eastAsia="仿宋_GB2312"/>
          <w:color w:val="auto"/>
          <w:sz w:val="32"/>
          <w:szCs w:val="24"/>
        </w:rPr>
        <w:t xml:space="preserve">：指事业单位使用以前年度积累的非财政拨款结余弥补当年收支差额的金额。 </w:t>
      </w:r>
    </w:p>
    <w:p w14:paraId="7BC2D6A9">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 xml:space="preserve">六、年初结转和结余：指以前年度尚未完成、结转到本年按有关规定继续使用的资金。 </w:t>
      </w:r>
    </w:p>
    <w:p w14:paraId="36DD3DA8">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七、结余分配：指事业单位按照会计制度规定缴纳的所得税、提取的专用结余以及转入非财政拨款结余的金额等。</w:t>
      </w:r>
    </w:p>
    <w:p w14:paraId="0E64F6ED">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sz w:val="32"/>
          <w:szCs w:val="24"/>
          <w:lang w:val="en-US"/>
        </w:rPr>
        <w:t>八、年末结转和结余：指单位按有关规定结转到下年或以后年度继续使用的资金。</w:t>
      </w:r>
    </w:p>
    <w:p w14:paraId="3424AE4A">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九、社会保障和就业支出（类）行政事业单位养老支出（款）行政单位离退休（项）：指反映行政单位(包括实行公务员管理的事业单位)开支的离退休经费。</w:t>
      </w:r>
    </w:p>
    <w:p w14:paraId="4AAC083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十、社会保障和就业支出（类）行政事业单位养老支出（款）机关事业单位基本养老保险缴费支出（项）：指</w:t>
      </w:r>
      <w:r>
        <w:rPr>
          <w:rFonts w:hint="eastAsia" w:ascii="仿宋_GB2312" w:hAnsi="仿宋_GB2312" w:eastAsia="仿宋_GB2312"/>
          <w:color w:val="000000"/>
          <w:sz w:val="32"/>
          <w:szCs w:val="24"/>
          <w:lang w:val="en-US" w:eastAsia="zh-CN"/>
        </w:rPr>
        <w:t>机关事业单位实施养老保险制度由单位缴纳的基本养老保险费支出</w:t>
      </w:r>
      <w:r>
        <w:rPr>
          <w:rFonts w:hint="eastAsia" w:ascii="仿宋_GB2312" w:hAnsi="仿宋_GB2312" w:eastAsia="仿宋_GB2312"/>
          <w:color w:val="000000"/>
          <w:kern w:val="2"/>
          <w:sz w:val="32"/>
          <w:szCs w:val="24"/>
          <w:lang w:val="en-US"/>
        </w:rPr>
        <w:t>。</w:t>
      </w:r>
    </w:p>
    <w:p w14:paraId="66C1213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十一、社会保障和就业支出（类）其他社会保障和就业支出（款）其他社会保障和就业支出（项）：指反映除上述项目以外其他用于社会保障和就业方面的支出。</w:t>
      </w:r>
    </w:p>
    <w:p w14:paraId="32E2F928">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十二、卫生健康支出（类）行政事业单位医疗（款）行政单位医疗（项）：指</w:t>
      </w:r>
      <w:r>
        <w:rPr>
          <w:rFonts w:hint="eastAsia" w:ascii="仿宋_GB2312" w:hAnsi="仿宋_GB2312" w:eastAsia="仿宋_GB2312"/>
          <w:color w:val="000000"/>
          <w:sz w:val="32"/>
          <w:szCs w:val="24"/>
          <w:lang w:val="en-US" w:eastAsia="zh-CN"/>
        </w:rPr>
        <w:t>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仿宋_GB2312" w:eastAsia="仿宋_GB2312"/>
          <w:color w:val="000000"/>
          <w:kern w:val="2"/>
          <w:sz w:val="32"/>
          <w:szCs w:val="24"/>
          <w:lang w:val="en-US"/>
        </w:rPr>
        <w:t>。</w:t>
      </w:r>
    </w:p>
    <w:p w14:paraId="7A7506C9">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三、卫生健康支出（类）行政事业单位医疗（款）事业单位医疗（项）：指反映财政部门安排的事业单位基本医疗保险缴费经费，未参加医疗保险的事业单位的公费医疗经费，按国家规定享受离休人员待遇的医疗经费。</w:t>
      </w:r>
    </w:p>
    <w:p w14:paraId="1EDF15C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十四、农林水支出（类）农业农村（款）其他农业农村支出（项）：指反映除上述项目以外其他用于农业农村方面的支出。</w:t>
      </w:r>
    </w:p>
    <w:p w14:paraId="33E83F1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十五、农林水支出（类）巩固脱贫攻坚成果衔接乡村振兴（款）行政运行（项）：指反映行政单位(包括实行公务员管理的事业单位)的基本支出。</w:t>
      </w:r>
    </w:p>
    <w:p w14:paraId="5E153F03">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十六、农林水支出（类）巩固脱贫攻坚成果衔接乡村振兴（款）事业运行（项）：指反映事业单位基本支出，不包括行政单位(包括实行公务员管理的事业单位)后勤服务中心、医务室等附属事业单位的支出。</w:t>
      </w:r>
    </w:p>
    <w:p w14:paraId="62550EED">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十七、农林水支出（类）巩固脱贫攻坚成果衔接乡村振兴（款）其他巩固脱贫攻坚成果衔接乡村振兴支出（项）：指反映除上述项目以外其他用于巩固拓展脱贫攻坚成果同乡村振兴有效衔接方面的支出。</w:t>
      </w:r>
    </w:p>
    <w:p w14:paraId="1BD8280C">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十八、住房保障支出（类）住房改革支出（款）住房公积金（项）：指</w:t>
      </w:r>
      <w:r>
        <w:rPr>
          <w:rFonts w:hint="eastAsia" w:ascii="仿宋_GB2312" w:hAnsi="仿宋_GB2312" w:eastAsia="仿宋_GB2312"/>
          <w:color w:val="000000"/>
          <w:sz w:val="32"/>
          <w:szCs w:val="24"/>
          <w:lang w:val="en-US" w:eastAsia="zh-CN"/>
        </w:rPr>
        <w:t>行政事业单位按照人力资源和社会保障部、财政部规定的基本工资和津贴补贴以及规定比例为职工缴纳的住房公积金</w:t>
      </w:r>
      <w:r>
        <w:rPr>
          <w:rFonts w:hint="eastAsia" w:ascii="仿宋_GB2312" w:hAnsi="仿宋_GB2312" w:eastAsia="仿宋_GB2312"/>
          <w:color w:val="000000"/>
          <w:kern w:val="2"/>
          <w:sz w:val="32"/>
          <w:szCs w:val="24"/>
          <w:lang w:val="en-US"/>
        </w:rPr>
        <w:t>。</w:t>
      </w:r>
    </w:p>
    <w:p w14:paraId="1388B575">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十九、</w:t>
      </w:r>
      <w:r>
        <w:rPr>
          <w:rFonts w:hint="eastAsia" w:ascii="仿宋_GB2312" w:hAnsi="仿宋_GB2312" w:eastAsia="仿宋_GB2312"/>
          <w:color w:val="auto"/>
          <w:kern w:val="2"/>
          <w:sz w:val="32"/>
          <w:szCs w:val="24"/>
          <w:lang w:val="en-US"/>
        </w:rPr>
        <w:t>基本支出：指为保障机构正常运转、完成日常工作任务而发生的人员支出和公用支出。</w:t>
      </w:r>
    </w:p>
    <w:p w14:paraId="1E19AA86">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 xml:space="preserve">二十、项目支出：指在基本支出之外为完成特定行政任务和事业发展目标所发生的支出。 </w:t>
      </w:r>
    </w:p>
    <w:p w14:paraId="13F8E3B2">
      <w:pPr>
        <w:overflowPunct w:val="0"/>
        <w:topLinePunct/>
        <w:spacing w:beforeLines="0" w:afterLines="0" w:line="576" w:lineRule="exact"/>
        <w:ind w:firstLine="640" w:firstLineChars="200"/>
        <w:jc w:val="both"/>
        <w:rPr>
          <w:rFonts w:hint="eastAsia" w:ascii="仿宋_GB2312" w:hAnsi="仿宋_GB2312" w:eastAsia="仿宋_GB2312"/>
          <w:color w:val="000000"/>
          <w:kern w:val="2"/>
          <w:sz w:val="32"/>
          <w:szCs w:val="24"/>
          <w:lang w:val="en-US"/>
        </w:rPr>
      </w:pPr>
      <w:r>
        <w:rPr>
          <w:rFonts w:hint="eastAsia" w:ascii="仿宋_GB2312" w:hAnsi="仿宋_GB2312" w:eastAsia="仿宋_GB2312"/>
          <w:color w:val="000000"/>
          <w:kern w:val="2"/>
          <w:sz w:val="32"/>
          <w:szCs w:val="24"/>
          <w:lang w:val="en-US"/>
        </w:rPr>
        <w:t>二十</w:t>
      </w:r>
      <w:r>
        <w:rPr>
          <w:rFonts w:hint="eastAsia" w:ascii="仿宋_GB2312" w:hAnsi="仿宋_GB2312" w:eastAsia="仿宋_GB2312"/>
          <w:color w:val="000000"/>
          <w:kern w:val="2"/>
          <w:sz w:val="32"/>
          <w:szCs w:val="24"/>
          <w:lang w:val="en-US" w:eastAsia="zh-CN"/>
        </w:rPr>
        <w:t>一</w:t>
      </w:r>
      <w:r>
        <w:rPr>
          <w:rFonts w:hint="eastAsia" w:ascii="仿宋_GB2312" w:hAnsi="仿宋_GB2312" w:eastAsia="仿宋_GB2312"/>
          <w:color w:val="000000"/>
          <w:kern w:val="2"/>
          <w:sz w:val="32"/>
          <w:szCs w:val="24"/>
          <w:lang w:val="en-US"/>
        </w:rPr>
        <w:t>、经营支出：指事业单位在专业业务活动及其辅助活动之外开展非独立核算经营活动发生的支出。</w:t>
      </w:r>
    </w:p>
    <w:p w14:paraId="60906F16">
      <w:pPr>
        <w:overflowPunct w:val="0"/>
        <w:topLinePunct/>
        <w:spacing w:beforeLines="0" w:afterLines="0" w:line="576" w:lineRule="exact"/>
        <w:ind w:firstLine="640" w:firstLineChars="200"/>
        <w:jc w:val="both"/>
        <w:rPr>
          <w:rFonts w:hint="eastAsia" w:ascii="仿宋_GB2312" w:hAnsi="仿宋_GB2312" w:eastAsia="仿宋_GB2312"/>
          <w:color w:val="000000"/>
          <w:sz w:val="32"/>
          <w:szCs w:val="24"/>
          <w:lang w:val="en-US"/>
        </w:rPr>
      </w:pPr>
      <w:r>
        <w:rPr>
          <w:rFonts w:hint="eastAsia" w:ascii="仿宋_GB2312" w:hAnsi="仿宋_GB2312" w:eastAsia="仿宋_GB2312"/>
          <w:color w:val="000000"/>
          <w:kern w:val="2"/>
          <w:sz w:val="32"/>
          <w:szCs w:val="24"/>
          <w:lang w:val="en-US"/>
        </w:rPr>
        <w:t>二十</w:t>
      </w:r>
      <w:r>
        <w:rPr>
          <w:rFonts w:hint="eastAsia" w:ascii="仿宋_GB2312" w:hAnsi="仿宋_GB2312" w:eastAsia="仿宋_GB2312"/>
          <w:color w:val="000000"/>
          <w:kern w:val="2"/>
          <w:sz w:val="32"/>
          <w:szCs w:val="24"/>
          <w:lang w:val="en-US" w:eastAsia="zh-CN"/>
        </w:rPr>
        <w:t>二</w:t>
      </w:r>
      <w:r>
        <w:rPr>
          <w:rFonts w:hint="eastAsia" w:ascii="仿宋_GB2312" w:hAnsi="仿宋_GB2312" w:eastAsia="仿宋_GB2312"/>
          <w:color w:val="000000"/>
          <w:sz w:val="32"/>
          <w:szCs w:val="24"/>
          <w:lang w:val="en-US"/>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47E5AF4">
      <w:pPr>
        <w:keepNext w:val="0"/>
        <w:keepLines w:val="0"/>
        <w:pageBreakBefore w:val="0"/>
        <w:widowControl w:val="0"/>
        <w:kinsoku/>
        <w:wordWrap/>
        <w:overflowPunct w:val="0"/>
        <w:topLinePunct/>
        <w:autoSpaceDE w:val="0"/>
        <w:autoSpaceDN w:val="0"/>
        <w:bidi w:val="0"/>
        <w:spacing w:beforeLines="0" w:afterLines="0" w:line="576" w:lineRule="exact"/>
        <w:ind w:firstLine="640"/>
        <w:jc w:val="both"/>
        <w:textAlignment w:val="auto"/>
        <w:rPr>
          <w:rFonts w:hint="eastAsia" w:ascii="黑体" w:hAnsi="黑体" w:eastAsia="黑体"/>
          <w:color w:val="000000"/>
          <w:kern w:val="2"/>
          <w:sz w:val="44"/>
          <w:szCs w:val="24"/>
          <w:lang w:val="en-US"/>
        </w:rPr>
      </w:pPr>
      <w:r>
        <w:rPr>
          <w:rFonts w:hint="eastAsia" w:ascii="仿宋_GB2312" w:hAnsi="仿宋_GB2312" w:eastAsia="仿宋_GB2312"/>
          <w:color w:val="000000"/>
          <w:kern w:val="2"/>
          <w:sz w:val="32"/>
          <w:szCs w:val="24"/>
          <w:lang w:val="en-US"/>
        </w:rPr>
        <w:t>二十</w:t>
      </w:r>
      <w:r>
        <w:rPr>
          <w:rFonts w:hint="eastAsia" w:ascii="仿宋_GB2312" w:hAnsi="仿宋_GB2312" w:eastAsia="仿宋_GB2312"/>
          <w:color w:val="000000"/>
          <w:kern w:val="2"/>
          <w:sz w:val="32"/>
          <w:szCs w:val="24"/>
          <w:lang w:val="en-US" w:eastAsia="zh-CN"/>
        </w:rPr>
        <w:t>三</w:t>
      </w:r>
      <w:r>
        <w:rPr>
          <w:rFonts w:hint="eastAsia" w:ascii="仿宋_GB2312" w:hAnsi="仿宋_GB2312" w:eastAsia="仿宋_GB2312"/>
          <w:color w:val="000000"/>
          <w:sz w:val="32"/>
          <w:szCs w:val="24"/>
          <w:lang w:val="en-US"/>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以及其他费用。</w:t>
      </w:r>
    </w:p>
    <w:p w14:paraId="24D5A8C6">
      <w:pPr>
        <w:keepNext w:val="0"/>
        <w:keepLines w:val="0"/>
        <w:pageBreakBefore w:val="0"/>
        <w:widowControl w:val="0"/>
        <w:kinsoku/>
        <w:wordWrap/>
        <w:overflowPunct w:val="0"/>
        <w:topLinePunct/>
        <w:autoSpaceDE w:val="0"/>
        <w:autoSpaceDN w:val="0"/>
        <w:bidi w:val="0"/>
        <w:textAlignment w:val="auto"/>
        <w:rPr>
          <w:rFonts w:hint="eastAsia" w:ascii="Times New Roman" w:hAnsi="Times New Roman" w:eastAsia="黑体"/>
          <w:color w:val="auto"/>
          <w:sz w:val="44"/>
          <w:szCs w:val="44"/>
          <w:highlight w:val="none"/>
        </w:rPr>
      </w:pPr>
      <w:bookmarkStart w:id="60" w:name="_Toc15396614"/>
      <w:bookmarkStart w:id="61" w:name="_Toc15377226"/>
      <w:r>
        <w:br w:type="page"/>
      </w:r>
      <w:bookmarkEnd w:id="60"/>
    </w:p>
    <w:p w14:paraId="2FC61C67">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lang w:eastAsia="zh-CN"/>
        </w:rPr>
      </w:pPr>
      <w:bookmarkStart w:id="62" w:name="_Toc14927"/>
      <w:bookmarkStart w:id="63" w:name="_Toc15396618"/>
      <w:r>
        <w:rPr>
          <w:rFonts w:hint="eastAsia" w:ascii="方正小标宋简体" w:hAnsi="方正小标宋简体" w:eastAsia="方正小标宋简体" w:cs="方正小标宋简体"/>
          <w:color w:val="auto"/>
          <w:sz w:val="44"/>
          <w:szCs w:val="44"/>
          <w:highlight w:val="none"/>
        </w:rPr>
        <w:t>第四部分</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 xml:space="preserve"> 附件</w:t>
      </w:r>
      <w:bookmarkEnd w:id="62"/>
    </w:p>
    <w:p w14:paraId="6BFE5995">
      <w:pPr>
        <w:keepNext w:val="0"/>
        <w:keepLines w:val="0"/>
        <w:pageBreakBefore w:val="0"/>
        <w:widowControl w:val="0"/>
        <w:kinsoku/>
        <w:wordWrap/>
        <w:overflowPunct w:val="0"/>
        <w:topLinePunct/>
        <w:autoSpaceDE w:val="0"/>
        <w:autoSpaceDN w:val="0"/>
        <w:bidi w:val="0"/>
        <w:adjustRightInd/>
        <w:snapToGrid/>
        <w:spacing w:line="576" w:lineRule="exact"/>
        <w:jc w:val="left"/>
        <w:textAlignment w:val="auto"/>
        <w:outlineLvl w:val="1"/>
        <w:rPr>
          <w:rFonts w:hint="eastAsia" w:ascii="Times New Roman" w:hAnsi="Times New Roman" w:eastAsia="黑体" w:cs="方正小标宋简体"/>
          <w:color w:val="auto"/>
          <w:sz w:val="44"/>
          <w:szCs w:val="44"/>
          <w:highlight w:val="none"/>
          <w:lang w:val="en-US" w:eastAsia="zh-CN"/>
        </w:rPr>
      </w:pPr>
      <w:bookmarkStart w:id="64" w:name="_Toc17845"/>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bookmarkEnd w:id="64"/>
    </w:p>
    <w:p w14:paraId="45B32D80">
      <w:pPr>
        <w:keepNext w:val="0"/>
        <w:keepLines w:val="0"/>
        <w:pageBreakBefore w:val="0"/>
        <w:widowControl w:val="0"/>
        <w:kinsoku/>
        <w:wordWrap/>
        <w:overflowPunct w:val="0"/>
        <w:topLinePunct/>
        <w:autoSpaceDE w:val="0"/>
        <w:autoSpaceDN w:val="0"/>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lang w:val="en-US" w:eastAsia="zh-CN"/>
        </w:rPr>
      </w:pPr>
      <w:bookmarkStart w:id="65" w:name="_Hlk110546638"/>
      <w:r>
        <w:rPr>
          <w:rFonts w:hint="default" w:ascii="Times New Roman" w:hAnsi="Times New Roman" w:eastAsia="方正小标宋简体" w:cs="Times New Roman"/>
          <w:b w:val="0"/>
          <w:bCs/>
          <w:sz w:val="44"/>
          <w:szCs w:val="44"/>
          <w:highlight w:val="none"/>
          <w:shd w:val="clear" w:color="auto" w:fill="FFFFFF"/>
          <w:lang w:val="en-US" w:eastAsia="zh-CN"/>
        </w:rPr>
        <w:t>广元市昭化区</w:t>
      </w:r>
      <w:r>
        <w:rPr>
          <w:rFonts w:hint="eastAsia" w:ascii="Times New Roman" w:hAnsi="Times New Roman" w:eastAsia="方正小标宋简体" w:cs="Times New Roman"/>
          <w:b w:val="0"/>
          <w:bCs/>
          <w:sz w:val="44"/>
          <w:szCs w:val="44"/>
          <w:highlight w:val="none"/>
          <w:shd w:val="clear" w:color="auto" w:fill="FFFFFF"/>
          <w:lang w:val="en-US" w:eastAsia="zh-CN"/>
        </w:rPr>
        <w:t>乡村振兴局</w:t>
      </w:r>
    </w:p>
    <w:p w14:paraId="6EE047ED">
      <w:pPr>
        <w:keepNext w:val="0"/>
        <w:keepLines w:val="0"/>
        <w:pageBreakBefore w:val="0"/>
        <w:widowControl w:val="0"/>
        <w:kinsoku/>
        <w:wordWrap/>
        <w:overflowPunct w:val="0"/>
        <w:topLinePunct/>
        <w:autoSpaceDE w:val="0"/>
        <w:autoSpaceDN w:val="0"/>
        <w:bidi w:val="0"/>
        <w:spacing w:line="578" w:lineRule="exact"/>
        <w:contextualSpacing/>
        <w:jc w:val="center"/>
        <w:textAlignment w:val="auto"/>
        <w:outlineLvl w:val="9"/>
        <w:rPr>
          <w:rFonts w:hint="eastAsia" w:ascii="Times New Roman" w:hAnsi="Times New Roman" w:eastAsia="方正小标宋简体" w:cs="Times New Roman"/>
          <w:b w:val="0"/>
          <w:bCs/>
          <w:sz w:val="44"/>
          <w:szCs w:val="44"/>
          <w:highlight w:val="none"/>
          <w:shd w:val="clear" w:color="auto" w:fill="FFFFFF"/>
          <w:lang w:eastAsia="zh-CN"/>
        </w:rPr>
      </w:pPr>
      <w:r>
        <w:rPr>
          <w:rFonts w:hint="default" w:ascii="Times New Roman" w:hAnsi="Times New Roman" w:eastAsia="方正小标宋简体" w:cs="Times New Roman"/>
          <w:b w:val="0"/>
          <w:bCs/>
          <w:sz w:val="44"/>
          <w:szCs w:val="44"/>
          <w:highlight w:val="none"/>
          <w:shd w:val="clear" w:color="auto" w:fill="FFFFFF"/>
          <w:lang w:val="en-US" w:eastAsia="zh-CN"/>
        </w:rPr>
        <w:t>202</w:t>
      </w:r>
      <w:r>
        <w:rPr>
          <w:rFonts w:hint="eastAsia" w:ascii="Times New Roman" w:hAnsi="Times New Roman" w:eastAsia="方正小标宋简体" w:cs="Times New Roman"/>
          <w:b w:val="0"/>
          <w:bCs/>
          <w:sz w:val="44"/>
          <w:szCs w:val="44"/>
          <w:highlight w:val="none"/>
          <w:shd w:val="clear" w:color="auto" w:fill="FFFFFF"/>
          <w:lang w:val="en-US" w:eastAsia="zh-CN"/>
        </w:rPr>
        <w:t>4</w:t>
      </w:r>
      <w:r>
        <w:rPr>
          <w:rFonts w:hint="default" w:ascii="Times New Roman" w:hAnsi="Times New Roman" w:eastAsia="方正小标宋简体" w:cs="Times New Roman"/>
          <w:b w:val="0"/>
          <w:bCs/>
          <w:sz w:val="44"/>
          <w:szCs w:val="44"/>
          <w:highlight w:val="none"/>
          <w:shd w:val="clear" w:color="auto" w:fill="FFFFFF"/>
          <w:lang w:val="en-US" w:eastAsia="zh-CN"/>
        </w:rPr>
        <w:t>年</w:t>
      </w:r>
      <w:r>
        <w:rPr>
          <w:rFonts w:hint="default" w:ascii="Times New Roman" w:hAnsi="Times New Roman" w:eastAsia="方正小标宋简体" w:cs="Times New Roman"/>
          <w:b w:val="0"/>
          <w:bCs/>
          <w:sz w:val="44"/>
          <w:szCs w:val="44"/>
          <w:highlight w:val="none"/>
          <w:shd w:val="clear" w:color="auto" w:fill="FFFFFF"/>
          <w:lang w:eastAsia="zh-CN"/>
        </w:rPr>
        <w:t>部门整体支出绩效自评报告</w:t>
      </w:r>
    </w:p>
    <w:p w14:paraId="0B141472">
      <w:pPr>
        <w:keepNext w:val="0"/>
        <w:keepLines w:val="0"/>
        <w:pageBreakBefore w:val="0"/>
        <w:widowControl w:val="0"/>
        <w:kinsoku/>
        <w:wordWrap/>
        <w:overflowPunct w:val="0"/>
        <w:topLinePunct/>
        <w:autoSpaceDE w:val="0"/>
        <w:autoSpaceDN w:val="0"/>
        <w:bidi w:val="0"/>
        <w:adjustRightInd w:val="0"/>
        <w:snapToGrid w:val="0"/>
        <w:spacing w:line="578" w:lineRule="exact"/>
        <w:contextualSpacing/>
        <w:jc w:val="left"/>
        <w:textAlignment w:val="auto"/>
        <w:outlineLvl w:val="9"/>
        <w:rPr>
          <w:rFonts w:hint="eastAsia" w:ascii="Times New Roman" w:hAnsi="Times New Roman" w:eastAsia="仿宋_GB2312" w:cs="Times New Roman"/>
          <w:sz w:val="32"/>
          <w:szCs w:val="32"/>
          <w:highlight w:val="yellow"/>
          <w:u w:val="none"/>
          <w:lang w:eastAsia="zh-CN"/>
        </w:rPr>
      </w:pPr>
    </w:p>
    <w:p w14:paraId="41EED3E1">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部门基本情况</w:t>
      </w:r>
    </w:p>
    <w:p w14:paraId="275E21C0">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7D081531">
      <w:pPr>
        <w:keepNext w:val="0"/>
        <w:keepLines w:val="0"/>
        <w:pageBreakBefore w:val="0"/>
        <w:widowControl w:val="0"/>
        <w:kinsoku/>
        <w:wordWrap/>
        <w:overflowPunct w:val="0"/>
        <w:topLinePunct/>
        <w:autoSpaceDE w:val="0"/>
        <w:autoSpaceDN w:val="0"/>
        <w:bidi w:val="0"/>
        <w:spacing w:beforeLines="0" w:afterLines="0" w:line="576" w:lineRule="exact"/>
        <w:ind w:firstLine="640"/>
        <w:textAlignment w:val="auto"/>
        <w:rPr>
          <w:rFonts w:hint="default"/>
          <w:sz w:val="32"/>
          <w:szCs w:val="32"/>
        </w:rPr>
      </w:pPr>
      <w:r>
        <w:rPr>
          <w:rFonts w:hint="eastAsia" w:ascii="仿宋_GB2312" w:hAnsi="仿宋_GB2312" w:eastAsia="仿宋_GB2312"/>
          <w:color w:val="000000"/>
          <w:sz w:val="32"/>
          <w:szCs w:val="32"/>
          <w:highlight w:val="none"/>
          <w:lang w:val="zh-CN"/>
        </w:rPr>
        <w:t>主要负责巩固拓展脱贫攻坚成果，统筹推进实施乡村振兴战略有关具体工作，组织开展东西部协作、省直机关定点帮扶工作、承办区委、区政府交办的其他事项。</w:t>
      </w:r>
    </w:p>
    <w:p w14:paraId="1E2C54E2">
      <w:pPr>
        <w:keepNext w:val="0"/>
        <w:keepLines w:val="0"/>
        <w:pageBreakBefore w:val="0"/>
        <w:widowControl w:val="0"/>
        <w:numPr>
          <w:ilvl w:val="0"/>
          <w:numId w:val="1"/>
        </w:numPr>
        <w:kinsoku/>
        <w:wordWrap/>
        <w:overflowPunct w:val="0"/>
        <w:topLinePunct/>
        <w:autoSpaceDE w:val="0"/>
        <w:autoSpaceDN w:val="0"/>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楷体_GB2312" w:cs="楷体_GB2312"/>
          <w:b/>
          <w:color w:val="auto"/>
          <w:sz w:val="32"/>
          <w:szCs w:val="32"/>
          <w:highlight w:val="none"/>
          <w:lang w:val="zh-CN"/>
        </w:rPr>
        <w:t>机构职能</w:t>
      </w:r>
      <w:r>
        <w:rPr>
          <w:rFonts w:hint="eastAsia" w:ascii="Times New Roman" w:hAnsi="Times New Roman" w:eastAsia="楷体_GB2312" w:cs="楷体_GB2312"/>
          <w:b/>
          <w:color w:val="auto"/>
          <w:sz w:val="32"/>
          <w:szCs w:val="32"/>
          <w:highlight w:val="none"/>
          <w:lang w:val="zh-CN"/>
        </w:rPr>
        <w:t>。</w:t>
      </w:r>
    </w:p>
    <w:p w14:paraId="07E62D43">
      <w:pPr>
        <w:pStyle w:val="5"/>
        <w:keepNext w:val="0"/>
        <w:keepLines w:val="0"/>
        <w:pageBreakBefore w:val="0"/>
        <w:widowControl w:val="0"/>
        <w:numPr>
          <w:ilvl w:val="0"/>
          <w:numId w:val="0"/>
        </w:numPr>
        <w:kinsoku/>
        <w:wordWrap/>
        <w:overflowPunct w:val="0"/>
        <w:topLinePunct/>
        <w:autoSpaceDE w:val="0"/>
        <w:autoSpaceDN w:val="0"/>
        <w:bidi w:val="0"/>
        <w:adjustRightInd/>
        <w:snapToGrid/>
        <w:spacing w:beforeLines="0" w:line="576" w:lineRule="exact"/>
        <w:ind w:firstLine="640" w:firstLineChars="200"/>
        <w:textAlignment w:val="auto"/>
        <w:rPr>
          <w:rFonts w:hint="eastAsia" w:ascii="仿宋_GB2312" w:hAnsi="仿宋_GB2312" w:eastAsia="仿宋_GB2312"/>
          <w:color w:val="000000"/>
          <w:sz w:val="32"/>
          <w:szCs w:val="32"/>
          <w:highlight w:val="none"/>
          <w:lang w:val="zh-CN"/>
        </w:rPr>
      </w:pPr>
      <w:r>
        <w:rPr>
          <w:rFonts w:hint="eastAsia" w:ascii="仿宋_GB2312" w:hAnsi="仿宋_GB2312" w:eastAsia="仿宋_GB2312"/>
          <w:color w:val="000000"/>
          <w:sz w:val="32"/>
          <w:szCs w:val="32"/>
          <w:highlight w:val="none"/>
          <w:lang w:val="zh-CN"/>
        </w:rPr>
        <w:t>1.统筹推进巩固拓展脱贫攻坚成果同乡村振兴有效衔接。</w:t>
      </w:r>
    </w:p>
    <w:p w14:paraId="0BBA73D6">
      <w:pPr>
        <w:pStyle w:val="5"/>
        <w:keepNext w:val="0"/>
        <w:keepLines w:val="0"/>
        <w:pageBreakBefore w:val="0"/>
        <w:widowControl w:val="0"/>
        <w:numPr>
          <w:ilvl w:val="0"/>
          <w:numId w:val="0"/>
        </w:numPr>
        <w:kinsoku/>
        <w:wordWrap/>
        <w:overflowPunct w:val="0"/>
        <w:topLinePunct/>
        <w:autoSpaceDE w:val="0"/>
        <w:autoSpaceDN w:val="0"/>
        <w:bidi w:val="0"/>
        <w:adjustRightInd/>
        <w:snapToGrid/>
        <w:spacing w:beforeLines="0" w:line="576" w:lineRule="exact"/>
        <w:ind w:firstLine="640" w:firstLineChars="200"/>
        <w:textAlignment w:val="auto"/>
        <w:rPr>
          <w:rFonts w:hint="eastAsia" w:ascii="仿宋_GB2312" w:hAnsi="仿宋_GB2312" w:eastAsia="仿宋_GB2312"/>
          <w:color w:val="000000"/>
          <w:sz w:val="32"/>
          <w:szCs w:val="32"/>
          <w:highlight w:val="none"/>
          <w:lang w:val="zh-CN"/>
        </w:rPr>
      </w:pPr>
      <w:r>
        <w:rPr>
          <w:rFonts w:hint="eastAsia" w:ascii="仿宋_GB2312" w:hAnsi="仿宋_GB2312" w:eastAsia="仿宋_GB2312"/>
          <w:color w:val="000000"/>
          <w:sz w:val="32"/>
          <w:szCs w:val="32"/>
          <w:highlight w:val="none"/>
          <w:lang w:val="zh-CN"/>
        </w:rPr>
        <w:t>2.参与乡村振兴有关法规起草修订和政策制订，参与乡村振 兴规划编制和组织实施。</w:t>
      </w:r>
    </w:p>
    <w:p w14:paraId="7D8BE5BA">
      <w:pPr>
        <w:pStyle w:val="5"/>
        <w:keepNext w:val="0"/>
        <w:keepLines w:val="0"/>
        <w:pageBreakBefore w:val="0"/>
        <w:widowControl w:val="0"/>
        <w:numPr>
          <w:ilvl w:val="0"/>
          <w:numId w:val="0"/>
        </w:numPr>
        <w:kinsoku/>
        <w:wordWrap/>
        <w:overflowPunct w:val="0"/>
        <w:topLinePunct/>
        <w:autoSpaceDE w:val="0"/>
        <w:autoSpaceDN w:val="0"/>
        <w:bidi w:val="0"/>
        <w:adjustRightInd/>
        <w:snapToGrid/>
        <w:spacing w:beforeLines="0" w:line="576" w:lineRule="exact"/>
        <w:ind w:firstLine="640" w:firstLineChars="200"/>
        <w:textAlignment w:val="auto"/>
        <w:rPr>
          <w:rFonts w:hint="eastAsia" w:ascii="仿宋_GB2312" w:hAnsi="仿宋_GB2312" w:eastAsia="仿宋_GB2312"/>
          <w:color w:val="000000"/>
          <w:sz w:val="32"/>
          <w:szCs w:val="32"/>
          <w:highlight w:val="none"/>
          <w:lang w:val="zh-CN"/>
        </w:rPr>
      </w:pPr>
      <w:r>
        <w:rPr>
          <w:rFonts w:hint="eastAsia" w:ascii="仿宋_GB2312" w:hAnsi="仿宋_GB2312" w:eastAsia="仿宋_GB2312"/>
          <w:color w:val="000000"/>
          <w:sz w:val="32"/>
          <w:szCs w:val="32"/>
          <w:highlight w:val="none"/>
          <w:lang w:val="zh-CN"/>
        </w:rPr>
        <w:t>3.督导检查党中央、国务院相关重大部署、重要文件、重点工作落实情况。</w:t>
      </w:r>
    </w:p>
    <w:p w14:paraId="31F80187">
      <w:pPr>
        <w:pStyle w:val="5"/>
        <w:keepNext w:val="0"/>
        <w:keepLines w:val="0"/>
        <w:pageBreakBefore w:val="0"/>
        <w:widowControl w:val="0"/>
        <w:numPr>
          <w:ilvl w:val="0"/>
          <w:numId w:val="0"/>
        </w:numPr>
        <w:kinsoku/>
        <w:wordWrap/>
        <w:overflowPunct w:val="0"/>
        <w:topLinePunct/>
        <w:autoSpaceDE w:val="0"/>
        <w:autoSpaceDN w:val="0"/>
        <w:bidi w:val="0"/>
        <w:adjustRightInd/>
        <w:snapToGrid/>
        <w:spacing w:beforeLines="0" w:line="576" w:lineRule="exact"/>
        <w:ind w:firstLine="640" w:firstLineChars="200"/>
        <w:textAlignment w:val="auto"/>
        <w:rPr>
          <w:rFonts w:hint="eastAsia" w:ascii="仿宋_GB2312" w:hAnsi="仿宋_GB2312" w:eastAsia="仿宋_GB2312"/>
          <w:color w:val="000000"/>
          <w:sz w:val="32"/>
          <w:szCs w:val="32"/>
          <w:highlight w:val="none"/>
          <w:lang w:val="zh-CN"/>
        </w:rPr>
      </w:pPr>
      <w:r>
        <w:rPr>
          <w:rFonts w:hint="eastAsia" w:ascii="仿宋_GB2312" w:hAnsi="仿宋_GB2312" w:eastAsia="仿宋_GB2312"/>
          <w:color w:val="000000"/>
          <w:sz w:val="32"/>
          <w:szCs w:val="32"/>
          <w:highlight w:val="none"/>
          <w:lang w:val="zh-CN"/>
        </w:rPr>
        <w:t>4.统筹协调保持过渡期内主要帮扶政策稳定。</w:t>
      </w:r>
    </w:p>
    <w:p w14:paraId="7E4BEC96">
      <w:pPr>
        <w:pStyle w:val="5"/>
        <w:keepNext w:val="0"/>
        <w:keepLines w:val="0"/>
        <w:pageBreakBefore w:val="0"/>
        <w:widowControl w:val="0"/>
        <w:numPr>
          <w:ilvl w:val="0"/>
          <w:numId w:val="0"/>
        </w:numPr>
        <w:kinsoku/>
        <w:wordWrap/>
        <w:overflowPunct w:val="0"/>
        <w:topLinePunct/>
        <w:autoSpaceDE w:val="0"/>
        <w:autoSpaceDN w:val="0"/>
        <w:bidi w:val="0"/>
        <w:adjustRightInd/>
        <w:snapToGrid/>
        <w:spacing w:beforeLines="0" w:line="576" w:lineRule="exact"/>
        <w:ind w:firstLine="640" w:firstLineChars="200"/>
        <w:textAlignment w:val="auto"/>
        <w:rPr>
          <w:rFonts w:hint="eastAsia" w:ascii="仿宋_GB2312" w:hAnsi="仿宋_GB2312" w:eastAsia="仿宋_GB2312"/>
          <w:color w:val="000000"/>
          <w:sz w:val="32"/>
          <w:szCs w:val="32"/>
          <w:highlight w:val="none"/>
          <w:lang w:val="zh-CN"/>
        </w:rPr>
      </w:pPr>
      <w:r>
        <w:rPr>
          <w:rFonts w:hint="eastAsia" w:ascii="仿宋_GB2312" w:hAnsi="仿宋_GB2312" w:eastAsia="仿宋_GB2312"/>
          <w:color w:val="000000"/>
          <w:sz w:val="32"/>
          <w:szCs w:val="32"/>
          <w:highlight w:val="none"/>
          <w:lang w:val="zh-CN"/>
        </w:rPr>
        <w:t>5.组织开展防止返贫监测和帮扶。</w:t>
      </w:r>
    </w:p>
    <w:p w14:paraId="673FF29A">
      <w:pPr>
        <w:pStyle w:val="5"/>
        <w:keepNext w:val="0"/>
        <w:keepLines w:val="0"/>
        <w:pageBreakBefore w:val="0"/>
        <w:widowControl w:val="0"/>
        <w:numPr>
          <w:ilvl w:val="0"/>
          <w:numId w:val="0"/>
        </w:numPr>
        <w:kinsoku/>
        <w:wordWrap/>
        <w:overflowPunct w:val="0"/>
        <w:topLinePunct/>
        <w:autoSpaceDE w:val="0"/>
        <w:autoSpaceDN w:val="0"/>
        <w:bidi w:val="0"/>
        <w:adjustRightInd/>
        <w:snapToGrid/>
        <w:spacing w:beforeLines="0" w:line="576" w:lineRule="exact"/>
        <w:ind w:firstLine="640" w:firstLineChars="200"/>
        <w:textAlignment w:val="auto"/>
        <w:rPr>
          <w:rFonts w:hint="eastAsia" w:ascii="仿宋_GB2312" w:hAnsi="仿宋_GB2312" w:eastAsia="仿宋_GB2312"/>
          <w:color w:val="000000"/>
          <w:sz w:val="32"/>
          <w:szCs w:val="32"/>
          <w:highlight w:val="none"/>
          <w:lang w:val="zh-CN"/>
        </w:rPr>
      </w:pPr>
      <w:r>
        <w:rPr>
          <w:rFonts w:hint="eastAsia" w:ascii="仿宋_GB2312" w:hAnsi="仿宋_GB2312" w:eastAsia="仿宋_GB2312"/>
          <w:color w:val="000000"/>
          <w:sz w:val="32"/>
          <w:szCs w:val="32"/>
          <w:highlight w:val="none"/>
          <w:lang w:val="zh-CN"/>
        </w:rPr>
        <w:t>6.参与组织中央财政专项补助资金分配、监管和绩效评价。</w:t>
      </w:r>
    </w:p>
    <w:p w14:paraId="4DBF0629">
      <w:pPr>
        <w:pStyle w:val="5"/>
        <w:keepNext w:val="0"/>
        <w:keepLines w:val="0"/>
        <w:pageBreakBefore w:val="0"/>
        <w:widowControl w:val="0"/>
        <w:numPr>
          <w:ilvl w:val="0"/>
          <w:numId w:val="0"/>
        </w:numPr>
        <w:kinsoku/>
        <w:wordWrap/>
        <w:overflowPunct w:val="0"/>
        <w:topLinePunct/>
        <w:autoSpaceDE w:val="0"/>
        <w:autoSpaceDN w:val="0"/>
        <w:bidi w:val="0"/>
        <w:adjustRightInd/>
        <w:snapToGrid/>
        <w:spacing w:beforeLines="0" w:line="576" w:lineRule="exact"/>
        <w:ind w:firstLine="640" w:firstLineChars="200"/>
        <w:textAlignment w:val="auto"/>
        <w:rPr>
          <w:rFonts w:hint="eastAsia" w:ascii="仿宋_GB2312" w:hAnsi="仿宋_GB2312" w:eastAsia="仿宋_GB2312"/>
          <w:color w:val="000000"/>
          <w:sz w:val="32"/>
          <w:szCs w:val="32"/>
          <w:highlight w:val="none"/>
          <w:lang w:val="zh-CN"/>
        </w:rPr>
      </w:pPr>
      <w:r>
        <w:rPr>
          <w:rFonts w:hint="eastAsia" w:ascii="仿宋_GB2312" w:hAnsi="仿宋_GB2312" w:eastAsia="仿宋_GB2312"/>
          <w:color w:val="000000"/>
          <w:sz w:val="32"/>
          <w:szCs w:val="32"/>
          <w:highlight w:val="none"/>
          <w:lang w:val="zh-CN"/>
        </w:rPr>
        <w:t>7.统筹加强扶贫项目资产管理。</w:t>
      </w:r>
    </w:p>
    <w:p w14:paraId="0BD1BA61">
      <w:pPr>
        <w:pStyle w:val="5"/>
        <w:keepNext w:val="0"/>
        <w:keepLines w:val="0"/>
        <w:pageBreakBefore w:val="0"/>
        <w:widowControl w:val="0"/>
        <w:numPr>
          <w:ilvl w:val="0"/>
          <w:numId w:val="0"/>
        </w:numPr>
        <w:kinsoku/>
        <w:wordWrap/>
        <w:overflowPunct w:val="0"/>
        <w:topLinePunct/>
        <w:autoSpaceDE w:val="0"/>
        <w:autoSpaceDN w:val="0"/>
        <w:bidi w:val="0"/>
        <w:adjustRightInd/>
        <w:snapToGrid/>
        <w:spacing w:beforeLines="0" w:line="576" w:lineRule="exact"/>
        <w:ind w:firstLine="640" w:firstLineChars="200"/>
        <w:textAlignment w:val="auto"/>
        <w:rPr>
          <w:rFonts w:hint="eastAsia" w:ascii="仿宋_GB2312" w:hAnsi="仿宋_GB2312" w:eastAsia="仿宋_GB2312"/>
          <w:color w:val="000000"/>
          <w:sz w:val="32"/>
          <w:szCs w:val="32"/>
          <w:highlight w:val="none"/>
          <w:lang w:val="zh-CN"/>
        </w:rPr>
      </w:pPr>
      <w:r>
        <w:rPr>
          <w:rFonts w:hint="eastAsia" w:ascii="仿宋_GB2312" w:hAnsi="仿宋_GB2312" w:eastAsia="仿宋_GB2312"/>
          <w:color w:val="000000"/>
          <w:sz w:val="32"/>
          <w:szCs w:val="32"/>
          <w:highlight w:val="none"/>
          <w:lang w:val="zh-CN"/>
        </w:rPr>
        <w:t>8.组织指导易地扶贫搬迁后续帮扶。</w:t>
      </w:r>
    </w:p>
    <w:p w14:paraId="6B20E03E">
      <w:pPr>
        <w:pStyle w:val="5"/>
        <w:keepNext w:val="0"/>
        <w:keepLines w:val="0"/>
        <w:pageBreakBefore w:val="0"/>
        <w:widowControl w:val="0"/>
        <w:numPr>
          <w:ilvl w:val="0"/>
          <w:numId w:val="0"/>
        </w:numPr>
        <w:kinsoku/>
        <w:wordWrap/>
        <w:overflowPunct w:val="0"/>
        <w:topLinePunct/>
        <w:autoSpaceDE w:val="0"/>
        <w:autoSpaceDN w:val="0"/>
        <w:bidi w:val="0"/>
        <w:adjustRightInd/>
        <w:snapToGrid/>
        <w:spacing w:beforeLines="0" w:line="576" w:lineRule="exact"/>
        <w:ind w:firstLine="640" w:firstLineChars="200"/>
        <w:textAlignment w:val="auto"/>
        <w:rPr>
          <w:rFonts w:hint="eastAsia" w:ascii="仿宋_GB2312" w:hAnsi="仿宋_GB2312" w:eastAsia="仿宋_GB2312"/>
          <w:color w:val="000000"/>
          <w:sz w:val="32"/>
          <w:szCs w:val="32"/>
          <w:highlight w:val="none"/>
          <w:lang w:val="zh-CN"/>
        </w:rPr>
      </w:pPr>
      <w:r>
        <w:rPr>
          <w:rFonts w:hint="eastAsia" w:ascii="仿宋_GB2312" w:hAnsi="仿宋_GB2312" w:eastAsia="仿宋_GB2312"/>
          <w:color w:val="000000"/>
          <w:sz w:val="32"/>
          <w:szCs w:val="32"/>
          <w:highlight w:val="none"/>
          <w:lang w:val="zh-CN"/>
        </w:rPr>
        <w:t>9.承担巩固脱贫成果后评估相关工作，指导地方开展巩固拓 展脱贫攻坚成效考核。</w:t>
      </w:r>
    </w:p>
    <w:p w14:paraId="427E459B">
      <w:pPr>
        <w:pStyle w:val="5"/>
        <w:keepNext w:val="0"/>
        <w:keepLines w:val="0"/>
        <w:pageBreakBefore w:val="0"/>
        <w:widowControl w:val="0"/>
        <w:numPr>
          <w:ilvl w:val="0"/>
          <w:numId w:val="0"/>
        </w:numPr>
        <w:kinsoku/>
        <w:wordWrap/>
        <w:overflowPunct w:val="0"/>
        <w:topLinePunct/>
        <w:autoSpaceDE w:val="0"/>
        <w:autoSpaceDN w:val="0"/>
        <w:bidi w:val="0"/>
        <w:adjustRightInd/>
        <w:snapToGrid/>
        <w:spacing w:beforeLines="0" w:line="576" w:lineRule="exact"/>
        <w:ind w:firstLine="640" w:firstLineChars="200"/>
        <w:textAlignment w:val="auto"/>
        <w:rPr>
          <w:rFonts w:hint="eastAsia" w:ascii="仿宋_GB2312" w:hAnsi="仿宋_GB2312" w:eastAsia="仿宋_GB2312"/>
          <w:color w:val="000000"/>
          <w:sz w:val="32"/>
          <w:szCs w:val="32"/>
          <w:highlight w:val="none"/>
          <w:lang w:val="zh-CN"/>
        </w:rPr>
      </w:pPr>
      <w:r>
        <w:rPr>
          <w:rFonts w:hint="eastAsia" w:ascii="仿宋_GB2312" w:hAnsi="仿宋_GB2312" w:eastAsia="仿宋_GB2312"/>
          <w:color w:val="000000"/>
          <w:sz w:val="32"/>
          <w:szCs w:val="32"/>
          <w:highlight w:val="none"/>
          <w:lang w:val="zh-CN"/>
        </w:rPr>
        <w:t>10.协调推进脱贫地区劳动力转移就业能力提升、实用技能培训和转移就业，指导脱贫地区加强公益性岗位管理。</w:t>
      </w:r>
    </w:p>
    <w:p w14:paraId="52328CC6">
      <w:pPr>
        <w:pStyle w:val="5"/>
        <w:keepNext w:val="0"/>
        <w:keepLines w:val="0"/>
        <w:pageBreakBefore w:val="0"/>
        <w:widowControl w:val="0"/>
        <w:numPr>
          <w:ilvl w:val="0"/>
          <w:numId w:val="0"/>
        </w:numPr>
        <w:kinsoku/>
        <w:wordWrap/>
        <w:overflowPunct w:val="0"/>
        <w:topLinePunct/>
        <w:autoSpaceDE w:val="0"/>
        <w:autoSpaceDN w:val="0"/>
        <w:bidi w:val="0"/>
        <w:adjustRightInd/>
        <w:snapToGrid/>
        <w:spacing w:beforeLines="0" w:line="576" w:lineRule="exact"/>
        <w:ind w:firstLine="640" w:firstLineChars="200"/>
        <w:textAlignment w:val="auto"/>
        <w:rPr>
          <w:rFonts w:hint="eastAsia" w:ascii="仿宋_GB2312" w:hAnsi="仿宋_GB2312" w:eastAsia="仿宋_GB2312"/>
          <w:color w:val="000000"/>
          <w:sz w:val="32"/>
          <w:szCs w:val="32"/>
          <w:highlight w:val="none"/>
          <w:lang w:val="zh-CN"/>
        </w:rPr>
      </w:pPr>
      <w:r>
        <w:rPr>
          <w:rFonts w:hint="eastAsia" w:ascii="仿宋_GB2312" w:hAnsi="仿宋_GB2312" w:eastAsia="仿宋_GB2312"/>
          <w:color w:val="000000"/>
          <w:sz w:val="32"/>
          <w:szCs w:val="32"/>
          <w:highlight w:val="none"/>
          <w:lang w:val="zh-CN"/>
        </w:rPr>
        <w:t>11.组织开展东西部协作和中央单位定点帮扶、行业帮扶和相关考核评价工作，动员社会力量参与帮扶。</w:t>
      </w:r>
    </w:p>
    <w:p w14:paraId="622782D4">
      <w:pPr>
        <w:pStyle w:val="5"/>
        <w:keepNext w:val="0"/>
        <w:keepLines w:val="0"/>
        <w:pageBreakBefore w:val="0"/>
        <w:widowControl w:val="0"/>
        <w:numPr>
          <w:ilvl w:val="0"/>
          <w:numId w:val="0"/>
        </w:numPr>
        <w:kinsoku/>
        <w:wordWrap/>
        <w:overflowPunct w:val="0"/>
        <w:topLinePunct/>
        <w:autoSpaceDE w:val="0"/>
        <w:autoSpaceDN w:val="0"/>
        <w:bidi w:val="0"/>
        <w:adjustRightInd/>
        <w:snapToGrid/>
        <w:spacing w:beforeLines="0" w:line="576" w:lineRule="exact"/>
        <w:ind w:firstLine="640" w:firstLineChars="200"/>
        <w:textAlignment w:val="auto"/>
        <w:rPr>
          <w:rFonts w:hint="eastAsia" w:ascii="仿宋_GB2312" w:hAnsi="仿宋_GB2312" w:eastAsia="仿宋_GB2312"/>
          <w:color w:val="000000"/>
          <w:sz w:val="32"/>
          <w:szCs w:val="32"/>
          <w:highlight w:val="none"/>
          <w:lang w:val="zh-CN"/>
        </w:rPr>
      </w:pPr>
      <w:r>
        <w:rPr>
          <w:rFonts w:hint="eastAsia" w:ascii="仿宋_GB2312" w:hAnsi="仿宋_GB2312" w:eastAsia="仿宋_GB2312"/>
          <w:color w:val="000000"/>
          <w:sz w:val="32"/>
          <w:szCs w:val="32"/>
          <w:highlight w:val="none"/>
          <w:lang w:val="zh-CN"/>
        </w:rPr>
        <w:t>12.参与牵头协调驻村第一书记和驻村工作队员选派管理有 关工作。</w:t>
      </w:r>
    </w:p>
    <w:p w14:paraId="098F3956">
      <w:pPr>
        <w:pStyle w:val="5"/>
        <w:keepNext w:val="0"/>
        <w:keepLines w:val="0"/>
        <w:pageBreakBefore w:val="0"/>
        <w:widowControl w:val="0"/>
        <w:numPr>
          <w:ilvl w:val="0"/>
          <w:numId w:val="0"/>
        </w:numPr>
        <w:kinsoku/>
        <w:wordWrap/>
        <w:overflowPunct w:val="0"/>
        <w:topLinePunct/>
        <w:autoSpaceDE w:val="0"/>
        <w:autoSpaceDN w:val="0"/>
        <w:bidi w:val="0"/>
        <w:adjustRightInd/>
        <w:snapToGrid/>
        <w:spacing w:beforeLines="0" w:line="576" w:lineRule="exact"/>
        <w:ind w:firstLine="640" w:firstLineChars="200"/>
        <w:textAlignment w:val="auto"/>
        <w:rPr>
          <w:rFonts w:hint="eastAsia" w:ascii="仿宋_GB2312" w:hAnsi="仿宋_GB2312" w:eastAsia="仿宋_GB2312"/>
          <w:color w:val="000000"/>
          <w:sz w:val="32"/>
          <w:szCs w:val="32"/>
          <w:highlight w:val="none"/>
          <w:lang w:val="zh-CN"/>
        </w:rPr>
      </w:pPr>
      <w:r>
        <w:rPr>
          <w:rFonts w:hint="eastAsia" w:ascii="仿宋_GB2312" w:hAnsi="仿宋_GB2312" w:eastAsia="仿宋_GB2312"/>
          <w:color w:val="000000"/>
          <w:sz w:val="32"/>
          <w:szCs w:val="32"/>
          <w:highlight w:val="none"/>
          <w:lang w:val="zh-CN"/>
        </w:rPr>
        <w:t>13.协调指导全国革命老区帮扶工作。</w:t>
      </w:r>
    </w:p>
    <w:p w14:paraId="2931223D">
      <w:pPr>
        <w:pStyle w:val="5"/>
        <w:keepNext w:val="0"/>
        <w:keepLines w:val="0"/>
        <w:pageBreakBefore w:val="0"/>
        <w:widowControl w:val="0"/>
        <w:numPr>
          <w:ilvl w:val="0"/>
          <w:numId w:val="0"/>
        </w:numPr>
        <w:kinsoku/>
        <w:wordWrap/>
        <w:overflowPunct w:val="0"/>
        <w:topLinePunct/>
        <w:autoSpaceDE w:val="0"/>
        <w:autoSpaceDN w:val="0"/>
        <w:bidi w:val="0"/>
        <w:adjustRightInd/>
        <w:snapToGrid/>
        <w:spacing w:beforeLines="0" w:line="576" w:lineRule="exact"/>
        <w:ind w:firstLine="640" w:firstLineChars="200"/>
        <w:textAlignment w:val="auto"/>
        <w:rPr>
          <w:rFonts w:hint="eastAsia" w:ascii="仿宋_GB2312" w:hAnsi="仿宋_GB2312" w:eastAsia="仿宋_GB2312"/>
          <w:color w:val="000000"/>
          <w:sz w:val="32"/>
          <w:szCs w:val="32"/>
          <w:highlight w:val="none"/>
          <w:lang w:val="zh-CN"/>
        </w:rPr>
      </w:pPr>
      <w:r>
        <w:rPr>
          <w:rFonts w:hint="eastAsia" w:ascii="仿宋_GB2312" w:hAnsi="仿宋_GB2312" w:eastAsia="仿宋_GB2312"/>
          <w:color w:val="000000"/>
          <w:sz w:val="32"/>
          <w:szCs w:val="32"/>
          <w:highlight w:val="none"/>
          <w:lang w:val="zh-CN"/>
        </w:rPr>
        <w:t>14.牵头实施乡村建设行动，推动完善农村基础设施。</w:t>
      </w:r>
    </w:p>
    <w:p w14:paraId="3F2D2DCA">
      <w:pPr>
        <w:pStyle w:val="5"/>
        <w:keepNext w:val="0"/>
        <w:keepLines w:val="0"/>
        <w:pageBreakBefore w:val="0"/>
        <w:widowControl w:val="0"/>
        <w:numPr>
          <w:ilvl w:val="0"/>
          <w:numId w:val="0"/>
        </w:numPr>
        <w:kinsoku/>
        <w:wordWrap/>
        <w:overflowPunct w:val="0"/>
        <w:topLinePunct/>
        <w:autoSpaceDE w:val="0"/>
        <w:autoSpaceDN w:val="0"/>
        <w:bidi w:val="0"/>
        <w:adjustRightInd/>
        <w:snapToGrid/>
        <w:spacing w:beforeLines="0" w:line="576" w:lineRule="exact"/>
        <w:ind w:firstLine="640" w:firstLineChars="200"/>
        <w:textAlignment w:val="auto"/>
        <w:rPr>
          <w:rFonts w:hint="eastAsia" w:ascii="仿宋_GB2312" w:hAnsi="仿宋_GB2312" w:eastAsia="仿宋_GB2312"/>
          <w:color w:val="000000"/>
          <w:sz w:val="32"/>
          <w:szCs w:val="32"/>
          <w:highlight w:val="none"/>
          <w:lang w:val="zh-CN"/>
        </w:rPr>
      </w:pPr>
      <w:r>
        <w:rPr>
          <w:rFonts w:hint="eastAsia" w:ascii="仿宋_GB2312" w:hAnsi="仿宋_GB2312" w:eastAsia="仿宋_GB2312"/>
          <w:color w:val="000000"/>
          <w:sz w:val="32"/>
          <w:szCs w:val="32"/>
          <w:highlight w:val="none"/>
          <w:lang w:val="zh-CN"/>
        </w:rPr>
        <w:t>15.牵头组织改善农村人居环境，统筹指导村庄整治、村容村貌提升，保护传统村落和乡村风貌。</w:t>
      </w:r>
    </w:p>
    <w:p w14:paraId="3ADA0F63">
      <w:pPr>
        <w:pStyle w:val="5"/>
        <w:keepNext w:val="0"/>
        <w:keepLines w:val="0"/>
        <w:pageBreakBefore w:val="0"/>
        <w:widowControl w:val="0"/>
        <w:numPr>
          <w:ilvl w:val="0"/>
          <w:numId w:val="0"/>
        </w:numPr>
        <w:kinsoku/>
        <w:wordWrap/>
        <w:overflowPunct w:val="0"/>
        <w:topLinePunct/>
        <w:autoSpaceDE w:val="0"/>
        <w:autoSpaceDN w:val="0"/>
        <w:bidi w:val="0"/>
        <w:adjustRightInd/>
        <w:snapToGrid/>
        <w:spacing w:beforeLines="0" w:line="576" w:lineRule="exact"/>
        <w:ind w:firstLine="640" w:firstLineChars="200"/>
        <w:textAlignment w:val="auto"/>
        <w:rPr>
          <w:rFonts w:hint="eastAsia" w:ascii="仿宋_GB2312" w:hAnsi="仿宋_GB2312" w:eastAsia="仿宋_GB2312"/>
          <w:color w:val="000000"/>
          <w:sz w:val="32"/>
          <w:szCs w:val="32"/>
          <w:highlight w:val="none"/>
          <w:lang w:val="zh-CN"/>
        </w:rPr>
      </w:pPr>
      <w:r>
        <w:rPr>
          <w:rFonts w:hint="eastAsia" w:ascii="仿宋_GB2312" w:hAnsi="仿宋_GB2312" w:eastAsia="仿宋_GB2312"/>
          <w:color w:val="000000"/>
          <w:sz w:val="32"/>
          <w:szCs w:val="32"/>
          <w:highlight w:val="none"/>
          <w:lang w:val="zh-CN"/>
        </w:rPr>
        <w:t>16.推动发展农村社会事业、农村公共服务、农村文化，指导农村精神文明建设。</w:t>
      </w:r>
    </w:p>
    <w:p w14:paraId="37D0B29F">
      <w:pPr>
        <w:pStyle w:val="5"/>
        <w:keepNext w:val="0"/>
        <w:keepLines w:val="0"/>
        <w:pageBreakBefore w:val="0"/>
        <w:widowControl w:val="0"/>
        <w:numPr>
          <w:ilvl w:val="0"/>
          <w:numId w:val="0"/>
        </w:numPr>
        <w:kinsoku/>
        <w:wordWrap/>
        <w:overflowPunct w:val="0"/>
        <w:topLinePunct/>
        <w:autoSpaceDE w:val="0"/>
        <w:autoSpaceDN w:val="0"/>
        <w:bidi w:val="0"/>
        <w:adjustRightInd/>
        <w:snapToGrid/>
        <w:spacing w:beforeLines="0" w:line="576" w:lineRule="exact"/>
        <w:ind w:firstLine="640" w:firstLineChars="200"/>
        <w:textAlignment w:val="auto"/>
        <w:rPr>
          <w:rFonts w:hint="eastAsia" w:ascii="仿宋_GB2312" w:hAnsi="仿宋_GB2312" w:eastAsia="仿宋_GB2312"/>
          <w:color w:val="000000"/>
          <w:sz w:val="32"/>
          <w:szCs w:val="32"/>
          <w:highlight w:val="none"/>
          <w:lang w:val="zh-CN"/>
        </w:rPr>
      </w:pPr>
      <w:r>
        <w:rPr>
          <w:rFonts w:hint="eastAsia" w:ascii="仿宋_GB2312" w:hAnsi="仿宋_GB2312" w:eastAsia="仿宋_GB2312"/>
          <w:color w:val="000000"/>
          <w:sz w:val="32"/>
          <w:szCs w:val="32"/>
          <w:highlight w:val="none"/>
          <w:lang w:val="zh-CN"/>
        </w:rPr>
        <w:t>17.协调推进乡村治理体系建设。</w:t>
      </w:r>
    </w:p>
    <w:p w14:paraId="5BC40341">
      <w:pPr>
        <w:pStyle w:val="5"/>
        <w:keepNext w:val="0"/>
        <w:keepLines w:val="0"/>
        <w:pageBreakBefore w:val="0"/>
        <w:widowControl w:val="0"/>
        <w:numPr>
          <w:ilvl w:val="0"/>
          <w:numId w:val="0"/>
        </w:numPr>
        <w:kinsoku/>
        <w:wordWrap/>
        <w:overflowPunct w:val="0"/>
        <w:topLinePunct/>
        <w:autoSpaceDE w:val="0"/>
        <w:autoSpaceDN w:val="0"/>
        <w:bidi w:val="0"/>
        <w:adjustRightInd/>
        <w:snapToGrid/>
        <w:spacing w:beforeLines="0" w:line="576" w:lineRule="exact"/>
        <w:ind w:firstLine="640" w:firstLineChars="200"/>
        <w:textAlignment w:val="auto"/>
        <w:rPr>
          <w:rFonts w:hint="eastAsia" w:ascii="仿宋_GB2312" w:hAnsi="仿宋_GB2312" w:eastAsia="仿宋_GB2312"/>
          <w:color w:val="000000"/>
          <w:sz w:val="32"/>
          <w:szCs w:val="32"/>
          <w:highlight w:val="none"/>
          <w:lang w:val="zh-CN"/>
        </w:rPr>
      </w:pPr>
      <w:r>
        <w:rPr>
          <w:rFonts w:hint="eastAsia" w:ascii="仿宋_GB2312" w:hAnsi="仿宋_GB2312" w:eastAsia="仿宋_GB2312"/>
          <w:color w:val="000000"/>
          <w:sz w:val="32"/>
          <w:szCs w:val="32"/>
          <w:highlight w:val="none"/>
          <w:lang w:val="zh-CN"/>
        </w:rPr>
        <w:t>18.研究乡村振兴相关问题。</w:t>
      </w:r>
    </w:p>
    <w:p w14:paraId="7C18B5F8">
      <w:pPr>
        <w:pStyle w:val="5"/>
        <w:keepNext w:val="0"/>
        <w:keepLines w:val="0"/>
        <w:pageBreakBefore w:val="0"/>
        <w:widowControl w:val="0"/>
        <w:numPr>
          <w:ilvl w:val="0"/>
          <w:numId w:val="0"/>
        </w:numPr>
        <w:kinsoku/>
        <w:wordWrap/>
        <w:overflowPunct w:val="0"/>
        <w:topLinePunct/>
        <w:autoSpaceDE w:val="0"/>
        <w:autoSpaceDN w:val="0"/>
        <w:bidi w:val="0"/>
        <w:adjustRightInd/>
        <w:snapToGrid/>
        <w:spacing w:beforeLines="0" w:line="576" w:lineRule="exact"/>
        <w:ind w:firstLine="640" w:firstLineChars="200"/>
        <w:textAlignment w:val="auto"/>
        <w:rPr>
          <w:rFonts w:hint="eastAsia" w:ascii="仿宋_GB2312" w:hAnsi="仿宋_GB2312" w:eastAsia="仿宋_GB2312"/>
          <w:color w:val="000000"/>
          <w:sz w:val="32"/>
          <w:szCs w:val="32"/>
          <w:highlight w:val="none"/>
          <w:lang w:val="zh-CN"/>
        </w:rPr>
      </w:pPr>
      <w:r>
        <w:rPr>
          <w:rFonts w:hint="eastAsia" w:ascii="仿宋_GB2312" w:hAnsi="仿宋_GB2312" w:eastAsia="仿宋_GB2312"/>
          <w:color w:val="000000"/>
          <w:sz w:val="32"/>
          <w:szCs w:val="32"/>
          <w:highlight w:val="none"/>
          <w:lang w:val="zh-CN"/>
        </w:rPr>
        <w:t>19.协调推动金融支持巩固拓展脱贫攻坚成果和乡村振兴工作。</w:t>
      </w:r>
    </w:p>
    <w:p w14:paraId="2C8F466B">
      <w:pPr>
        <w:pStyle w:val="5"/>
        <w:keepNext w:val="0"/>
        <w:keepLines w:val="0"/>
        <w:pageBreakBefore w:val="0"/>
        <w:widowControl w:val="0"/>
        <w:numPr>
          <w:ilvl w:val="0"/>
          <w:numId w:val="0"/>
        </w:numPr>
        <w:kinsoku/>
        <w:wordWrap/>
        <w:overflowPunct w:val="0"/>
        <w:topLinePunct/>
        <w:autoSpaceDE w:val="0"/>
        <w:autoSpaceDN w:val="0"/>
        <w:bidi w:val="0"/>
        <w:adjustRightInd/>
        <w:snapToGrid/>
        <w:spacing w:beforeLines="0" w:line="576" w:lineRule="exact"/>
        <w:ind w:firstLine="640" w:firstLineChars="200"/>
        <w:textAlignment w:val="auto"/>
        <w:rPr>
          <w:rFonts w:hint="eastAsia" w:ascii="仿宋_GB2312" w:hAnsi="仿宋_GB2312" w:eastAsia="仿宋_GB2312"/>
          <w:color w:val="000000"/>
          <w:sz w:val="32"/>
          <w:szCs w:val="32"/>
          <w:highlight w:val="none"/>
          <w:lang w:val="zh-CN"/>
        </w:rPr>
      </w:pPr>
      <w:r>
        <w:rPr>
          <w:rFonts w:hint="eastAsia" w:ascii="仿宋_GB2312" w:hAnsi="仿宋_GB2312" w:eastAsia="仿宋_GB2312"/>
          <w:color w:val="000000"/>
          <w:sz w:val="32"/>
          <w:szCs w:val="32"/>
          <w:highlight w:val="none"/>
          <w:lang w:val="zh-CN"/>
        </w:rPr>
        <w:t>20.会同农业农村等部门指导脱贫地区巩固拓展脱贫攻坚成果与乡村振兴项目库建设管理。</w:t>
      </w:r>
    </w:p>
    <w:p w14:paraId="524AFC23">
      <w:pPr>
        <w:pStyle w:val="5"/>
        <w:keepNext w:val="0"/>
        <w:keepLines w:val="0"/>
        <w:pageBreakBefore w:val="0"/>
        <w:widowControl w:val="0"/>
        <w:numPr>
          <w:ilvl w:val="0"/>
          <w:numId w:val="0"/>
        </w:numPr>
        <w:kinsoku/>
        <w:wordWrap/>
        <w:overflowPunct w:val="0"/>
        <w:topLinePunct/>
        <w:autoSpaceDE w:val="0"/>
        <w:autoSpaceDN w:val="0"/>
        <w:bidi w:val="0"/>
        <w:adjustRightInd/>
        <w:snapToGrid/>
        <w:spacing w:beforeLines="0" w:line="576" w:lineRule="exact"/>
        <w:ind w:firstLine="640" w:firstLineChars="200"/>
        <w:textAlignment w:val="auto"/>
        <w:rPr>
          <w:rFonts w:hint="eastAsia" w:ascii="仿宋_GB2312" w:hAnsi="仿宋_GB2312" w:eastAsia="仿宋_GB2312"/>
          <w:color w:val="000000"/>
          <w:sz w:val="32"/>
          <w:szCs w:val="32"/>
          <w:highlight w:val="none"/>
          <w:lang w:val="zh-CN"/>
        </w:rPr>
      </w:pPr>
      <w:r>
        <w:rPr>
          <w:rFonts w:hint="eastAsia" w:ascii="仿宋_GB2312" w:hAnsi="仿宋_GB2312" w:eastAsia="仿宋_GB2312"/>
          <w:color w:val="000000"/>
          <w:sz w:val="32"/>
          <w:szCs w:val="32"/>
          <w:highlight w:val="none"/>
          <w:lang w:val="zh-CN"/>
        </w:rPr>
        <w:t>21.组织乡村振兴系统表彰奖励工作。</w:t>
      </w:r>
    </w:p>
    <w:p w14:paraId="44E3905C">
      <w:pPr>
        <w:pStyle w:val="5"/>
        <w:keepNext w:val="0"/>
        <w:keepLines w:val="0"/>
        <w:pageBreakBefore w:val="0"/>
        <w:widowControl w:val="0"/>
        <w:numPr>
          <w:ilvl w:val="0"/>
          <w:numId w:val="0"/>
        </w:numPr>
        <w:kinsoku/>
        <w:wordWrap/>
        <w:overflowPunct w:val="0"/>
        <w:topLinePunct/>
        <w:autoSpaceDE w:val="0"/>
        <w:autoSpaceDN w:val="0"/>
        <w:bidi w:val="0"/>
        <w:adjustRightInd/>
        <w:snapToGrid/>
        <w:spacing w:beforeLines="0" w:line="576" w:lineRule="exact"/>
        <w:ind w:firstLine="640" w:firstLineChars="200"/>
        <w:textAlignment w:val="auto"/>
        <w:rPr>
          <w:rFonts w:hint="eastAsia" w:ascii="仿宋_GB2312" w:hAnsi="仿宋_GB2312" w:eastAsia="仿宋_GB2312"/>
          <w:color w:val="000000"/>
          <w:sz w:val="32"/>
          <w:szCs w:val="32"/>
          <w:highlight w:val="none"/>
          <w:lang w:val="zh-CN"/>
        </w:rPr>
      </w:pPr>
      <w:r>
        <w:rPr>
          <w:rFonts w:hint="eastAsia" w:ascii="仿宋_GB2312" w:hAnsi="仿宋_GB2312" w:eastAsia="仿宋_GB2312"/>
          <w:color w:val="000000"/>
          <w:sz w:val="32"/>
          <w:szCs w:val="32"/>
          <w:highlight w:val="none"/>
          <w:lang w:val="zh-CN"/>
        </w:rPr>
        <w:t>22.组织开展乡村振兴重点帮扶县帮扶和监测评估。</w:t>
      </w:r>
    </w:p>
    <w:p w14:paraId="50EA2E95">
      <w:pPr>
        <w:pStyle w:val="5"/>
        <w:keepNext w:val="0"/>
        <w:keepLines w:val="0"/>
        <w:pageBreakBefore w:val="0"/>
        <w:widowControl w:val="0"/>
        <w:numPr>
          <w:ilvl w:val="0"/>
          <w:numId w:val="0"/>
        </w:numPr>
        <w:kinsoku/>
        <w:wordWrap/>
        <w:overflowPunct w:val="0"/>
        <w:topLinePunct/>
        <w:autoSpaceDE w:val="0"/>
        <w:autoSpaceDN w:val="0"/>
        <w:bidi w:val="0"/>
        <w:adjustRightInd/>
        <w:snapToGrid/>
        <w:spacing w:beforeLines="0" w:line="576" w:lineRule="exact"/>
        <w:ind w:firstLine="640" w:firstLineChars="200"/>
        <w:textAlignment w:val="auto"/>
        <w:rPr>
          <w:rFonts w:hint="eastAsia" w:ascii="仿宋_GB2312" w:hAnsi="仿宋_GB2312" w:eastAsia="仿宋_GB2312"/>
          <w:color w:val="000000"/>
          <w:sz w:val="32"/>
          <w:szCs w:val="32"/>
          <w:highlight w:val="none"/>
          <w:lang w:val="zh-CN"/>
        </w:rPr>
      </w:pPr>
      <w:r>
        <w:rPr>
          <w:rFonts w:hint="eastAsia" w:ascii="仿宋_GB2312" w:hAnsi="仿宋_GB2312" w:eastAsia="仿宋_GB2312"/>
          <w:color w:val="000000"/>
          <w:sz w:val="32"/>
          <w:szCs w:val="32"/>
          <w:highlight w:val="none"/>
          <w:lang w:val="zh-CN"/>
        </w:rPr>
        <w:t>23.组织开展减贫和乡村振兴领域理论研究和国际交流合作。</w:t>
      </w:r>
    </w:p>
    <w:p w14:paraId="2FEE3538">
      <w:pPr>
        <w:pStyle w:val="5"/>
        <w:keepNext w:val="0"/>
        <w:keepLines w:val="0"/>
        <w:pageBreakBefore w:val="0"/>
        <w:widowControl w:val="0"/>
        <w:numPr>
          <w:ilvl w:val="0"/>
          <w:numId w:val="0"/>
        </w:numPr>
        <w:kinsoku/>
        <w:wordWrap/>
        <w:overflowPunct w:val="0"/>
        <w:topLinePunct/>
        <w:autoSpaceDE w:val="0"/>
        <w:autoSpaceDN w:val="0"/>
        <w:bidi w:val="0"/>
        <w:adjustRightInd/>
        <w:snapToGrid/>
        <w:spacing w:beforeLines="0" w:line="576" w:lineRule="exact"/>
        <w:ind w:firstLine="640" w:firstLineChars="200"/>
        <w:textAlignment w:val="auto"/>
        <w:rPr>
          <w:rFonts w:hint="eastAsia" w:ascii="仿宋_GB2312" w:hAnsi="仿宋_GB2312" w:eastAsia="仿宋_GB2312"/>
          <w:color w:val="000000"/>
          <w:sz w:val="32"/>
          <w:szCs w:val="32"/>
          <w:highlight w:val="none"/>
          <w:lang w:val="zh-CN"/>
        </w:rPr>
      </w:pPr>
      <w:r>
        <w:rPr>
          <w:rFonts w:hint="eastAsia" w:ascii="仿宋_GB2312" w:hAnsi="仿宋_GB2312" w:eastAsia="仿宋_GB2312"/>
          <w:color w:val="000000"/>
          <w:sz w:val="32"/>
          <w:szCs w:val="32"/>
          <w:highlight w:val="none"/>
          <w:lang w:val="zh-CN"/>
        </w:rPr>
        <w:t>24.组织开展巩固拓展脱贫攻坚成果和全面推进乡村振兴有 关宣传工作。</w:t>
      </w:r>
    </w:p>
    <w:p w14:paraId="1865654D">
      <w:pPr>
        <w:pStyle w:val="5"/>
        <w:keepNext w:val="0"/>
        <w:keepLines w:val="0"/>
        <w:pageBreakBefore w:val="0"/>
        <w:widowControl w:val="0"/>
        <w:numPr>
          <w:ilvl w:val="0"/>
          <w:numId w:val="0"/>
        </w:numPr>
        <w:kinsoku/>
        <w:wordWrap/>
        <w:overflowPunct w:val="0"/>
        <w:topLinePunct/>
        <w:autoSpaceDE w:val="0"/>
        <w:autoSpaceDN w:val="0"/>
        <w:bidi w:val="0"/>
        <w:adjustRightInd/>
        <w:snapToGrid/>
        <w:spacing w:beforeLines="0" w:line="576" w:lineRule="exact"/>
        <w:ind w:firstLine="640" w:firstLineChars="200"/>
        <w:textAlignment w:val="auto"/>
        <w:rPr>
          <w:rFonts w:hint="eastAsia" w:ascii="仿宋_GB2312" w:hAnsi="仿宋_GB2312" w:eastAsia="仿宋_GB2312"/>
          <w:color w:val="000000"/>
          <w:sz w:val="32"/>
          <w:szCs w:val="32"/>
          <w:highlight w:val="none"/>
          <w:lang w:val="zh-CN"/>
        </w:rPr>
      </w:pPr>
      <w:r>
        <w:rPr>
          <w:rFonts w:hint="eastAsia" w:ascii="仿宋_GB2312" w:hAnsi="仿宋_GB2312" w:eastAsia="仿宋_GB2312"/>
          <w:color w:val="000000"/>
          <w:sz w:val="32"/>
          <w:szCs w:val="32"/>
          <w:highlight w:val="none"/>
          <w:lang w:val="zh-CN"/>
        </w:rPr>
        <w:t>25.组织巩固拓展脱贫攻坚成果和全面推进乡村振兴有关教 育培训工作。</w:t>
      </w:r>
    </w:p>
    <w:p w14:paraId="15A139AF">
      <w:pPr>
        <w:pStyle w:val="5"/>
        <w:keepNext w:val="0"/>
        <w:keepLines w:val="0"/>
        <w:pageBreakBefore w:val="0"/>
        <w:widowControl w:val="0"/>
        <w:numPr>
          <w:ilvl w:val="0"/>
          <w:numId w:val="0"/>
        </w:numPr>
        <w:kinsoku/>
        <w:wordWrap/>
        <w:overflowPunct w:val="0"/>
        <w:topLinePunct/>
        <w:autoSpaceDE w:val="0"/>
        <w:autoSpaceDN w:val="0"/>
        <w:bidi w:val="0"/>
        <w:adjustRightInd/>
        <w:snapToGrid/>
        <w:spacing w:beforeLines="0" w:line="576" w:lineRule="exact"/>
        <w:ind w:firstLine="640" w:firstLineChars="200"/>
        <w:textAlignment w:val="auto"/>
        <w:rPr>
          <w:rFonts w:hint="eastAsia" w:ascii="仿宋_GB2312" w:hAnsi="仿宋_GB2312" w:eastAsia="仿宋_GB2312"/>
          <w:color w:val="000000"/>
          <w:sz w:val="32"/>
          <w:szCs w:val="32"/>
          <w:highlight w:val="none"/>
          <w:lang w:val="zh-CN"/>
        </w:rPr>
      </w:pPr>
      <w:r>
        <w:rPr>
          <w:rFonts w:hint="eastAsia" w:ascii="仿宋_GB2312" w:hAnsi="仿宋_GB2312" w:eastAsia="仿宋_GB2312"/>
          <w:color w:val="000000"/>
          <w:sz w:val="32"/>
          <w:szCs w:val="32"/>
          <w:highlight w:val="none"/>
          <w:lang w:val="zh-CN"/>
        </w:rPr>
        <w:t>26.承担乡村振兴督导、检查具体工作。</w:t>
      </w:r>
    </w:p>
    <w:p w14:paraId="03CADDCD">
      <w:pPr>
        <w:pStyle w:val="5"/>
        <w:keepNext w:val="0"/>
        <w:keepLines w:val="0"/>
        <w:pageBreakBefore w:val="0"/>
        <w:widowControl w:val="0"/>
        <w:numPr>
          <w:ilvl w:val="0"/>
          <w:numId w:val="0"/>
        </w:numPr>
        <w:kinsoku/>
        <w:wordWrap/>
        <w:overflowPunct w:val="0"/>
        <w:topLinePunct/>
        <w:autoSpaceDE w:val="0"/>
        <w:autoSpaceDN w:val="0"/>
        <w:bidi w:val="0"/>
        <w:adjustRightInd/>
        <w:snapToGrid/>
        <w:spacing w:beforeLines="0" w:line="576" w:lineRule="exact"/>
        <w:ind w:firstLine="640" w:firstLineChars="200"/>
        <w:textAlignment w:val="auto"/>
        <w:rPr>
          <w:rFonts w:hint="eastAsia" w:ascii="仿宋_GB2312" w:hAnsi="仿宋_GB2312" w:eastAsia="仿宋_GB2312"/>
          <w:color w:val="000000"/>
          <w:sz w:val="32"/>
          <w:szCs w:val="32"/>
          <w:highlight w:val="none"/>
          <w:lang w:val="zh-CN"/>
        </w:rPr>
      </w:pPr>
      <w:r>
        <w:rPr>
          <w:rFonts w:hint="eastAsia" w:ascii="仿宋_GB2312" w:hAnsi="仿宋_GB2312" w:eastAsia="仿宋_GB2312"/>
          <w:color w:val="000000"/>
          <w:sz w:val="32"/>
          <w:szCs w:val="32"/>
          <w:highlight w:val="none"/>
          <w:lang w:val="zh-CN"/>
        </w:rPr>
        <w:t>27.指导乡村振兴系统加强队伍建设。</w:t>
      </w:r>
    </w:p>
    <w:p w14:paraId="513DCCC6">
      <w:pPr>
        <w:pStyle w:val="5"/>
        <w:keepNext w:val="0"/>
        <w:keepLines w:val="0"/>
        <w:pageBreakBefore w:val="0"/>
        <w:widowControl w:val="0"/>
        <w:numPr>
          <w:ilvl w:val="0"/>
          <w:numId w:val="0"/>
        </w:numPr>
        <w:kinsoku/>
        <w:wordWrap/>
        <w:overflowPunct w:val="0"/>
        <w:topLinePunct/>
        <w:autoSpaceDE w:val="0"/>
        <w:autoSpaceDN w:val="0"/>
        <w:bidi w:val="0"/>
        <w:adjustRightInd/>
        <w:snapToGrid/>
        <w:spacing w:beforeLines="0" w:line="576" w:lineRule="exact"/>
        <w:ind w:firstLine="640" w:firstLineChars="200"/>
        <w:textAlignment w:val="auto"/>
        <w:rPr>
          <w:rFonts w:hint="default"/>
          <w:sz w:val="32"/>
          <w:szCs w:val="32"/>
          <w:highlight w:val="none"/>
          <w:lang w:val="zh-CN"/>
        </w:rPr>
      </w:pPr>
      <w:r>
        <w:rPr>
          <w:rFonts w:hint="eastAsia" w:ascii="仿宋_GB2312" w:hAnsi="仿宋_GB2312" w:eastAsia="仿宋_GB2312"/>
          <w:color w:val="000000"/>
          <w:sz w:val="32"/>
          <w:szCs w:val="32"/>
          <w:highlight w:val="none"/>
          <w:lang w:val="zh-CN"/>
        </w:rPr>
        <w:t>28.完成区委、区政府和区委农村工作领导小组交办的其他任务。</w:t>
      </w:r>
    </w:p>
    <w:p w14:paraId="1547EC65">
      <w:pPr>
        <w:keepNext w:val="0"/>
        <w:keepLines w:val="0"/>
        <w:pageBreakBefore w:val="0"/>
        <w:widowControl w:val="0"/>
        <w:kinsoku/>
        <w:wordWrap/>
        <w:overflowPunct w:val="0"/>
        <w:topLinePunct/>
        <w:autoSpaceDE w:val="0"/>
        <w:autoSpaceDN w:val="0"/>
        <w:bidi w:val="0"/>
        <w:spacing w:beforeLines="0" w:afterLines="0" w:line="576" w:lineRule="exact"/>
        <w:ind w:firstLine="643"/>
        <w:textAlignment w:val="auto"/>
        <w:rPr>
          <w:rFonts w:hint="eastAsia" w:ascii="仿宋_GB2312" w:hAnsi="仿宋_GB2312" w:eastAsia="仿宋_GB2312"/>
          <w:color w:val="000000"/>
          <w:sz w:val="32"/>
          <w:szCs w:val="32"/>
          <w:highlight w:val="yellow"/>
          <w:lang w:val="zh-CN"/>
        </w:rPr>
      </w:pPr>
      <w:r>
        <w:rPr>
          <w:rFonts w:hint="eastAsia" w:ascii="仿宋_GB2312" w:hAnsi="仿宋_GB2312" w:eastAsia="仿宋_GB2312"/>
          <w:b/>
          <w:color w:val="000000"/>
          <w:sz w:val="32"/>
          <w:szCs w:val="32"/>
          <w:lang w:val="zh-CN"/>
        </w:rPr>
        <w:t>（三）人员概况。</w:t>
      </w:r>
    </w:p>
    <w:p w14:paraId="5673FB18">
      <w:pPr>
        <w:keepNext w:val="0"/>
        <w:keepLines w:val="0"/>
        <w:pageBreakBefore w:val="0"/>
        <w:widowControl w:val="0"/>
        <w:numPr>
          <w:ilvl w:val="0"/>
          <w:numId w:val="0"/>
        </w:numPr>
        <w:kinsoku/>
        <w:wordWrap/>
        <w:overflowPunct w:val="0"/>
        <w:topLinePunct/>
        <w:autoSpaceDE w:val="0"/>
        <w:autoSpaceDN w:val="0"/>
        <w:bidi w:val="0"/>
        <w:adjustRightInd/>
        <w:snapToGrid/>
        <w:spacing w:line="600" w:lineRule="exact"/>
        <w:ind w:firstLine="640" w:firstLineChars="200"/>
        <w:textAlignment w:val="auto"/>
        <w:rPr>
          <w:rFonts w:hint="default"/>
          <w:sz w:val="32"/>
          <w:szCs w:val="32"/>
        </w:rPr>
      </w:pPr>
      <w:r>
        <w:rPr>
          <w:rFonts w:hint="eastAsia" w:ascii="仿宋_GB2312" w:hAnsi="仿宋_GB2312" w:eastAsia="仿宋_GB2312"/>
          <w:color w:val="000000"/>
          <w:sz w:val="32"/>
          <w:szCs w:val="32"/>
          <w:highlight w:val="none"/>
          <w:lang w:val="zh-CN"/>
        </w:rPr>
        <w:t>定行政编制9名、机关工勤编制0名，事业编制19名。在职人员总数23人，其中行政人员7人，机关工勤编制1名，其他事业人员15人；离休人员0人，退休人员6人。</w:t>
      </w:r>
    </w:p>
    <w:p w14:paraId="2FFDF72D">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228A1922">
      <w:pPr>
        <w:keepNext w:val="0"/>
        <w:keepLines w:val="0"/>
        <w:pageBreakBefore w:val="0"/>
        <w:widowControl w:val="0"/>
        <w:kinsoku/>
        <w:wordWrap/>
        <w:overflowPunct w:val="0"/>
        <w:topLinePunct/>
        <w:autoSpaceDE w:val="0"/>
        <w:autoSpaceDN w:val="0"/>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6D189949">
      <w:pPr>
        <w:pStyle w:val="5"/>
        <w:keepNext w:val="0"/>
        <w:keepLines w:val="0"/>
        <w:pageBreakBefore w:val="0"/>
        <w:widowControl w:val="0"/>
        <w:kinsoku/>
        <w:wordWrap/>
        <w:overflowPunct w:val="0"/>
        <w:topLinePunct/>
        <w:autoSpaceDE w:val="0"/>
        <w:autoSpaceDN w:val="0"/>
        <w:bidi w:val="0"/>
        <w:ind w:firstLine="640" w:firstLineChars="200"/>
        <w:textAlignment w:val="auto"/>
        <w:rPr>
          <w:rFonts w:hint="default"/>
          <w:sz w:val="32"/>
          <w:szCs w:val="32"/>
          <w:lang w:val="en-US"/>
        </w:rPr>
      </w:pPr>
      <w:r>
        <w:rPr>
          <w:rFonts w:hint="eastAsia" w:ascii="仿宋_GB2312" w:hAnsi="仿宋_GB2312" w:eastAsia="仿宋_GB2312"/>
          <w:color w:val="000000"/>
          <w:sz w:val="32"/>
          <w:szCs w:val="32"/>
          <w:highlight w:val="none"/>
          <w:lang w:val="zh-CN"/>
        </w:rPr>
        <w:t>2024年一般公共预算收入4,407.8万元。预算人员经费191.74万元，占预算收入的4.35%，预算日常公用经费18.32万元，占预算收入的0.42%，项目资金4,197.73万元，占预算收入的95.23%。</w:t>
      </w:r>
    </w:p>
    <w:p w14:paraId="5F30003B">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leftChars="200" w:firstLine="321" w:firstLineChars="100"/>
        <w:contextualSpacing/>
        <w:jc w:val="left"/>
        <w:textAlignment w:val="auto"/>
        <w:outlineLvl w:val="9"/>
        <w:rPr>
          <w:rFonts w:hint="eastAsia" w:ascii="Times New Roman" w:hAnsi="Times New Roman" w:eastAsia="仿宋_GB2312" w:cs="Times New Roman"/>
          <w:sz w:val="32"/>
          <w:szCs w:val="32"/>
          <w:lang w:val="en-US" w:eastAsia="zh-CN"/>
        </w:rPr>
      </w:pPr>
      <w:r>
        <w:rPr>
          <w:rFonts w:hint="eastAsia" w:ascii="楷体_GB2312" w:hAnsi="楷体_GB2312" w:eastAsia="楷体_GB2312"/>
          <w:b/>
          <w:color w:val="000000"/>
          <w:sz w:val="32"/>
          <w:szCs w:val="32"/>
          <w:lang w:val="en-US"/>
        </w:rPr>
        <w:t>（二）支出情况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p>
    <w:p w14:paraId="5203FECC">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default" w:ascii="Times New Roman" w:hAnsi="Times New Roman" w:cs="Times New Roman"/>
          <w:sz w:val="32"/>
          <w:szCs w:val="32"/>
          <w:highlight w:val="none"/>
          <w:lang w:val="zh-CN" w:eastAsia="zh-CN"/>
        </w:rPr>
      </w:pPr>
      <w:r>
        <w:rPr>
          <w:rFonts w:hint="eastAsia" w:ascii="仿宋_GB2312" w:hAnsi="仿宋_GB2312" w:eastAsia="仿宋_GB2312"/>
          <w:color w:val="000000"/>
          <w:sz w:val="32"/>
          <w:szCs w:val="32"/>
          <w:highlight w:val="none"/>
          <w:lang w:val="zh-CN"/>
        </w:rPr>
        <w:t>2024年一般公共预算财政拨款支出4,407.8万元。其中：人员经费支出191.74万元，占支出的4.35%；日常公用经费支出18.32万元，占支出的0.42%（其中三公经费支出16.83万元）；项目资金支付4,197.73万元（2023年中央财政土地指标跨省域调剂收入安排的支出（广财农（2023）58号）支出144万元；（广财农（2024）48号）2024年中央财政土地指标跨省域调剂收入安排的支出预算支出203万元；解决我区参加四川省第二届和美乡村篮球大赛（村BA)广元市预选赛工作经费）支出12万元；2024年乡村振兴统计监测系统维护支出2万元；广财农（2024）69号2024年省级财政衔接推进乡村振兴补助资金支出66.33万元；解决2023年度巩固拓展脱贫攻坚成果同乡村振兴有效衔接第三方评估工作经费支出12万元；2024年争取项目资金工作经费支付10万元；2024年招商引资工作经费支出1,225.13万元；（广财农（2023）108号）2024年中央和省级财政衔接推进乡村振兴补助资金支出1,861.13万元；（广财农（2023）18号）2024年市级财政衔接推进乡村振兴补助资金支出608.13万元；2024年巩固拓展脱贫攻坚成果和乡村振兴工作经费支出37万元；2024年东西部协作工作经费支出12万元）。</w:t>
      </w:r>
    </w:p>
    <w:p w14:paraId="14382D25">
      <w:pPr>
        <w:keepNext w:val="0"/>
        <w:keepLines w:val="0"/>
        <w:pageBreakBefore w:val="0"/>
        <w:widowControl w:val="0"/>
        <w:kinsoku/>
        <w:wordWrap/>
        <w:overflowPunct w:val="0"/>
        <w:topLinePunct/>
        <w:autoSpaceDE w:val="0"/>
        <w:autoSpaceDN w:val="0"/>
        <w:bidi w:val="0"/>
        <w:adjustRightInd w:val="0"/>
        <w:snapToGrid w:val="0"/>
        <w:spacing w:line="578" w:lineRule="exact"/>
        <w:ind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5ECFEF31">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default" w:ascii="仿宋_GB2312" w:hAnsi="仿宋_GB2312" w:eastAsia="仿宋_GB2312"/>
          <w:color w:val="000000"/>
          <w:sz w:val="32"/>
          <w:szCs w:val="32"/>
          <w:highlight w:val="none"/>
          <w:lang w:val="zh-CN" w:eastAsia="zh-CN"/>
        </w:rPr>
      </w:pPr>
      <w:r>
        <w:rPr>
          <w:rFonts w:hint="default" w:ascii="仿宋_GB2312" w:hAnsi="仿宋_GB2312" w:eastAsia="仿宋_GB2312"/>
          <w:color w:val="000000"/>
          <w:sz w:val="32"/>
          <w:szCs w:val="32"/>
          <w:highlight w:val="none"/>
          <w:lang w:val="zh-CN" w:eastAsia="zh-CN"/>
        </w:rPr>
        <w:t>2024年度我单位无结转结余情况。</w:t>
      </w:r>
    </w:p>
    <w:p w14:paraId="2FA5F2E7">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2AC29CDB">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yellow"/>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1EF3BFC5">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1.目标管理。</w:t>
      </w:r>
    </w:p>
    <w:p w14:paraId="156D3704">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一是目标制定情况。按照本单位绩效目标管理办法，结合2024年度工作重点，在年初预算时，从数量指标、质量指标、时效指标、成本指标、效益指标、满意度指标等编制了整体绩效目标，与预算安排相匹配。经本单位局办公会讨论通过后随预算一同进行了报送。本单位绩效目标编制要素完整，绩效指标细化量化准确。同时，随同上级专项资金的下达及结转资金下达。</w:t>
      </w:r>
    </w:p>
    <w:p w14:paraId="23904655">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二是目标实现情况。基本支出类绩效目标全面完成，保障了本单位23名在职干部职工工资及各类保险按时发放和缴纳及6名退休人员生活补助兑现，保障了单位机关的正常运转。2024年区本级衔接资金、争取项目工作经费、招商引资工作经费等5个项目全面完成了年初制定的各项数量指标，服务对象满意度达到了预期效果，成本指标完成了年初预算数。在项目资金到位后，按照要求进行绩效目标编制，2024年底，各项目的数量指标全面完成，因年底财政资金紧张，成本执行率64.27%。从部门整体绩效目标的完成情况来看，其目标的实现程度达到了预期目标，除成本指标完成率低，其他绩效目标无偏离情况。</w:t>
      </w:r>
    </w:p>
    <w:p w14:paraId="1869277C">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2.过程管控。</w:t>
      </w:r>
    </w:p>
    <w:p w14:paraId="00B46465">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日常公用经费方面：在支出控制方面，部门日常公用经费中办公费、印刷费、水费、电费、物业管理费”等科目年初预算数与决算数无偏差。预算执行进度在6、9、11月达到序时进度的80%、90%、90%，即实际支出进度分别达到57%、74%、98%。</w:t>
      </w:r>
    </w:p>
    <w:p w14:paraId="5A32634C">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项目公用经费方面：在支出控制方面，按照项目实施内容、项目实施进度等进行项目资金的拨付，预算数与决算数无偏差。区本级衔接资金预算执行进度在6、9、11月达到序时进度的80%、90%、90%，即实际支出进度分别达到0%、10%、77%，争取项目工作经费在预算执行进度在6、9、11月达到序时进度的80%、90%、90%，即实际支出进度分别达到55%、69%、100%，招商引资工作经费预算执行进度在6、9、11月达到序时进度的80%、90%、90%，即实际支出进度分别达到54%、54%、100%。</w:t>
      </w:r>
    </w:p>
    <w:p w14:paraId="7594F846">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完成(效率）结果。人员经费、日常公用经费、其他运转类项目经费预算执行率为100%，预算数与执行数一致。2024年上级专项资金项目及历年结转，预算执行率为64.27%，因财政资金紧张，导致执行率较低,上级专项资金等无低效无效率资金。</w:t>
      </w:r>
    </w:p>
    <w:p w14:paraId="7A21791F">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4.预算结余率（低效无效率）情况</w:t>
      </w:r>
    </w:p>
    <w:p w14:paraId="613C0A17">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default" w:ascii="仿宋_GB2312" w:hAnsi="仿宋_GB2312" w:eastAsia="仿宋_GB2312"/>
          <w:color w:val="000000"/>
          <w:sz w:val="32"/>
          <w:szCs w:val="32"/>
          <w:highlight w:val="none"/>
          <w:lang w:val="zh-CN" w:eastAsia="zh-CN"/>
        </w:rPr>
        <w:t>2024年度我单位无结转结余情况。</w:t>
      </w:r>
    </w:p>
    <w:p w14:paraId="670A2F66">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yellow"/>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02D68CAF">
      <w:pPr>
        <w:keepNext w:val="0"/>
        <w:keepLines w:val="0"/>
        <w:pageBreakBefore w:val="0"/>
        <w:widowControl w:val="0"/>
        <w:kinsoku/>
        <w:wordWrap/>
        <w:overflowPunct w:val="0"/>
        <w:topLinePunct/>
        <w:autoSpaceDE w:val="0"/>
        <w:autoSpaceDN w:val="0"/>
        <w:bidi w:val="0"/>
        <w:snapToGrid w:val="0"/>
        <w:spacing w:line="600"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1.部门预算项目绩效情况。</w:t>
      </w:r>
    </w:p>
    <w:p w14:paraId="471DDB8D">
      <w:pPr>
        <w:keepNext w:val="0"/>
        <w:keepLines w:val="0"/>
        <w:pageBreakBefore w:val="0"/>
        <w:widowControl w:val="0"/>
        <w:kinsoku/>
        <w:wordWrap/>
        <w:overflowPunct w:val="0"/>
        <w:topLinePunct/>
        <w:autoSpaceDE w:val="0"/>
        <w:autoSpaceDN w:val="0"/>
        <w:bidi w:val="0"/>
        <w:snapToGrid w:val="0"/>
        <w:spacing w:line="600"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本单位绩效目标编制要素完整，绩效指标细化量化准确，绩效目标纳入本单位局办公会研究决策。年初预算和年末决算编制内容真实有效，编制数据完整，准确。年初预算（含追加项目资金）绩效目标编制完整、合理。报表报送及时准确。单位人员经费191.74万元，主要社会保障和就业支出28.91万元，卫生健康支出7.83万元，农林水支出4,354.27万元，住房保障支出16.78万元；</w:t>
      </w:r>
    </w:p>
    <w:p w14:paraId="00C7269C">
      <w:pPr>
        <w:keepNext w:val="0"/>
        <w:keepLines w:val="0"/>
        <w:pageBreakBefore w:val="0"/>
        <w:widowControl w:val="0"/>
        <w:kinsoku/>
        <w:wordWrap/>
        <w:overflowPunct w:val="0"/>
        <w:topLinePunct/>
        <w:autoSpaceDE w:val="0"/>
        <w:autoSpaceDN w:val="0"/>
        <w:bidi w:val="0"/>
        <w:snapToGrid w:val="0"/>
        <w:spacing w:line="600"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在支出控制方面，部门日常公用经费、项目支出中“办公费、印刷费、水费、电费、物业管理费”等科目年初预算数与决算数无偏差。本部门在开展绩效运行监控后，将绩效监控结果应用到预算调整中。本部门预算项目年终预算执行情况部门预算项目12月预算执行进度达到100%。依据评价年度审计监督、财政检查结果，本单位预算管理方面无违纪违规问题。</w:t>
      </w:r>
    </w:p>
    <w:p w14:paraId="2B4944D2">
      <w:pPr>
        <w:keepNext w:val="0"/>
        <w:keepLines w:val="0"/>
        <w:pageBreakBefore w:val="0"/>
        <w:widowControl w:val="0"/>
        <w:kinsoku/>
        <w:wordWrap/>
        <w:overflowPunct w:val="0"/>
        <w:topLinePunct/>
        <w:autoSpaceDE w:val="0"/>
        <w:autoSpaceDN w:val="0"/>
        <w:bidi w:val="0"/>
        <w:snapToGrid w:val="0"/>
        <w:spacing w:line="600"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2.专项预算绩效情况</w:t>
      </w:r>
    </w:p>
    <w:p w14:paraId="3E6DF058">
      <w:pPr>
        <w:keepNext w:val="0"/>
        <w:keepLines w:val="0"/>
        <w:pageBreakBefore w:val="0"/>
        <w:widowControl w:val="0"/>
        <w:kinsoku/>
        <w:wordWrap/>
        <w:overflowPunct w:val="0"/>
        <w:topLinePunct/>
        <w:autoSpaceDE w:val="0"/>
        <w:autoSpaceDN w:val="0"/>
        <w:bidi w:val="0"/>
        <w:snapToGrid w:val="0"/>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仿宋_GB2312"/>
          <w:color w:val="auto"/>
          <w:kern w:val="2"/>
          <w:sz w:val="32"/>
          <w:szCs w:val="32"/>
          <w:highlight w:val="none"/>
          <w:lang w:val="en-US" w:eastAsia="zh-CN" w:bidi="ar-SA"/>
        </w:rPr>
        <w:t>项目支出4,197.73万元，主要用于巩固脱贫攻坚通乡村振兴衔接等相关工作经费、区本级衔接项目资金、中央省市衔接项目资金、民生项目资金等，完成预算支出64.27%。各类资金收支执行进度良好、部门整体绩效目标完成较好，无偏差。</w:t>
      </w:r>
    </w:p>
    <w:p w14:paraId="334170E9">
      <w:pPr>
        <w:keepNext w:val="0"/>
        <w:keepLines w:val="0"/>
        <w:pageBreakBefore w:val="0"/>
        <w:widowControl w:val="0"/>
        <w:kinsoku/>
        <w:wordWrap/>
        <w:overflowPunct w:val="0"/>
        <w:topLinePunct/>
        <w:autoSpaceDE w:val="0"/>
        <w:autoSpaceDN w:val="0"/>
        <w:bidi w:val="0"/>
        <w:snapToGrid w:val="0"/>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p>
    <w:p w14:paraId="7C1D3D4D">
      <w:pPr>
        <w:keepNext w:val="0"/>
        <w:keepLines w:val="0"/>
        <w:pageBreakBefore w:val="0"/>
        <w:widowControl w:val="0"/>
        <w:kinsoku/>
        <w:wordWrap/>
        <w:overflowPunct w:val="0"/>
        <w:topLinePunct/>
        <w:autoSpaceDE w:val="0"/>
        <w:autoSpaceDN w:val="0"/>
        <w:bidi w:val="0"/>
        <w:snapToGrid w:val="0"/>
        <w:spacing w:line="600" w:lineRule="exact"/>
        <w:ind w:firstLine="640"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仿宋_GB2312" w:cs="仿宋_GB2312"/>
          <w:color w:val="auto"/>
          <w:kern w:val="2"/>
          <w:sz w:val="32"/>
          <w:szCs w:val="32"/>
          <w:highlight w:val="none"/>
          <w:lang w:val="zh-CN" w:eastAsia="zh-CN" w:bidi="ar-SA"/>
        </w:rPr>
        <w:t>单位严格执行预决算公开制度，年初预算和年终决算均按照法定要求，在昭化区门户网站上进行了公开，以接受广大人民群众的监督。在内部应用方面，将单位绩效自评纳入考核体系，建立单位预算与绩效挂钩机制。按要求将相关绩效信息随同决算公开。本部门针对绩效管理过程中（包括绩效目标核查、绩效监控核查、重点自评抽查和重点绩效评价）提出的问题进行整改问题、完善政策、改进管理。在应用反馈方面，本部门在规定时间内向财政部门反馈应用绩效结果报告。</w:t>
      </w:r>
    </w:p>
    <w:p w14:paraId="06F89CF2">
      <w:pPr>
        <w:keepNext w:val="0"/>
        <w:keepLines w:val="0"/>
        <w:pageBreakBefore w:val="0"/>
        <w:widowControl w:val="0"/>
        <w:numPr>
          <w:ilvl w:val="0"/>
          <w:numId w:val="0"/>
        </w:numPr>
        <w:kinsoku/>
        <w:wordWrap/>
        <w:overflowPunct w:val="0"/>
        <w:topLinePunct/>
        <w:autoSpaceDE w:val="0"/>
        <w:autoSpaceDN w:val="0"/>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5AC06CEF">
      <w:pPr>
        <w:keepNext w:val="0"/>
        <w:keepLines w:val="0"/>
        <w:pageBreakBefore w:val="0"/>
        <w:widowControl w:val="0"/>
        <w:kinsoku/>
        <w:wordWrap/>
        <w:overflowPunct w:val="0"/>
        <w:topLinePunct/>
        <w:autoSpaceDE w:val="0"/>
        <w:autoSpaceDN w:val="0"/>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1544E3A9">
      <w:pPr>
        <w:keepNext w:val="0"/>
        <w:keepLines w:val="0"/>
        <w:pageBreakBefore w:val="0"/>
        <w:widowControl w:val="0"/>
        <w:kinsoku/>
        <w:wordWrap/>
        <w:overflowPunct w:val="0"/>
        <w:topLinePunct/>
        <w:autoSpaceDE w:val="0"/>
        <w:autoSpaceDN w:val="0"/>
        <w:bidi w:val="0"/>
        <w:snapToGrid w:val="0"/>
        <w:spacing w:line="600" w:lineRule="exact"/>
        <w:ind w:firstLine="640" w:firstLineChars="200"/>
        <w:textAlignment w:val="auto"/>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仿宋_GB2312" w:cs="仿宋_GB2312"/>
          <w:color w:val="auto"/>
          <w:kern w:val="2"/>
          <w:sz w:val="32"/>
          <w:szCs w:val="32"/>
          <w:highlight w:val="none"/>
          <w:lang w:val="en-US" w:eastAsia="zh-CN" w:bidi="ar-SA"/>
        </w:rPr>
        <w:t>本单位严格按照区财政局的要求，对2024年部门整体支出绩效中的目标制定、目标实现、支出控制、执行进度、预算完成等方面开展了自评，自评范围全面、客观、准确，整体支出绩效准确率达</w:t>
      </w:r>
      <w:r>
        <w:rPr>
          <w:rFonts w:hint="eastAsia" w:ascii="仿宋_GB2312" w:hAnsi="仿宋_GB2312" w:eastAsia="仿宋_GB2312" w:cs="仿宋_GB2312"/>
          <w:color w:val="auto"/>
          <w:kern w:val="2"/>
          <w:sz w:val="32"/>
          <w:szCs w:val="32"/>
          <w:highlight w:val="none"/>
          <w:lang w:val="en-US" w:eastAsia="zh-CN" w:bidi="ar-SA"/>
        </w:rPr>
        <w:t>100%</w:t>
      </w:r>
      <w:r>
        <w:rPr>
          <w:rFonts w:hint="default" w:ascii="Times New Roman" w:hAnsi="Times New Roman" w:eastAsia="仿宋_GB2312" w:cs="仿宋_GB2312"/>
          <w:color w:val="auto"/>
          <w:kern w:val="2"/>
          <w:sz w:val="32"/>
          <w:szCs w:val="32"/>
          <w:highlight w:val="none"/>
          <w:lang w:val="en-US" w:eastAsia="zh-CN" w:bidi="ar-SA"/>
        </w:rPr>
        <w:t>。</w:t>
      </w:r>
    </w:p>
    <w:p w14:paraId="34437A88">
      <w:pPr>
        <w:keepNext w:val="0"/>
        <w:keepLines w:val="0"/>
        <w:pageBreakBefore w:val="0"/>
        <w:widowControl w:val="0"/>
        <w:kinsoku/>
        <w:wordWrap/>
        <w:overflowPunct w:val="0"/>
        <w:topLinePunct/>
        <w:autoSpaceDE w:val="0"/>
        <w:autoSpaceDN w:val="0"/>
        <w:bidi w:val="0"/>
        <w:adjustRightInd w:val="0"/>
        <w:snapToGrid w:val="0"/>
        <w:spacing w:line="578"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7878D825">
      <w:pPr>
        <w:keepNext w:val="0"/>
        <w:keepLines w:val="0"/>
        <w:pageBreakBefore w:val="0"/>
        <w:widowControl w:val="0"/>
        <w:kinsoku/>
        <w:wordWrap/>
        <w:overflowPunct w:val="0"/>
        <w:topLinePunct/>
        <w:autoSpaceDE w:val="0"/>
        <w:autoSpaceDN w:val="0"/>
        <w:bidi w:val="0"/>
        <w:snapToGrid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1.预算经费不足。</w:t>
      </w:r>
    </w:p>
    <w:p w14:paraId="7F2E3297">
      <w:pPr>
        <w:keepNext w:val="0"/>
        <w:keepLines w:val="0"/>
        <w:pageBreakBefore w:val="0"/>
        <w:widowControl w:val="0"/>
        <w:kinsoku/>
        <w:wordWrap/>
        <w:overflowPunct w:val="0"/>
        <w:topLinePunct/>
        <w:autoSpaceDE w:val="0"/>
        <w:autoSpaceDN w:val="0"/>
        <w:bidi w:val="0"/>
        <w:snapToGrid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2.项目进度跟踪，开展项目绩效及项目绩效目标完成有待加强。</w:t>
      </w:r>
    </w:p>
    <w:p w14:paraId="02044F93">
      <w:pPr>
        <w:keepNext w:val="0"/>
        <w:keepLines w:val="0"/>
        <w:pageBreakBefore w:val="0"/>
        <w:widowControl w:val="0"/>
        <w:kinsoku/>
        <w:wordWrap/>
        <w:overflowPunct w:val="0"/>
        <w:topLinePunct/>
        <w:autoSpaceDE w:val="0"/>
        <w:autoSpaceDN w:val="0"/>
        <w:bidi w:val="0"/>
        <w:snapToGrid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3.预算绩效编制存在不科学性和不合理性，绩效目标设置存在不够明确、细化、量化。</w:t>
      </w:r>
    </w:p>
    <w:p w14:paraId="460006FD">
      <w:pPr>
        <w:keepNext w:val="0"/>
        <w:keepLines w:val="0"/>
        <w:pageBreakBefore w:val="0"/>
        <w:widowControl w:val="0"/>
        <w:kinsoku/>
        <w:wordWrap/>
        <w:overflowPunct w:val="0"/>
        <w:topLinePunct/>
        <w:autoSpaceDE w:val="0"/>
        <w:autoSpaceDN w:val="0"/>
        <w:bidi w:val="0"/>
        <w:adjustRightInd w:val="0"/>
        <w:snapToGrid w:val="0"/>
        <w:spacing w:line="578" w:lineRule="exact"/>
        <w:ind w:firstLine="643" w:firstLineChars="200"/>
        <w:contextualSpacing/>
        <w:jc w:val="left"/>
        <w:textAlignment w:val="auto"/>
        <w:outlineLvl w:val="9"/>
        <w:rPr>
          <w:rFonts w:hint="eastAsia" w:ascii="Times New Roman" w:hAnsi="Times New Roman" w:eastAsia="仿宋_GB2312" w:cs="Times New Roman"/>
          <w:sz w:val="32"/>
          <w:szCs w:val="32"/>
          <w:highlight w:val="yellow"/>
          <w:u w:val="none"/>
          <w:lang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End w:id="65"/>
    </w:p>
    <w:p w14:paraId="4E6F0C63">
      <w:pPr>
        <w:keepNext w:val="0"/>
        <w:keepLines w:val="0"/>
        <w:pageBreakBefore w:val="0"/>
        <w:widowControl w:val="0"/>
        <w:kinsoku/>
        <w:wordWrap/>
        <w:overflowPunct w:val="0"/>
        <w:topLinePunct/>
        <w:autoSpaceDE w:val="0"/>
        <w:autoSpaceDN w:val="0"/>
        <w:bidi w:val="0"/>
        <w:snapToGrid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zh-CN" w:eastAsia="zh-CN" w:bidi="ar-SA"/>
        </w:rPr>
        <w:t>1.进一步完善单位财务部门和业务部门共同参与，协调配合绩效评价工作机制，建立一套专门的资金管理制度，同时完善项目监督方面的工作，制定一套有效的项目监督机制，减免项目实施中的各种风险，加大项目效益产出。</w:t>
      </w:r>
    </w:p>
    <w:p w14:paraId="766D8193">
      <w:pPr>
        <w:keepNext w:val="0"/>
        <w:keepLines w:val="0"/>
        <w:pageBreakBefore w:val="0"/>
        <w:widowControl w:val="0"/>
        <w:kinsoku/>
        <w:wordWrap/>
        <w:overflowPunct w:val="0"/>
        <w:topLinePunct/>
        <w:autoSpaceDE w:val="0"/>
        <w:autoSpaceDN w:val="0"/>
        <w:bidi w:val="0"/>
        <w:snapToGrid w:val="0"/>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zh-CN" w:eastAsia="zh-CN" w:bidi="ar-SA"/>
        </w:rPr>
        <w:sectPr>
          <w:footerReference r:id="rId8" w:type="first"/>
          <w:footerReference r:id="rId7" w:type="default"/>
          <w:pgSz w:w="11906" w:h="16838"/>
          <w:pgMar w:top="2098" w:right="1474" w:bottom="1984" w:left="1587" w:header="851" w:footer="1304" w:gutter="0"/>
          <w:pgNumType w:fmt="decimal" w:start="1"/>
          <w:cols w:space="0" w:num="1"/>
          <w:titlePg/>
          <w:rtlGutter w:val="0"/>
          <w:docGrid w:type="lines" w:linePitch="312" w:charSpace="0"/>
        </w:sect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zh-CN" w:eastAsia="zh-CN" w:bidi="ar-SA"/>
        </w:rPr>
        <w:t>.开展多种形式的讲座和培训，强化预算绩效管理意识，提高单位绩效评价工作的水平。三是进一步健全和完善财务制度及内部控制制度，创新管理手段，用新思路、新方法，改进完善财务管理办法。</w:t>
      </w:r>
    </w:p>
    <w:p w14:paraId="2978D41F">
      <w:pPr>
        <w:pStyle w:val="7"/>
        <w:keepNext w:val="0"/>
        <w:keepLines w:val="0"/>
        <w:pageBreakBefore w:val="0"/>
        <w:widowControl w:val="0"/>
        <w:numPr>
          <w:ilvl w:val="0"/>
          <w:numId w:val="0"/>
        </w:numPr>
        <w:kinsoku/>
        <w:wordWrap/>
        <w:overflowPunct w:val="0"/>
        <w:topLinePunct/>
        <w:autoSpaceDE w:val="0"/>
        <w:autoSpaceDN w:val="0"/>
        <w:bidi w:val="0"/>
        <w:spacing w:line="560" w:lineRule="exact"/>
        <w:jc w:val="center"/>
        <w:textAlignment w:val="auto"/>
        <w:rPr>
          <w:rFonts w:hint="eastAsia" w:ascii="Times New Roman" w:hAnsi="Times New Roman" w:eastAsia="仿宋_GB2312" w:cs="Times New Roman"/>
          <w:kern w:val="2"/>
          <w:sz w:val="32"/>
          <w:szCs w:val="32"/>
          <w:u w:val="none"/>
          <w:lang w:val="en-US" w:eastAsia="zh-CN"/>
        </w:rPr>
      </w:pPr>
      <w:r>
        <w:rPr>
          <w:rFonts w:hint="eastAsia" w:ascii="Times New Roman" w:hAnsi="Times New Roman" w:eastAsia="仿宋_GB2312" w:cs="Times New Roman"/>
          <w:kern w:val="2"/>
          <w:sz w:val="32"/>
          <w:szCs w:val="32"/>
          <w:u w:val="none"/>
          <w:lang w:val="zh-CN" w:eastAsia="zh-CN"/>
        </w:rPr>
        <w:t>附表：</w:t>
      </w:r>
      <w:r>
        <w:rPr>
          <w:rFonts w:hint="eastAsia" w:ascii="Times New Roman" w:hAnsi="Times New Roman" w:eastAsia="仿宋_GB2312" w:cs="Times New Roman"/>
          <w:kern w:val="2"/>
          <w:sz w:val="32"/>
          <w:szCs w:val="32"/>
          <w:u w:val="none"/>
          <w:lang w:val="en-US" w:eastAsia="zh-CN"/>
        </w:rPr>
        <w:t>部门预算项目支出绩效自评表（2024年度）</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1857"/>
        <w:gridCol w:w="1605"/>
        <w:gridCol w:w="2049"/>
        <w:gridCol w:w="474"/>
        <w:gridCol w:w="1517"/>
        <w:gridCol w:w="474"/>
        <w:gridCol w:w="993"/>
        <w:gridCol w:w="486"/>
        <w:gridCol w:w="584"/>
        <w:gridCol w:w="2317"/>
      </w:tblGrid>
      <w:tr w14:paraId="34249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8F650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598E5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979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404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9001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51081124Y000011380263-2024年乡村振兴统计监测系统维护</w:t>
            </w:r>
          </w:p>
        </w:tc>
      </w:tr>
      <w:tr w14:paraId="7C814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55D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23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2FBB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广元市昭化区乡村振兴局停用</w:t>
            </w:r>
          </w:p>
        </w:tc>
        <w:tc>
          <w:tcPr>
            <w:tcW w:w="381" w:type="pct"/>
            <w:tcBorders>
              <w:top w:val="nil"/>
              <w:left w:val="nil"/>
              <w:bottom w:val="nil"/>
              <w:right w:val="nil"/>
            </w:tcBorders>
            <w:shd w:val="clear" w:color="auto" w:fill="auto"/>
            <w:vAlign w:val="center"/>
          </w:tcPr>
          <w:p w14:paraId="1B22210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3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C5C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广元市昭化区乡村振兴局（停用）</w:t>
            </w:r>
          </w:p>
        </w:tc>
      </w:tr>
      <w:tr w14:paraId="67C41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D43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7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B21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23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8A8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16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72F3C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1CFBD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886A1">
            <w:pPr>
              <w:rPr>
                <w:rFonts w:hint="eastAsia" w:ascii="宋体" w:hAnsi="宋体" w:eastAsia="宋体" w:cs="宋体"/>
                <w:i w:val="0"/>
                <w:iCs w:val="0"/>
                <w:color w:val="000000"/>
                <w:sz w:val="18"/>
                <w:szCs w:val="18"/>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1114E">
            <w:pPr>
              <w:rPr>
                <w:rFonts w:hint="eastAsia" w:ascii="宋体" w:hAnsi="宋体" w:eastAsia="宋体" w:cs="宋体"/>
                <w:i w:val="0"/>
                <w:iCs w:val="0"/>
                <w:color w:val="000000"/>
                <w:sz w:val="18"/>
                <w:szCs w:val="18"/>
                <w:u w:val="none"/>
              </w:rPr>
            </w:pPr>
          </w:p>
        </w:tc>
        <w:tc>
          <w:tcPr>
            <w:tcW w:w="23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8F00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保障12个乡村网络系统的畅通率100%，及时完成系统的数据更新，脱贫户收入等情况的反馈情况达到优，控制网络成本2万元以内。委托第三方中国电信维护网络。</w:t>
            </w:r>
          </w:p>
        </w:tc>
        <w:tc>
          <w:tcPr>
            <w:tcW w:w="16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7767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保障12个乡村网络系统的畅通率100%，及时完成系统的数据更新，脱贫户收入等情况的反馈情况达到优，控制网络成本2万元以内。委托第三方中国电信维护网络。</w:t>
            </w:r>
          </w:p>
        </w:tc>
      </w:tr>
      <w:tr w14:paraId="16E93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AB69E">
            <w:pP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738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404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3DE1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保障12个乡村网络系统的畅通率100%，及时完成系统的数据更新，脱贫户收入等情况的反馈情况达到优，控制网络成本2万元以内。委托第三方中国电信维护网络。</w:t>
            </w:r>
          </w:p>
        </w:tc>
      </w:tr>
      <w:tr w14:paraId="4E067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1C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2A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59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0E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9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6FA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2C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05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3FC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35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7FCBF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B8C61">
            <w:pPr>
              <w:jc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E7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BA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6E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w:t>
            </w:r>
          </w:p>
        </w:tc>
        <w:tc>
          <w:tcPr>
            <w:tcW w:w="9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D33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8A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69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F1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8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FD72A">
            <w:pPr>
              <w:rPr>
                <w:rFonts w:hint="eastAsia" w:ascii="黑体" w:hAnsi="黑体" w:eastAsia="黑体" w:cs="黑体"/>
                <w:i/>
                <w:iCs/>
                <w:color w:val="000000"/>
                <w:sz w:val="18"/>
                <w:szCs w:val="18"/>
                <w:u w:val="none"/>
              </w:rPr>
            </w:pPr>
          </w:p>
        </w:tc>
      </w:tr>
      <w:tr w14:paraId="43B4F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ADF08">
            <w:pPr>
              <w:jc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F1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8FC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93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w:t>
            </w:r>
          </w:p>
        </w:tc>
        <w:tc>
          <w:tcPr>
            <w:tcW w:w="9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B29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A9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5B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18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623E5">
            <w:pPr>
              <w:rPr>
                <w:rFonts w:hint="eastAsia" w:ascii="黑体" w:hAnsi="黑体" w:eastAsia="黑体" w:cs="黑体"/>
                <w:i/>
                <w:iCs/>
                <w:color w:val="000000"/>
                <w:sz w:val="18"/>
                <w:szCs w:val="18"/>
                <w:u w:val="none"/>
              </w:rPr>
            </w:pPr>
          </w:p>
        </w:tc>
      </w:tr>
      <w:tr w14:paraId="12D13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154FD">
            <w:pPr>
              <w:jc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66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A0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0E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299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9D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72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FB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764EB">
            <w:pPr>
              <w:rPr>
                <w:rFonts w:hint="eastAsia" w:ascii="黑体" w:hAnsi="黑体" w:eastAsia="黑体" w:cs="黑体"/>
                <w:i/>
                <w:iCs/>
                <w:color w:val="000000"/>
                <w:sz w:val="18"/>
                <w:szCs w:val="18"/>
                <w:u w:val="none"/>
              </w:rPr>
            </w:pPr>
          </w:p>
        </w:tc>
      </w:tr>
      <w:tr w14:paraId="04599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38F7C">
            <w:pPr>
              <w:jc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B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C5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AD4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D2E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E29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68A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0D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B6F3A">
            <w:pPr>
              <w:rPr>
                <w:rFonts w:hint="eastAsia" w:ascii="黑体" w:hAnsi="黑体" w:eastAsia="黑体" w:cs="黑体"/>
                <w:i/>
                <w:iCs/>
                <w:color w:val="000000"/>
                <w:sz w:val="18"/>
                <w:szCs w:val="18"/>
                <w:u w:val="none"/>
              </w:rPr>
            </w:pPr>
          </w:p>
        </w:tc>
      </w:tr>
      <w:tr w14:paraId="523AC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40361">
            <w:pPr>
              <w:jc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4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0A767">
            <w:pPr>
              <w:jc w:val="center"/>
              <w:rPr>
                <w:rFonts w:hint="eastAsia" w:ascii="微软雅黑" w:hAnsi="微软雅黑" w:eastAsia="微软雅黑" w:cs="微软雅黑"/>
                <w:i/>
                <w:iCs/>
                <w:color w:val="000000"/>
                <w:sz w:val="16"/>
                <w:szCs w:val="16"/>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7610C">
            <w:pPr>
              <w:jc w:val="center"/>
              <w:rPr>
                <w:rFonts w:hint="eastAsia" w:ascii="微软雅黑" w:hAnsi="微软雅黑" w:eastAsia="微软雅黑" w:cs="微软雅黑"/>
                <w:i/>
                <w:iCs/>
                <w:color w:val="000000"/>
                <w:sz w:val="16"/>
                <w:szCs w:val="16"/>
                <w:u w:val="none"/>
              </w:rPr>
            </w:pPr>
          </w:p>
        </w:tc>
        <w:tc>
          <w:tcPr>
            <w:tcW w:w="9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458B3B">
            <w:pPr>
              <w:jc w:val="center"/>
              <w:rPr>
                <w:rFonts w:hint="eastAsia" w:ascii="微软雅黑" w:hAnsi="微软雅黑" w:eastAsia="微软雅黑" w:cs="微软雅黑"/>
                <w:i/>
                <w:iCs/>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CA169">
            <w:pPr>
              <w:jc w:val="center"/>
              <w:rPr>
                <w:rFonts w:hint="eastAsia" w:ascii="微软雅黑" w:hAnsi="微软雅黑" w:eastAsia="微软雅黑" w:cs="微软雅黑"/>
                <w:i/>
                <w:iCs/>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7B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5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CCAA9">
            <w:pPr>
              <w:rPr>
                <w:rFonts w:hint="eastAsia" w:ascii="黑体" w:hAnsi="黑体" w:eastAsia="黑体" w:cs="黑体"/>
                <w:i/>
                <w:iCs/>
                <w:color w:val="000000"/>
                <w:sz w:val="18"/>
                <w:szCs w:val="18"/>
                <w:u w:val="none"/>
              </w:rPr>
            </w:pPr>
          </w:p>
        </w:tc>
      </w:tr>
      <w:tr w14:paraId="09CD6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B6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3C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4A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64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80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5A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77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48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016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DA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CF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1F5F9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02E33">
            <w:pPr>
              <w:jc w:val="center"/>
              <w:rPr>
                <w:rFonts w:hint="eastAsia" w:ascii="宋体" w:hAnsi="宋体" w:eastAsia="宋体" w:cs="宋体"/>
                <w:i w:val="0"/>
                <w:iCs w:val="0"/>
                <w:color w:val="000000"/>
                <w:sz w:val="18"/>
                <w:szCs w:val="18"/>
                <w:u w:val="none"/>
              </w:rPr>
            </w:pPr>
          </w:p>
        </w:tc>
        <w:tc>
          <w:tcPr>
            <w:tcW w:w="7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23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2A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3B1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脱贫监测乡镇</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6B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F7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FA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69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64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D3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B8512">
            <w:pPr>
              <w:jc w:val="center"/>
              <w:rPr>
                <w:rFonts w:hint="eastAsia" w:ascii="微软雅黑" w:hAnsi="微软雅黑" w:eastAsia="微软雅黑" w:cs="微软雅黑"/>
                <w:i/>
                <w:iCs/>
                <w:color w:val="000000"/>
                <w:sz w:val="16"/>
                <w:szCs w:val="16"/>
                <w:u w:val="none"/>
              </w:rPr>
            </w:pPr>
          </w:p>
        </w:tc>
      </w:tr>
      <w:tr w14:paraId="0C19A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C9E88">
            <w:pPr>
              <w:jc w:val="center"/>
              <w:rPr>
                <w:rFonts w:hint="eastAsia" w:ascii="宋体" w:hAnsi="宋体" w:eastAsia="宋体" w:cs="宋体"/>
                <w:i w:val="0"/>
                <w:iCs w:val="0"/>
                <w:color w:val="000000"/>
                <w:sz w:val="18"/>
                <w:szCs w:val="18"/>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A05CC">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E35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B9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12个乡镇网络畅通率</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14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88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9D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84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BC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34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40378">
            <w:pPr>
              <w:jc w:val="center"/>
              <w:rPr>
                <w:rFonts w:hint="eastAsia" w:ascii="微软雅黑" w:hAnsi="微软雅黑" w:eastAsia="微软雅黑" w:cs="微软雅黑"/>
                <w:i/>
                <w:iCs/>
                <w:color w:val="000000"/>
                <w:sz w:val="16"/>
                <w:szCs w:val="16"/>
                <w:u w:val="none"/>
              </w:rPr>
            </w:pPr>
          </w:p>
        </w:tc>
      </w:tr>
      <w:tr w14:paraId="2704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89F87">
            <w:pPr>
              <w:jc w:val="center"/>
              <w:rPr>
                <w:rFonts w:hint="eastAsia" w:ascii="宋体" w:hAnsi="宋体" w:eastAsia="宋体" w:cs="宋体"/>
                <w:i w:val="0"/>
                <w:iCs w:val="0"/>
                <w:color w:val="000000"/>
                <w:sz w:val="18"/>
                <w:szCs w:val="18"/>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1D278">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214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0C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及时完成系统的数据更新</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25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D8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6C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月</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C2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1A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20B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9E2F1">
            <w:pPr>
              <w:jc w:val="center"/>
              <w:rPr>
                <w:rFonts w:hint="eastAsia" w:ascii="微软雅黑" w:hAnsi="微软雅黑" w:eastAsia="微软雅黑" w:cs="微软雅黑"/>
                <w:i/>
                <w:iCs/>
                <w:color w:val="000000"/>
                <w:sz w:val="16"/>
                <w:szCs w:val="16"/>
                <w:u w:val="none"/>
              </w:rPr>
            </w:pPr>
          </w:p>
        </w:tc>
      </w:tr>
      <w:tr w14:paraId="268D8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20269">
            <w:pPr>
              <w:jc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66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B6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ABF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脱贫户收入等情况能及时反馈</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B2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779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4C877">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B3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优</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F5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B6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4ED6B">
            <w:pPr>
              <w:jc w:val="center"/>
              <w:rPr>
                <w:rFonts w:hint="eastAsia" w:ascii="微软雅黑" w:hAnsi="微软雅黑" w:eastAsia="微软雅黑" w:cs="微软雅黑"/>
                <w:i/>
                <w:iCs/>
                <w:color w:val="000000"/>
                <w:sz w:val="16"/>
                <w:szCs w:val="16"/>
                <w:u w:val="none"/>
              </w:rPr>
            </w:pPr>
          </w:p>
        </w:tc>
      </w:tr>
      <w:tr w14:paraId="78E19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DACB1">
            <w:pPr>
              <w:jc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DC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A2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FB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12个乡镇网格员的满意度</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65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AD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3F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7B5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BD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D5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D7502">
            <w:pPr>
              <w:jc w:val="center"/>
              <w:rPr>
                <w:rFonts w:hint="eastAsia" w:ascii="微软雅黑" w:hAnsi="微软雅黑" w:eastAsia="微软雅黑" w:cs="微软雅黑"/>
                <w:i/>
                <w:iCs/>
                <w:color w:val="000000"/>
                <w:sz w:val="16"/>
                <w:szCs w:val="16"/>
                <w:u w:val="none"/>
              </w:rPr>
            </w:pPr>
          </w:p>
        </w:tc>
      </w:tr>
      <w:tr w14:paraId="664FC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9E785">
            <w:pPr>
              <w:jc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91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C3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DB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控制网络维护成本</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BA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6F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4B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B2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92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30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38C47">
            <w:pPr>
              <w:jc w:val="center"/>
              <w:rPr>
                <w:rFonts w:hint="eastAsia" w:ascii="微软雅黑" w:hAnsi="微软雅黑" w:eastAsia="微软雅黑" w:cs="微软雅黑"/>
                <w:i/>
                <w:iCs/>
                <w:color w:val="000000"/>
                <w:sz w:val="16"/>
                <w:szCs w:val="16"/>
                <w:u w:val="none"/>
              </w:rPr>
            </w:pPr>
          </w:p>
        </w:tc>
      </w:tr>
      <w:tr w14:paraId="59BD4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579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8E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71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94ED">
            <w:pPr>
              <w:rPr>
                <w:rFonts w:hint="eastAsia" w:ascii="宋体" w:hAnsi="宋体" w:eastAsia="宋体" w:cs="宋体"/>
                <w:i w:val="0"/>
                <w:iCs w:val="0"/>
                <w:color w:val="000000"/>
                <w:sz w:val="18"/>
                <w:szCs w:val="18"/>
                <w:u w:val="none"/>
              </w:rPr>
            </w:pPr>
          </w:p>
        </w:tc>
      </w:tr>
      <w:tr w14:paraId="0BD03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3A1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47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4F380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该项目通过自评得分100分，等级为优。</w:t>
            </w:r>
          </w:p>
        </w:tc>
      </w:tr>
      <w:tr w14:paraId="1479D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B2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47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4FC36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296C2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CD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47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25AB8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1C73C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1C3A3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245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6E046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bl>
    <w:p w14:paraId="24311B15">
      <w:pPr>
        <w:rPr>
          <w:rFonts w:hint="eastAsia" w:ascii="黑体" w:hAnsi="黑体" w:eastAsia="黑体" w:cs="黑体"/>
          <w:color w:val="auto"/>
          <w:kern w:val="0"/>
          <w:sz w:val="32"/>
          <w:szCs w:val="32"/>
          <w:highlight w:val="none"/>
          <w:shd w:val="clear" w:color="auto" w:fill="FFFFFF"/>
          <w:lang w:val="zh-CN"/>
        </w:rPr>
      </w:pPr>
      <w:r>
        <w:br w:type="page"/>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9"/>
        <w:gridCol w:w="1857"/>
        <w:gridCol w:w="1605"/>
        <w:gridCol w:w="2049"/>
        <w:gridCol w:w="474"/>
        <w:gridCol w:w="1517"/>
        <w:gridCol w:w="471"/>
        <w:gridCol w:w="990"/>
        <w:gridCol w:w="487"/>
        <w:gridCol w:w="584"/>
        <w:gridCol w:w="2319"/>
      </w:tblGrid>
      <w:tr w14:paraId="4044E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21678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53832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439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404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2E4E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51081124Y000011715839-解决2023年度巩固拓展脱贫攻坚成果同乡村振兴有效衔接第三方评估工作经费</w:t>
            </w:r>
          </w:p>
        </w:tc>
      </w:tr>
      <w:tr w14:paraId="3FA49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573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23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099A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广元市昭化区乡村振兴局停用</w:t>
            </w:r>
          </w:p>
        </w:tc>
        <w:tc>
          <w:tcPr>
            <w:tcW w:w="381" w:type="pct"/>
            <w:tcBorders>
              <w:top w:val="nil"/>
              <w:left w:val="nil"/>
              <w:bottom w:val="nil"/>
              <w:right w:val="nil"/>
            </w:tcBorders>
            <w:shd w:val="clear" w:color="auto" w:fill="auto"/>
            <w:vAlign w:val="center"/>
          </w:tcPr>
          <w:p w14:paraId="23307731">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3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EAB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广元市昭化区乡村振兴局（停用）</w:t>
            </w:r>
          </w:p>
        </w:tc>
      </w:tr>
      <w:tr w14:paraId="2FEA6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629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E6B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23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9C1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16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725A2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2AE34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F43B7">
            <w:pP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C745B">
            <w:pPr>
              <w:rPr>
                <w:rFonts w:hint="eastAsia" w:ascii="宋体" w:hAnsi="宋体" w:eastAsia="宋体" w:cs="宋体"/>
                <w:i w:val="0"/>
                <w:iCs w:val="0"/>
                <w:color w:val="000000"/>
                <w:sz w:val="18"/>
                <w:szCs w:val="18"/>
                <w:u w:val="none"/>
              </w:rPr>
            </w:pPr>
          </w:p>
        </w:tc>
        <w:tc>
          <w:tcPr>
            <w:tcW w:w="23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760F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省巩固脱贫攻坚实地评估采取第三方评估和县际交叉检查评估相结合，涉及抽验贫困村和非贫困村、返贫监测户的抽验涉及200户和20个村以上，老百姓的收入等方面的核查。在10天内完成抽验检查，使抽验的村和户达标率90%以上，经费控制在12万元。使受惠群众和服务对象满意度达到95%以上。</w:t>
            </w:r>
          </w:p>
        </w:tc>
        <w:tc>
          <w:tcPr>
            <w:tcW w:w="16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4398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省巩固脱贫攻坚实地评估采取第三方评估和县际交叉检查评估相结合，涉及抽验贫困村和非贫困村、返贫监测户的抽验涉及200户和20个村以上，老百姓的收入等方面的核查。在10天内完成抽验检查，使抽验的村和户达标率90%以上，经费控制在12万元。使受惠群众和服务对象满意度达到95%以上。</w:t>
            </w:r>
          </w:p>
        </w:tc>
      </w:tr>
      <w:tr w14:paraId="4A291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2F47B">
            <w:pP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687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404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B4EB1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全省巩固脱贫攻坚实地评估采取第三方评估和县际交叉检查评估相结合，涉及抽验贫困村和非贫困村、返贫监测户的抽验涉及200户和20个村以上，老百姓的收入等方面的核查。在10天内完成抽验检查，使抽验的村和户达标率90%以上，经费控制在12万元。使受惠群众和服务对象满意度达到95%以上。</w:t>
            </w:r>
          </w:p>
        </w:tc>
      </w:tr>
      <w:tr w14:paraId="42AE9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4F7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E4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B0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B9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6766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FE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67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C6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14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050FF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C8DA7">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74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F1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07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202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73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A0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C1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8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39D41">
            <w:pPr>
              <w:rPr>
                <w:rFonts w:hint="eastAsia" w:ascii="黑体" w:hAnsi="黑体" w:eastAsia="黑体" w:cs="黑体"/>
                <w:i/>
                <w:iCs/>
                <w:color w:val="000000"/>
                <w:sz w:val="18"/>
                <w:szCs w:val="18"/>
                <w:u w:val="none"/>
              </w:rPr>
            </w:pPr>
          </w:p>
        </w:tc>
      </w:tr>
      <w:tr w14:paraId="3CFD8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6E765">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AA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3A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89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01A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FB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AD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89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B2AD0">
            <w:pPr>
              <w:rPr>
                <w:rFonts w:hint="eastAsia" w:ascii="黑体" w:hAnsi="黑体" w:eastAsia="黑体" w:cs="黑体"/>
                <w:i/>
                <w:iCs/>
                <w:color w:val="000000"/>
                <w:sz w:val="18"/>
                <w:szCs w:val="18"/>
                <w:u w:val="none"/>
              </w:rPr>
            </w:pPr>
          </w:p>
        </w:tc>
      </w:tr>
      <w:tr w14:paraId="6D67F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8F4AE">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94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1A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2E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CB3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F68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79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D5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8FA29">
            <w:pPr>
              <w:rPr>
                <w:rFonts w:hint="eastAsia" w:ascii="黑体" w:hAnsi="黑体" w:eastAsia="黑体" w:cs="黑体"/>
                <w:i/>
                <w:iCs/>
                <w:color w:val="000000"/>
                <w:sz w:val="18"/>
                <w:szCs w:val="18"/>
                <w:u w:val="none"/>
              </w:rPr>
            </w:pPr>
          </w:p>
        </w:tc>
      </w:tr>
      <w:tr w14:paraId="1F5F9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D9CDE">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81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AC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F9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BC3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C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A0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B0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2816B">
            <w:pPr>
              <w:rPr>
                <w:rFonts w:hint="eastAsia" w:ascii="黑体" w:hAnsi="黑体" w:eastAsia="黑体" w:cs="黑体"/>
                <w:i/>
                <w:iCs/>
                <w:color w:val="000000"/>
                <w:sz w:val="18"/>
                <w:szCs w:val="18"/>
                <w:u w:val="none"/>
              </w:rPr>
            </w:pPr>
          </w:p>
        </w:tc>
      </w:tr>
      <w:tr w14:paraId="26FE6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BC752">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E0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E0246">
            <w:pPr>
              <w:jc w:val="center"/>
              <w:rPr>
                <w:rFonts w:hint="eastAsia" w:ascii="微软雅黑" w:hAnsi="微软雅黑" w:eastAsia="微软雅黑" w:cs="微软雅黑"/>
                <w:i/>
                <w:iCs/>
                <w:color w:val="000000"/>
                <w:sz w:val="16"/>
                <w:szCs w:val="16"/>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E226A">
            <w:pPr>
              <w:jc w:val="center"/>
              <w:rPr>
                <w:rFonts w:hint="eastAsia" w:ascii="微软雅黑" w:hAnsi="微软雅黑" w:eastAsia="微软雅黑" w:cs="微软雅黑"/>
                <w:i/>
                <w:iCs/>
                <w:color w:val="000000"/>
                <w:sz w:val="16"/>
                <w:szCs w:val="16"/>
                <w:u w:val="none"/>
              </w:rPr>
            </w:pP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3B5B7">
            <w:pPr>
              <w:jc w:val="center"/>
              <w:rPr>
                <w:rFonts w:hint="eastAsia" w:ascii="微软雅黑" w:hAnsi="微软雅黑" w:eastAsia="微软雅黑" w:cs="微软雅黑"/>
                <w:i/>
                <w:iCs/>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B8FC7">
            <w:pPr>
              <w:jc w:val="center"/>
              <w:rPr>
                <w:rFonts w:hint="eastAsia" w:ascii="微软雅黑" w:hAnsi="微软雅黑" w:eastAsia="微软雅黑" w:cs="微软雅黑"/>
                <w:i/>
                <w:iCs/>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D6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77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24124">
            <w:pPr>
              <w:rPr>
                <w:rFonts w:hint="eastAsia" w:ascii="黑体" w:hAnsi="黑体" w:eastAsia="黑体" w:cs="黑体"/>
                <w:i/>
                <w:iCs/>
                <w:color w:val="000000"/>
                <w:sz w:val="18"/>
                <w:szCs w:val="18"/>
                <w:u w:val="none"/>
              </w:rPr>
            </w:pPr>
          </w:p>
        </w:tc>
      </w:tr>
      <w:tr w14:paraId="5B997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CA9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82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59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77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EC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0B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0A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5D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5F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4D4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12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2C745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77F2D">
            <w:pPr>
              <w:jc w:val="center"/>
              <w:rPr>
                <w:rFonts w:hint="eastAsia" w:ascii="宋体" w:hAnsi="宋体" w:eastAsia="宋体" w:cs="宋体"/>
                <w:i w:val="0"/>
                <w:iCs w:val="0"/>
                <w:color w:val="000000"/>
                <w:sz w:val="18"/>
                <w:szCs w:val="18"/>
                <w:u w:val="none"/>
              </w:rPr>
            </w:pP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4E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18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64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完成抽验村的个数</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D3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87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FE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04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472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FA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AF04C">
            <w:pPr>
              <w:jc w:val="center"/>
              <w:rPr>
                <w:rFonts w:hint="eastAsia" w:ascii="微软雅黑" w:hAnsi="微软雅黑" w:eastAsia="微软雅黑" w:cs="微软雅黑"/>
                <w:i/>
                <w:iCs/>
                <w:color w:val="000000"/>
                <w:sz w:val="16"/>
                <w:szCs w:val="16"/>
                <w:u w:val="none"/>
              </w:rPr>
            </w:pPr>
          </w:p>
        </w:tc>
      </w:tr>
      <w:tr w14:paraId="45D8F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1D2A1">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4E524">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B62DA">
            <w:pPr>
              <w:jc w:val="center"/>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FA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完成抽验返贫监测户数</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CA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6C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B6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户</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6B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96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08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C8590">
            <w:pPr>
              <w:jc w:val="center"/>
              <w:rPr>
                <w:rFonts w:hint="eastAsia" w:ascii="微软雅黑" w:hAnsi="微软雅黑" w:eastAsia="微软雅黑" w:cs="微软雅黑"/>
                <w:i/>
                <w:iCs/>
                <w:color w:val="000000"/>
                <w:sz w:val="16"/>
                <w:szCs w:val="16"/>
                <w:u w:val="none"/>
              </w:rPr>
            </w:pPr>
          </w:p>
        </w:tc>
      </w:tr>
      <w:tr w14:paraId="5A736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5F98A">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5161C">
            <w:pPr>
              <w:jc w:val="center"/>
              <w:rPr>
                <w:rFonts w:hint="eastAsia" w:ascii="宋体" w:hAnsi="宋体" w:eastAsia="宋体" w:cs="宋体"/>
                <w:i w:val="0"/>
                <w:iCs w:val="0"/>
                <w:color w:val="000000"/>
                <w:sz w:val="18"/>
                <w:szCs w:val="18"/>
                <w:u w:val="none"/>
              </w:rPr>
            </w:pP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71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9D4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返贫监测户数达标率</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5E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F6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2A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B5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9A1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EB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879FE">
            <w:pPr>
              <w:jc w:val="center"/>
              <w:rPr>
                <w:rFonts w:hint="eastAsia" w:ascii="微软雅黑" w:hAnsi="微软雅黑" w:eastAsia="微软雅黑" w:cs="微软雅黑"/>
                <w:i/>
                <w:iCs/>
                <w:color w:val="000000"/>
                <w:sz w:val="16"/>
                <w:szCs w:val="16"/>
                <w:u w:val="none"/>
              </w:rPr>
            </w:pPr>
          </w:p>
        </w:tc>
      </w:tr>
      <w:tr w14:paraId="5C690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9E691">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87692">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31C0F">
            <w:pPr>
              <w:jc w:val="center"/>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71F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抽验村的合格率</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CD6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70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769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B7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7C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D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EFD73">
            <w:pPr>
              <w:jc w:val="center"/>
              <w:rPr>
                <w:rFonts w:hint="eastAsia" w:ascii="微软雅黑" w:hAnsi="微软雅黑" w:eastAsia="微软雅黑" w:cs="微软雅黑"/>
                <w:i/>
                <w:iCs/>
                <w:color w:val="000000"/>
                <w:sz w:val="16"/>
                <w:szCs w:val="16"/>
                <w:u w:val="none"/>
              </w:rPr>
            </w:pPr>
          </w:p>
        </w:tc>
      </w:tr>
      <w:tr w14:paraId="367BF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78631">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85DD3">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96F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B9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第三方检查评估天数</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089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9C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A9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天</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FA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43E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AE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A8D06">
            <w:pPr>
              <w:jc w:val="center"/>
              <w:rPr>
                <w:rFonts w:hint="eastAsia" w:ascii="微软雅黑" w:hAnsi="微软雅黑" w:eastAsia="微软雅黑" w:cs="微软雅黑"/>
                <w:i/>
                <w:iCs/>
                <w:color w:val="000000"/>
                <w:sz w:val="16"/>
                <w:szCs w:val="16"/>
                <w:u w:val="none"/>
              </w:rPr>
            </w:pPr>
          </w:p>
        </w:tc>
      </w:tr>
      <w:tr w14:paraId="60590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FD388">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2A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83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71C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老百姓的生活条件改造</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4B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353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逐步提升</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6D2B0">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BB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逐步提升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3C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55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4C2EC">
            <w:pPr>
              <w:jc w:val="center"/>
              <w:rPr>
                <w:rFonts w:hint="eastAsia" w:ascii="微软雅黑" w:hAnsi="微软雅黑" w:eastAsia="微软雅黑" w:cs="微软雅黑"/>
                <w:i/>
                <w:iCs/>
                <w:color w:val="000000"/>
                <w:sz w:val="16"/>
                <w:szCs w:val="16"/>
                <w:u w:val="none"/>
              </w:rPr>
            </w:pPr>
          </w:p>
        </w:tc>
      </w:tr>
      <w:tr w14:paraId="1A5F9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67738">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1C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19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帮扶对象满意度指标</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EED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帮扶户的满意度</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BF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48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4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75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0E8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076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57507">
            <w:pPr>
              <w:jc w:val="center"/>
              <w:rPr>
                <w:rFonts w:hint="eastAsia" w:ascii="微软雅黑" w:hAnsi="微软雅黑" w:eastAsia="微软雅黑" w:cs="微软雅黑"/>
                <w:i/>
                <w:iCs/>
                <w:color w:val="000000"/>
                <w:sz w:val="16"/>
                <w:szCs w:val="16"/>
                <w:u w:val="none"/>
              </w:rPr>
            </w:pPr>
          </w:p>
        </w:tc>
      </w:tr>
      <w:tr w14:paraId="03F0F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B1214">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C6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BB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C7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经费控制数</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21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19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76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3A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C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15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6FB5D">
            <w:pPr>
              <w:jc w:val="center"/>
              <w:rPr>
                <w:rFonts w:hint="eastAsia" w:ascii="微软雅黑" w:hAnsi="微软雅黑" w:eastAsia="微软雅黑" w:cs="微软雅黑"/>
                <w:i/>
                <w:iCs/>
                <w:color w:val="000000"/>
                <w:sz w:val="16"/>
                <w:szCs w:val="16"/>
                <w:u w:val="none"/>
              </w:rPr>
            </w:pPr>
          </w:p>
        </w:tc>
      </w:tr>
      <w:tr w14:paraId="34D25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53E7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86E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6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C9F70">
            <w:pPr>
              <w:rPr>
                <w:rFonts w:hint="eastAsia" w:ascii="宋体" w:hAnsi="宋体" w:eastAsia="宋体" w:cs="宋体"/>
                <w:i w:val="0"/>
                <w:iCs w:val="0"/>
                <w:color w:val="000000"/>
                <w:sz w:val="18"/>
                <w:szCs w:val="18"/>
                <w:u w:val="none"/>
              </w:rPr>
            </w:pPr>
          </w:p>
        </w:tc>
      </w:tr>
      <w:tr w14:paraId="4CE6F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EC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476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44C68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该项目通过自评得分100分，等级为优。</w:t>
            </w:r>
          </w:p>
        </w:tc>
      </w:tr>
      <w:tr w14:paraId="4E0F0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F3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476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3B95B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6DBDC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05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476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2F31C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1AC86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D5F80E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245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FBF50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bl>
    <w:p w14:paraId="1B03E90A">
      <w:pPr>
        <w:rPr>
          <w:rFonts w:hint="eastAsia"/>
          <w:lang w:val="zh-CN"/>
        </w:rPr>
      </w:pPr>
      <w:r>
        <w:br w:type="page"/>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9"/>
        <w:gridCol w:w="1857"/>
        <w:gridCol w:w="1605"/>
        <w:gridCol w:w="2049"/>
        <w:gridCol w:w="474"/>
        <w:gridCol w:w="1517"/>
        <w:gridCol w:w="471"/>
        <w:gridCol w:w="990"/>
        <w:gridCol w:w="487"/>
        <w:gridCol w:w="584"/>
        <w:gridCol w:w="2319"/>
      </w:tblGrid>
      <w:tr w14:paraId="77686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1F46F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4E438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C9C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404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8925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51081124Y000011856881-解决我区参加四川省第二届和美乡村篮球大赛（村BA)广元市预选赛工作经费）</w:t>
            </w:r>
          </w:p>
        </w:tc>
      </w:tr>
      <w:tr w14:paraId="686A2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F35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23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A17C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广元市昭化区乡村振兴局停用</w:t>
            </w:r>
          </w:p>
        </w:tc>
        <w:tc>
          <w:tcPr>
            <w:tcW w:w="381" w:type="pct"/>
            <w:tcBorders>
              <w:top w:val="nil"/>
              <w:left w:val="nil"/>
              <w:bottom w:val="nil"/>
              <w:right w:val="nil"/>
            </w:tcBorders>
            <w:shd w:val="clear" w:color="auto" w:fill="auto"/>
            <w:vAlign w:val="center"/>
          </w:tcPr>
          <w:p w14:paraId="07A0EA9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3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D8FF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广元市昭化区乡村振兴局（停用）</w:t>
            </w:r>
          </w:p>
        </w:tc>
      </w:tr>
      <w:tr w14:paraId="59CFE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D393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26B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23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242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16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38D87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38293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7FDEB">
            <w:pP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92AB5">
            <w:pPr>
              <w:rPr>
                <w:rFonts w:hint="eastAsia" w:ascii="宋体" w:hAnsi="宋体" w:eastAsia="宋体" w:cs="宋体"/>
                <w:i w:val="0"/>
                <w:iCs w:val="0"/>
                <w:color w:val="000000"/>
                <w:sz w:val="18"/>
                <w:szCs w:val="18"/>
                <w:u w:val="none"/>
              </w:rPr>
            </w:pPr>
          </w:p>
        </w:tc>
        <w:tc>
          <w:tcPr>
            <w:tcW w:w="23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96F0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组织参赛队员12名，教练及领队人员5人，活动时间25天（含训练），通过此项活动，推动宜居宜业和美乡村建设，提高农民体育高质量发展。预选赛取得较好的成绩。使参赛人员等满意度95%以上，经费成本，教练员工资控制在1万元，参赛队员补助6.5万元，服装费及其他费用4.5万元。</w:t>
            </w:r>
          </w:p>
        </w:tc>
        <w:tc>
          <w:tcPr>
            <w:tcW w:w="16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9015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组织参赛队员12名，教练及领队人员5人，活动时间25天（含训练），通过此项活动，推动宜居宜业和美乡村建设，提高农民体育高质量发展。预选赛取得较好的成绩。使参赛人员等满意度95%以上，经费成本，教练员工资控制在1万元，参赛队员补助6.5万元，服装费及其他费用4.5万元。</w:t>
            </w:r>
          </w:p>
        </w:tc>
      </w:tr>
      <w:tr w14:paraId="7F1F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A8AF4">
            <w:pP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A85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404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9356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组织参赛队员12名，教练及领队人员5人，活动时间25天（含训练），通过此项活动，推动宜居宜业和美乡村建设，提高农民体育高质量发展。预选赛取得较好的成绩。使参赛人员等满意度95%以上，经费成本，教练员工资控制在1万元，参赛队员补助6.5万元，服装费及其他费用4.5万元。</w:t>
            </w:r>
          </w:p>
        </w:tc>
      </w:tr>
      <w:tr w14:paraId="6E17C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43F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B3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3C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3EF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FB0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2F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06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51B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CC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034A4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EDE94">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AD4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5B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C4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4AA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176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10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D88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8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C12987">
            <w:pPr>
              <w:rPr>
                <w:rFonts w:hint="eastAsia" w:ascii="黑体" w:hAnsi="黑体" w:eastAsia="黑体" w:cs="黑体"/>
                <w:i/>
                <w:iCs/>
                <w:color w:val="000000"/>
                <w:sz w:val="18"/>
                <w:szCs w:val="18"/>
                <w:u w:val="none"/>
              </w:rPr>
            </w:pPr>
          </w:p>
        </w:tc>
      </w:tr>
      <w:tr w14:paraId="3DC7C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F043C">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EB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03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A4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803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9D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43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0A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A6ADB">
            <w:pPr>
              <w:rPr>
                <w:rFonts w:hint="eastAsia" w:ascii="黑体" w:hAnsi="黑体" w:eastAsia="黑体" w:cs="黑体"/>
                <w:i/>
                <w:iCs/>
                <w:color w:val="000000"/>
                <w:sz w:val="18"/>
                <w:szCs w:val="18"/>
                <w:u w:val="none"/>
              </w:rPr>
            </w:pPr>
          </w:p>
        </w:tc>
      </w:tr>
      <w:tr w14:paraId="455AB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BDC73">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3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6B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A9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508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C0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5ED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6B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30E6D">
            <w:pPr>
              <w:rPr>
                <w:rFonts w:hint="eastAsia" w:ascii="黑体" w:hAnsi="黑体" w:eastAsia="黑体" w:cs="黑体"/>
                <w:i/>
                <w:iCs/>
                <w:color w:val="000000"/>
                <w:sz w:val="18"/>
                <w:szCs w:val="18"/>
                <w:u w:val="none"/>
              </w:rPr>
            </w:pPr>
          </w:p>
        </w:tc>
      </w:tr>
      <w:tr w14:paraId="53FB3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88BC6">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DB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00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06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726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4B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60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E0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D1D9A">
            <w:pPr>
              <w:rPr>
                <w:rFonts w:hint="eastAsia" w:ascii="黑体" w:hAnsi="黑体" w:eastAsia="黑体" w:cs="黑体"/>
                <w:i/>
                <w:iCs/>
                <w:color w:val="000000"/>
                <w:sz w:val="18"/>
                <w:szCs w:val="18"/>
                <w:u w:val="none"/>
              </w:rPr>
            </w:pPr>
          </w:p>
        </w:tc>
      </w:tr>
      <w:tr w14:paraId="7D654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91C7C">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18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E123">
            <w:pPr>
              <w:jc w:val="center"/>
              <w:rPr>
                <w:rFonts w:hint="eastAsia" w:ascii="微软雅黑" w:hAnsi="微软雅黑" w:eastAsia="微软雅黑" w:cs="微软雅黑"/>
                <w:i/>
                <w:iCs/>
                <w:color w:val="000000"/>
                <w:sz w:val="16"/>
                <w:szCs w:val="16"/>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22168">
            <w:pPr>
              <w:jc w:val="center"/>
              <w:rPr>
                <w:rFonts w:hint="eastAsia" w:ascii="微软雅黑" w:hAnsi="微软雅黑" w:eastAsia="微软雅黑" w:cs="微软雅黑"/>
                <w:i/>
                <w:iCs/>
                <w:color w:val="000000"/>
                <w:sz w:val="16"/>
                <w:szCs w:val="16"/>
                <w:u w:val="none"/>
              </w:rPr>
            </w:pPr>
          </w:p>
        </w:tc>
        <w:tc>
          <w:tcPr>
            <w:tcW w:w="94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3AF12C">
            <w:pPr>
              <w:jc w:val="center"/>
              <w:rPr>
                <w:rFonts w:hint="eastAsia" w:ascii="微软雅黑" w:hAnsi="微软雅黑" w:eastAsia="微软雅黑" w:cs="微软雅黑"/>
                <w:i/>
                <w:iCs/>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02ED3">
            <w:pPr>
              <w:jc w:val="center"/>
              <w:rPr>
                <w:rFonts w:hint="eastAsia" w:ascii="微软雅黑" w:hAnsi="微软雅黑" w:eastAsia="微软雅黑" w:cs="微软雅黑"/>
                <w:i/>
                <w:iCs/>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D7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13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4AFCC">
            <w:pPr>
              <w:rPr>
                <w:rFonts w:hint="eastAsia" w:ascii="黑体" w:hAnsi="黑体" w:eastAsia="黑体" w:cs="黑体"/>
                <w:i/>
                <w:iCs/>
                <w:color w:val="000000"/>
                <w:sz w:val="18"/>
                <w:szCs w:val="18"/>
                <w:u w:val="none"/>
              </w:rPr>
            </w:pPr>
          </w:p>
        </w:tc>
      </w:tr>
      <w:tr w14:paraId="5A313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89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A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7C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F4F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A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FB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37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90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B2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FA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D8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19938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D3AB3">
            <w:pPr>
              <w:jc w:val="center"/>
              <w:rPr>
                <w:rFonts w:hint="eastAsia" w:ascii="宋体" w:hAnsi="宋体" w:eastAsia="宋体" w:cs="宋体"/>
                <w:i w:val="0"/>
                <w:iCs w:val="0"/>
                <w:color w:val="000000"/>
                <w:sz w:val="18"/>
                <w:szCs w:val="18"/>
                <w:u w:val="none"/>
              </w:rPr>
            </w:pP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7B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BA7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B7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参赛队员人数</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51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57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9C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19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9D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3B9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9CA0">
            <w:pPr>
              <w:jc w:val="center"/>
              <w:rPr>
                <w:rFonts w:hint="eastAsia" w:ascii="微软雅黑" w:hAnsi="微软雅黑" w:eastAsia="微软雅黑" w:cs="微软雅黑"/>
                <w:i/>
                <w:iCs/>
                <w:color w:val="000000"/>
                <w:sz w:val="16"/>
                <w:szCs w:val="16"/>
                <w:u w:val="none"/>
              </w:rPr>
            </w:pPr>
          </w:p>
        </w:tc>
      </w:tr>
      <w:tr w14:paraId="14AEC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430C5">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C6DDC">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012C1">
            <w:pPr>
              <w:jc w:val="center"/>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6F1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教练及领队人数</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13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94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4C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个</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2C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A3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21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E9361">
            <w:pPr>
              <w:jc w:val="center"/>
              <w:rPr>
                <w:rFonts w:hint="eastAsia" w:ascii="微软雅黑" w:hAnsi="微软雅黑" w:eastAsia="微软雅黑" w:cs="微软雅黑"/>
                <w:i/>
                <w:iCs/>
                <w:color w:val="000000"/>
                <w:sz w:val="16"/>
                <w:szCs w:val="16"/>
                <w:u w:val="none"/>
              </w:rPr>
            </w:pPr>
          </w:p>
        </w:tc>
      </w:tr>
      <w:tr w14:paraId="4E1EA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083E5">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EFAB1">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A1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7C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预选赛取得较好的成绩</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63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7B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进前三名</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9F9A7">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09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进前三名</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76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72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1DDC3">
            <w:pPr>
              <w:jc w:val="center"/>
              <w:rPr>
                <w:rFonts w:hint="eastAsia" w:ascii="微软雅黑" w:hAnsi="微软雅黑" w:eastAsia="微软雅黑" w:cs="微软雅黑"/>
                <w:i/>
                <w:iCs/>
                <w:color w:val="000000"/>
                <w:sz w:val="16"/>
                <w:szCs w:val="16"/>
                <w:u w:val="none"/>
              </w:rPr>
            </w:pPr>
          </w:p>
        </w:tc>
      </w:tr>
      <w:tr w14:paraId="2F22F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FC4B7">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6BF7A">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6B1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18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活动时间</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E5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C8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98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天</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FCA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89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BF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FF3DF">
            <w:pPr>
              <w:jc w:val="center"/>
              <w:rPr>
                <w:rFonts w:hint="eastAsia" w:ascii="微软雅黑" w:hAnsi="微软雅黑" w:eastAsia="微软雅黑" w:cs="微软雅黑"/>
                <w:i/>
                <w:iCs/>
                <w:color w:val="000000"/>
                <w:sz w:val="16"/>
                <w:szCs w:val="16"/>
                <w:u w:val="none"/>
              </w:rPr>
            </w:pPr>
          </w:p>
        </w:tc>
      </w:tr>
      <w:tr w14:paraId="701BE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6F499">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9C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22B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1E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宜居宜业和美乡村</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EB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定性</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BF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提高农民素质</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0F733">
            <w:pPr>
              <w:jc w:val="center"/>
              <w:rPr>
                <w:rFonts w:hint="eastAsia" w:ascii="宋体" w:hAnsi="宋体" w:eastAsia="宋体" w:cs="宋体"/>
                <w:i w:val="0"/>
                <w:iCs w:val="0"/>
                <w:color w:val="000000"/>
                <w:sz w:val="18"/>
                <w:szCs w:val="18"/>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A3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提高农民素质</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07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A8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4A0C2">
            <w:pPr>
              <w:jc w:val="center"/>
              <w:rPr>
                <w:rFonts w:hint="eastAsia" w:ascii="微软雅黑" w:hAnsi="微软雅黑" w:eastAsia="微软雅黑" w:cs="微软雅黑"/>
                <w:i/>
                <w:iCs/>
                <w:color w:val="000000"/>
                <w:sz w:val="16"/>
                <w:szCs w:val="16"/>
                <w:u w:val="none"/>
              </w:rPr>
            </w:pPr>
          </w:p>
        </w:tc>
      </w:tr>
      <w:tr w14:paraId="61340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224B5">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C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0F4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75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参赛人员及教练满意度</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25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BD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6B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273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6F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0A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C9822">
            <w:pPr>
              <w:jc w:val="center"/>
              <w:rPr>
                <w:rFonts w:hint="eastAsia" w:ascii="微软雅黑" w:hAnsi="微软雅黑" w:eastAsia="微软雅黑" w:cs="微软雅黑"/>
                <w:i/>
                <w:iCs/>
                <w:color w:val="000000"/>
                <w:sz w:val="16"/>
                <w:szCs w:val="16"/>
                <w:u w:val="none"/>
              </w:rPr>
            </w:pPr>
          </w:p>
        </w:tc>
      </w:tr>
      <w:tr w14:paraId="5A291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0C42B">
            <w:pPr>
              <w:jc w:val="center"/>
              <w:rPr>
                <w:rFonts w:hint="eastAsia" w:ascii="宋体" w:hAnsi="宋体" w:eastAsia="宋体" w:cs="宋体"/>
                <w:i w:val="0"/>
                <w:iCs w:val="0"/>
                <w:color w:val="000000"/>
                <w:sz w:val="18"/>
                <w:szCs w:val="18"/>
                <w:u w:val="none"/>
              </w:rPr>
            </w:pP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18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A6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F1A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教练工资</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B9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84E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AE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26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C2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F5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616BF">
            <w:pPr>
              <w:jc w:val="center"/>
              <w:rPr>
                <w:rFonts w:hint="eastAsia" w:ascii="微软雅黑" w:hAnsi="微软雅黑" w:eastAsia="微软雅黑" w:cs="微软雅黑"/>
                <w:i/>
                <w:iCs/>
                <w:color w:val="000000"/>
                <w:sz w:val="16"/>
                <w:szCs w:val="16"/>
                <w:u w:val="none"/>
              </w:rPr>
            </w:pPr>
          </w:p>
        </w:tc>
      </w:tr>
      <w:tr w14:paraId="42A99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AB66B">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AE952">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E9D5D">
            <w:pPr>
              <w:jc w:val="center"/>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46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参赛队员补助</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93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5F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6.5</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839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0E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45C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3FB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D12FD">
            <w:pPr>
              <w:jc w:val="center"/>
              <w:rPr>
                <w:rFonts w:hint="eastAsia" w:ascii="微软雅黑" w:hAnsi="微软雅黑" w:eastAsia="微软雅黑" w:cs="微软雅黑"/>
                <w:i/>
                <w:iCs/>
                <w:color w:val="000000"/>
                <w:sz w:val="16"/>
                <w:szCs w:val="16"/>
                <w:u w:val="none"/>
              </w:rPr>
            </w:pPr>
          </w:p>
        </w:tc>
      </w:tr>
      <w:tr w14:paraId="40CC4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09759">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99F20">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FE7E6">
            <w:pPr>
              <w:jc w:val="center"/>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E63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服装费及其他费用</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0E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D8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4.5</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B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4F7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4.5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05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56F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4275">
            <w:pPr>
              <w:jc w:val="center"/>
              <w:rPr>
                <w:rFonts w:hint="eastAsia" w:ascii="微软雅黑" w:hAnsi="微软雅黑" w:eastAsia="微软雅黑" w:cs="微软雅黑"/>
                <w:i/>
                <w:iCs/>
                <w:color w:val="000000"/>
                <w:sz w:val="16"/>
                <w:szCs w:val="16"/>
                <w:u w:val="none"/>
              </w:rPr>
            </w:pPr>
          </w:p>
        </w:tc>
      </w:tr>
      <w:tr w14:paraId="098EE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A941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88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4FA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1F576">
            <w:pPr>
              <w:rPr>
                <w:rFonts w:hint="eastAsia" w:ascii="宋体" w:hAnsi="宋体" w:eastAsia="宋体" w:cs="宋体"/>
                <w:i w:val="0"/>
                <w:iCs w:val="0"/>
                <w:color w:val="000000"/>
                <w:sz w:val="18"/>
                <w:szCs w:val="18"/>
                <w:u w:val="none"/>
              </w:rPr>
            </w:pPr>
          </w:p>
        </w:tc>
      </w:tr>
      <w:tr w14:paraId="016D2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B4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476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B38CE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该项目通过自评得分100分，等级为优。</w:t>
            </w:r>
          </w:p>
        </w:tc>
      </w:tr>
      <w:tr w14:paraId="172E9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C1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476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CDF0E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36C06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3D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476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3345A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03AD7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44225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245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0BFEA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bl>
    <w:p w14:paraId="101E4E64">
      <w:pPr>
        <w:rPr>
          <w:rFonts w:hint="eastAsia"/>
          <w:lang w:val="zh-CN"/>
        </w:rPr>
      </w:pPr>
      <w:r>
        <w:br w:type="page"/>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6"/>
        <w:gridCol w:w="1857"/>
        <w:gridCol w:w="1605"/>
        <w:gridCol w:w="2049"/>
        <w:gridCol w:w="474"/>
        <w:gridCol w:w="1517"/>
        <w:gridCol w:w="474"/>
        <w:gridCol w:w="993"/>
        <w:gridCol w:w="486"/>
        <w:gridCol w:w="584"/>
        <w:gridCol w:w="2317"/>
      </w:tblGrid>
      <w:tr w14:paraId="03BC2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A35E5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29F34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51C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404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81EF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51081124Y000011917635-2023年财政绩效评价奖金</w:t>
            </w:r>
          </w:p>
        </w:tc>
      </w:tr>
      <w:tr w14:paraId="19967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938A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23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1408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广元市昭化区乡村振兴局停用</w:t>
            </w:r>
          </w:p>
        </w:tc>
        <w:tc>
          <w:tcPr>
            <w:tcW w:w="381" w:type="pct"/>
            <w:tcBorders>
              <w:top w:val="nil"/>
              <w:left w:val="nil"/>
              <w:bottom w:val="nil"/>
              <w:right w:val="nil"/>
            </w:tcBorders>
            <w:shd w:val="clear" w:color="auto" w:fill="auto"/>
            <w:vAlign w:val="center"/>
          </w:tcPr>
          <w:p w14:paraId="57DE9EA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3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508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广元市昭化区乡村振兴局（停用）</w:t>
            </w:r>
          </w:p>
        </w:tc>
      </w:tr>
      <w:tr w14:paraId="39845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9B6C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7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3545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23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93D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16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F9E4F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44302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23CF2">
            <w:pPr>
              <w:rPr>
                <w:rFonts w:hint="eastAsia" w:ascii="宋体" w:hAnsi="宋体" w:eastAsia="宋体" w:cs="宋体"/>
                <w:i w:val="0"/>
                <w:iCs w:val="0"/>
                <w:color w:val="000000"/>
                <w:sz w:val="18"/>
                <w:szCs w:val="18"/>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6BF25">
            <w:pPr>
              <w:rPr>
                <w:rFonts w:hint="eastAsia" w:ascii="宋体" w:hAnsi="宋体" w:eastAsia="宋体" w:cs="宋体"/>
                <w:i w:val="0"/>
                <w:iCs w:val="0"/>
                <w:color w:val="000000"/>
                <w:sz w:val="18"/>
                <w:szCs w:val="18"/>
                <w:u w:val="none"/>
              </w:rPr>
            </w:pPr>
          </w:p>
        </w:tc>
        <w:tc>
          <w:tcPr>
            <w:tcW w:w="23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24A2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每月下乡指标乡村振兴项目工作不少3次，指导项目工作的规范率95%，处理工作的及时率95%，工作提升得到认可率95%。差旅费控制在1.1万元内，镇及村社干部满意度95%。</w:t>
            </w:r>
          </w:p>
        </w:tc>
        <w:tc>
          <w:tcPr>
            <w:tcW w:w="16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9FB1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每月下乡指标乡村振兴项目工作不少3次，指导项目工作的规范率95%，处理工作的及时率95%，工作提升得到认可率95%。差旅费控制在1.1万元内，镇及村社干部满意度95%。</w:t>
            </w:r>
          </w:p>
        </w:tc>
      </w:tr>
      <w:tr w14:paraId="73CEC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B9E95">
            <w:pP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03B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404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4DA4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每月下乡指</w:t>
            </w:r>
            <w:r>
              <w:rPr>
                <w:rFonts w:hint="eastAsia" w:ascii="宋体" w:hAnsi="宋体" w:cs="宋体"/>
                <w:i w:val="0"/>
                <w:iCs w:val="0"/>
                <w:color w:val="000000"/>
                <w:kern w:val="0"/>
                <w:sz w:val="18"/>
                <w:szCs w:val="18"/>
                <w:u w:val="none"/>
                <w:lang w:val="en-US" w:eastAsia="zh-CN"/>
              </w:rPr>
              <w:t>导</w:t>
            </w:r>
            <w:r>
              <w:rPr>
                <w:rFonts w:ascii="宋体" w:hAnsi="宋体" w:eastAsia="宋体" w:cs="宋体"/>
                <w:i w:val="0"/>
                <w:iCs w:val="0"/>
                <w:color w:val="000000"/>
                <w:kern w:val="0"/>
                <w:sz w:val="18"/>
                <w:szCs w:val="18"/>
                <w:u w:val="none"/>
                <w:lang w:val="en-US" w:eastAsia="zh-CN"/>
              </w:rPr>
              <w:t>乡村振兴项目工作不少</w:t>
            </w:r>
            <w:r>
              <w:rPr>
                <w:rFonts w:hint="eastAsia" w:ascii="宋体" w:hAnsi="宋体" w:cs="宋体"/>
                <w:i w:val="0"/>
                <w:iCs w:val="0"/>
                <w:color w:val="000000"/>
                <w:kern w:val="0"/>
                <w:sz w:val="18"/>
                <w:szCs w:val="18"/>
                <w:u w:val="none"/>
                <w:lang w:val="en-US" w:eastAsia="zh-CN"/>
              </w:rPr>
              <w:t>于</w:t>
            </w:r>
            <w:r>
              <w:rPr>
                <w:rFonts w:ascii="宋体" w:hAnsi="宋体" w:eastAsia="宋体" w:cs="宋体"/>
                <w:i w:val="0"/>
                <w:iCs w:val="0"/>
                <w:color w:val="000000"/>
                <w:kern w:val="0"/>
                <w:sz w:val="18"/>
                <w:szCs w:val="18"/>
                <w:u w:val="none"/>
                <w:lang w:val="en-US" w:eastAsia="zh-CN"/>
              </w:rPr>
              <w:t>3次，指导项目工作的规范率95%，处理工作的及时率95%，工作提升得到认可率95%。差旅费控制在1.1万元内，镇及村社干部满意度95%。</w:t>
            </w:r>
          </w:p>
        </w:tc>
      </w:tr>
      <w:tr w14:paraId="52CEA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BAB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7B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7E0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6E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9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D7F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12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D4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98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B97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53CA0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CB368">
            <w:pPr>
              <w:jc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AA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8DB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39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1.10</w:t>
            </w:r>
          </w:p>
        </w:tc>
        <w:tc>
          <w:tcPr>
            <w:tcW w:w="9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2D8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8E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F9E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95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8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3438F">
            <w:pPr>
              <w:rPr>
                <w:rFonts w:hint="eastAsia" w:ascii="黑体" w:hAnsi="黑体" w:eastAsia="黑体" w:cs="黑体"/>
                <w:i/>
                <w:iCs/>
                <w:color w:val="000000"/>
                <w:sz w:val="18"/>
                <w:szCs w:val="18"/>
                <w:u w:val="none"/>
              </w:rPr>
            </w:pPr>
          </w:p>
        </w:tc>
      </w:tr>
      <w:tr w14:paraId="0AE26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7A91C">
            <w:pPr>
              <w:jc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37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FB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7D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1.10</w:t>
            </w:r>
          </w:p>
        </w:tc>
        <w:tc>
          <w:tcPr>
            <w:tcW w:w="9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6C5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099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BF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03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CBA18">
            <w:pPr>
              <w:rPr>
                <w:rFonts w:hint="eastAsia" w:ascii="黑体" w:hAnsi="黑体" w:eastAsia="黑体" w:cs="黑体"/>
                <w:i/>
                <w:iCs/>
                <w:color w:val="000000"/>
                <w:sz w:val="18"/>
                <w:szCs w:val="18"/>
                <w:u w:val="none"/>
              </w:rPr>
            </w:pPr>
          </w:p>
        </w:tc>
      </w:tr>
      <w:tr w14:paraId="30B10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A78C2">
            <w:pPr>
              <w:jc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A84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0F8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4D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5C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36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30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45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59FB6">
            <w:pPr>
              <w:rPr>
                <w:rFonts w:hint="eastAsia" w:ascii="黑体" w:hAnsi="黑体" w:eastAsia="黑体" w:cs="黑体"/>
                <w:i/>
                <w:iCs/>
                <w:color w:val="000000"/>
                <w:sz w:val="18"/>
                <w:szCs w:val="18"/>
                <w:u w:val="none"/>
              </w:rPr>
            </w:pPr>
          </w:p>
        </w:tc>
      </w:tr>
      <w:tr w14:paraId="06212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C903F">
            <w:pPr>
              <w:jc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32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A77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92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DE4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CE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77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D4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8B5FB">
            <w:pPr>
              <w:rPr>
                <w:rFonts w:hint="eastAsia" w:ascii="黑体" w:hAnsi="黑体" w:eastAsia="黑体" w:cs="黑体"/>
                <w:i/>
                <w:iCs/>
                <w:color w:val="000000"/>
                <w:sz w:val="18"/>
                <w:szCs w:val="18"/>
                <w:u w:val="none"/>
              </w:rPr>
            </w:pPr>
          </w:p>
        </w:tc>
      </w:tr>
      <w:tr w14:paraId="2641B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F9392">
            <w:pPr>
              <w:jc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26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0965B">
            <w:pPr>
              <w:jc w:val="center"/>
              <w:rPr>
                <w:rFonts w:hint="eastAsia" w:ascii="微软雅黑" w:hAnsi="微软雅黑" w:eastAsia="微软雅黑" w:cs="微软雅黑"/>
                <w:i/>
                <w:iCs/>
                <w:color w:val="000000"/>
                <w:sz w:val="16"/>
                <w:szCs w:val="16"/>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B12BC">
            <w:pPr>
              <w:jc w:val="center"/>
              <w:rPr>
                <w:rFonts w:hint="eastAsia" w:ascii="微软雅黑" w:hAnsi="微软雅黑" w:eastAsia="微软雅黑" w:cs="微软雅黑"/>
                <w:i/>
                <w:iCs/>
                <w:color w:val="000000"/>
                <w:sz w:val="16"/>
                <w:szCs w:val="16"/>
                <w:u w:val="none"/>
              </w:rPr>
            </w:pPr>
          </w:p>
        </w:tc>
        <w:tc>
          <w:tcPr>
            <w:tcW w:w="9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5019C7">
            <w:pPr>
              <w:jc w:val="center"/>
              <w:rPr>
                <w:rFonts w:hint="eastAsia" w:ascii="微软雅黑" w:hAnsi="微软雅黑" w:eastAsia="微软雅黑" w:cs="微软雅黑"/>
                <w:i/>
                <w:iCs/>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62CEC">
            <w:pPr>
              <w:jc w:val="center"/>
              <w:rPr>
                <w:rFonts w:hint="eastAsia" w:ascii="微软雅黑" w:hAnsi="微软雅黑" w:eastAsia="微软雅黑" w:cs="微软雅黑"/>
                <w:i/>
                <w:iCs/>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ECA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407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8F0CB">
            <w:pPr>
              <w:rPr>
                <w:rFonts w:hint="eastAsia" w:ascii="黑体" w:hAnsi="黑体" w:eastAsia="黑体" w:cs="黑体"/>
                <w:i/>
                <w:iCs/>
                <w:color w:val="000000"/>
                <w:sz w:val="18"/>
                <w:szCs w:val="18"/>
                <w:u w:val="none"/>
              </w:rPr>
            </w:pPr>
          </w:p>
        </w:tc>
      </w:tr>
      <w:tr w14:paraId="217F0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EE8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7B0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4CC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6E4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B6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51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9C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9E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A8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2E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E8C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2ED88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5BB0A">
            <w:pPr>
              <w:jc w:val="center"/>
              <w:rPr>
                <w:rFonts w:hint="eastAsia" w:ascii="宋体" w:hAnsi="宋体" w:eastAsia="宋体" w:cs="宋体"/>
                <w:i w:val="0"/>
                <w:iCs w:val="0"/>
                <w:color w:val="000000"/>
                <w:sz w:val="18"/>
                <w:szCs w:val="18"/>
                <w:u w:val="none"/>
              </w:rPr>
            </w:pPr>
          </w:p>
        </w:tc>
        <w:tc>
          <w:tcPr>
            <w:tcW w:w="7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A6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C9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F7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指导乡村振兴项目工作的次数</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68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8B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27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天/月</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A1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A3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F9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9488E">
            <w:pPr>
              <w:jc w:val="center"/>
              <w:rPr>
                <w:rFonts w:hint="eastAsia" w:ascii="微软雅黑" w:hAnsi="微软雅黑" w:eastAsia="微软雅黑" w:cs="微软雅黑"/>
                <w:i/>
                <w:iCs/>
                <w:color w:val="000000"/>
                <w:sz w:val="16"/>
                <w:szCs w:val="16"/>
                <w:u w:val="none"/>
              </w:rPr>
            </w:pPr>
          </w:p>
        </w:tc>
      </w:tr>
      <w:tr w14:paraId="5C2AF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242A7">
            <w:pPr>
              <w:jc w:val="center"/>
              <w:rPr>
                <w:rFonts w:hint="eastAsia" w:ascii="宋体" w:hAnsi="宋体" w:eastAsia="宋体" w:cs="宋体"/>
                <w:i w:val="0"/>
                <w:iCs w:val="0"/>
                <w:color w:val="000000"/>
                <w:sz w:val="18"/>
                <w:szCs w:val="18"/>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C8E06">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5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质量指标</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C1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指导项目工作的规范率</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CE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A1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54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08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D2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B3D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41169">
            <w:pPr>
              <w:jc w:val="center"/>
              <w:rPr>
                <w:rFonts w:hint="eastAsia" w:ascii="微软雅黑" w:hAnsi="微软雅黑" w:eastAsia="微软雅黑" w:cs="微软雅黑"/>
                <w:i/>
                <w:iCs/>
                <w:color w:val="000000"/>
                <w:sz w:val="16"/>
                <w:szCs w:val="16"/>
                <w:u w:val="none"/>
              </w:rPr>
            </w:pPr>
          </w:p>
        </w:tc>
      </w:tr>
      <w:tr w14:paraId="52B93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05635">
            <w:pPr>
              <w:jc w:val="center"/>
              <w:rPr>
                <w:rFonts w:hint="eastAsia" w:ascii="宋体" w:hAnsi="宋体" w:eastAsia="宋体" w:cs="宋体"/>
                <w:i w:val="0"/>
                <w:iCs w:val="0"/>
                <w:color w:val="000000"/>
                <w:sz w:val="18"/>
                <w:szCs w:val="18"/>
                <w:u w:val="none"/>
              </w:rPr>
            </w:pPr>
          </w:p>
        </w:tc>
        <w:tc>
          <w:tcPr>
            <w:tcW w:w="7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0164C">
            <w:pPr>
              <w:jc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4A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时效指标</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3C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处理工作的及时率</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F0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F70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D6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25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CC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E16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760BB">
            <w:pPr>
              <w:jc w:val="center"/>
              <w:rPr>
                <w:rFonts w:hint="eastAsia" w:ascii="微软雅黑" w:hAnsi="微软雅黑" w:eastAsia="微软雅黑" w:cs="微软雅黑"/>
                <w:i/>
                <w:iCs/>
                <w:color w:val="000000"/>
                <w:sz w:val="16"/>
                <w:szCs w:val="16"/>
                <w:u w:val="none"/>
              </w:rPr>
            </w:pPr>
          </w:p>
        </w:tc>
      </w:tr>
      <w:tr w14:paraId="61CE4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DA4F5">
            <w:pPr>
              <w:jc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B5E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5D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社会效益指标</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D0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工作提升得到认可率</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B1C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CEB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AD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5F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33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FF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20</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7D60">
            <w:pPr>
              <w:jc w:val="center"/>
              <w:rPr>
                <w:rFonts w:hint="eastAsia" w:ascii="微软雅黑" w:hAnsi="微软雅黑" w:eastAsia="微软雅黑" w:cs="微软雅黑"/>
                <w:i/>
                <w:iCs/>
                <w:color w:val="000000"/>
                <w:sz w:val="16"/>
                <w:szCs w:val="16"/>
                <w:u w:val="none"/>
              </w:rPr>
            </w:pPr>
          </w:p>
        </w:tc>
      </w:tr>
      <w:tr w14:paraId="0622D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13EE4">
            <w:pPr>
              <w:jc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7AA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D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DC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镇及村社干部的满意度</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C20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D9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B7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16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D7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51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81FFE">
            <w:pPr>
              <w:jc w:val="center"/>
              <w:rPr>
                <w:rFonts w:hint="eastAsia" w:ascii="微软雅黑" w:hAnsi="微软雅黑" w:eastAsia="微软雅黑" w:cs="微软雅黑"/>
                <w:i/>
                <w:iCs/>
                <w:color w:val="000000"/>
                <w:sz w:val="16"/>
                <w:szCs w:val="16"/>
                <w:u w:val="none"/>
              </w:rPr>
            </w:pPr>
          </w:p>
        </w:tc>
      </w:tr>
      <w:tr w14:paraId="1848A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29662">
            <w:pPr>
              <w:jc w:val="center"/>
              <w:rPr>
                <w:rFonts w:hint="eastAsia" w:ascii="宋体" w:hAnsi="宋体" w:eastAsia="宋体" w:cs="宋体"/>
                <w:i w:val="0"/>
                <w:iCs w:val="0"/>
                <w:color w:val="000000"/>
                <w:sz w:val="18"/>
                <w:szCs w:val="18"/>
                <w:u w:val="none"/>
              </w:rPr>
            </w:pPr>
          </w:p>
        </w:tc>
        <w:tc>
          <w:tcPr>
            <w:tcW w:w="7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A9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4D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EF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差旅费控制数</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D3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344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CA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59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AA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62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B5267">
            <w:pPr>
              <w:jc w:val="center"/>
              <w:rPr>
                <w:rFonts w:hint="eastAsia" w:ascii="微软雅黑" w:hAnsi="微软雅黑" w:eastAsia="微软雅黑" w:cs="微软雅黑"/>
                <w:i/>
                <w:iCs/>
                <w:color w:val="000000"/>
                <w:sz w:val="16"/>
                <w:szCs w:val="16"/>
                <w:u w:val="none"/>
              </w:rPr>
            </w:pPr>
          </w:p>
        </w:tc>
      </w:tr>
      <w:tr w14:paraId="46940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5C28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7A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6C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60FE4">
            <w:pPr>
              <w:rPr>
                <w:rFonts w:hint="eastAsia" w:ascii="宋体" w:hAnsi="宋体" w:eastAsia="宋体" w:cs="宋体"/>
                <w:i w:val="0"/>
                <w:iCs w:val="0"/>
                <w:color w:val="000000"/>
                <w:sz w:val="18"/>
                <w:szCs w:val="18"/>
                <w:u w:val="none"/>
              </w:rPr>
            </w:pPr>
          </w:p>
        </w:tc>
      </w:tr>
      <w:tr w14:paraId="7C92B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C0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47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8629C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该项目通过自评得分100分，等级为优。</w:t>
            </w:r>
          </w:p>
        </w:tc>
      </w:tr>
      <w:tr w14:paraId="1A35C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3D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47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D6257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29466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05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47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70885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6E9EC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2E173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245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19B1F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bl>
    <w:p w14:paraId="2911D686">
      <w:pPr>
        <w:rPr>
          <w:rFonts w:hint="eastAsia"/>
          <w:lang w:val="zh-CN"/>
        </w:rPr>
      </w:pPr>
      <w:r>
        <w:br w:type="page"/>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9"/>
        <w:gridCol w:w="1857"/>
        <w:gridCol w:w="1605"/>
        <w:gridCol w:w="2049"/>
        <w:gridCol w:w="474"/>
        <w:gridCol w:w="1517"/>
        <w:gridCol w:w="471"/>
        <w:gridCol w:w="990"/>
        <w:gridCol w:w="487"/>
        <w:gridCol w:w="584"/>
        <w:gridCol w:w="2319"/>
      </w:tblGrid>
      <w:tr w14:paraId="5200E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CFCD1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rPr>
              <w:t>部门预算项目支出绩效自评表（2024年度）</w:t>
            </w:r>
          </w:p>
        </w:tc>
      </w:tr>
      <w:tr w14:paraId="637FC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243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项目名称</w:t>
            </w:r>
          </w:p>
        </w:tc>
        <w:tc>
          <w:tcPr>
            <w:tcW w:w="404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2DF2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51081125T000012603536-广财农（2024）69号2024年省级财政衔接推进乡村振兴补助资金</w:t>
            </w:r>
          </w:p>
        </w:tc>
      </w:tr>
      <w:tr w14:paraId="1989B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6C8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主管部门</w:t>
            </w:r>
          </w:p>
        </w:tc>
        <w:tc>
          <w:tcPr>
            <w:tcW w:w="23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6BD2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广元市昭化区乡村振兴局停用</w:t>
            </w:r>
          </w:p>
        </w:tc>
        <w:tc>
          <w:tcPr>
            <w:tcW w:w="381" w:type="pct"/>
            <w:tcBorders>
              <w:top w:val="nil"/>
              <w:left w:val="nil"/>
              <w:bottom w:val="nil"/>
              <w:right w:val="nil"/>
            </w:tcBorders>
            <w:shd w:val="clear" w:color="auto" w:fill="auto"/>
            <w:vAlign w:val="center"/>
          </w:tcPr>
          <w:p w14:paraId="567E811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实施单位 （盖章）</w:t>
            </w:r>
          </w:p>
        </w:tc>
        <w:tc>
          <w:tcPr>
            <w:tcW w:w="13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D5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广元市昭化区乡村振兴局（停用）</w:t>
            </w:r>
          </w:p>
        </w:tc>
      </w:tr>
      <w:tr w14:paraId="4A050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62E0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项目基本情况</w:t>
            </w: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253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1.项目年度目标完成情况</w:t>
            </w:r>
          </w:p>
        </w:tc>
        <w:tc>
          <w:tcPr>
            <w:tcW w:w="23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CE4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项目年度目标</w:t>
            </w:r>
          </w:p>
        </w:tc>
        <w:tc>
          <w:tcPr>
            <w:tcW w:w="16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42845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年度目标完成情况</w:t>
            </w:r>
          </w:p>
        </w:tc>
      </w:tr>
      <w:tr w14:paraId="405F5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46EFA">
            <w:pP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472D9">
            <w:pPr>
              <w:rPr>
                <w:rFonts w:hint="eastAsia" w:ascii="宋体" w:hAnsi="宋体" w:eastAsia="宋体" w:cs="宋体"/>
                <w:i w:val="0"/>
                <w:iCs w:val="0"/>
                <w:color w:val="000000"/>
                <w:sz w:val="18"/>
                <w:szCs w:val="18"/>
                <w:u w:val="none"/>
              </w:rPr>
            </w:pPr>
          </w:p>
        </w:tc>
        <w:tc>
          <w:tcPr>
            <w:tcW w:w="23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16C5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硬化道路5公里，产业路1000米，使产业园亩增收500元以上，产业园区老百姓的满意度95%以上，总投资控制在100万元。</w:t>
            </w:r>
          </w:p>
        </w:tc>
        <w:tc>
          <w:tcPr>
            <w:tcW w:w="168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8792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硬化道路5公里，产业路1000米，使产业园亩增收500元以上，产业园区老百姓的满意度95%以上，总投资控制在100万元。</w:t>
            </w:r>
          </w:p>
        </w:tc>
      </w:tr>
      <w:tr w14:paraId="69248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7B50D">
            <w:pP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0F5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2.项目实施内容及过程概述</w:t>
            </w:r>
          </w:p>
        </w:tc>
        <w:tc>
          <w:tcPr>
            <w:tcW w:w="404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A5F5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硬化道路5公里，产业路1000米，使产业园亩增收500元以上，产业园区老百姓的满意度95%以上，总投资控制在100万元。</w:t>
            </w:r>
          </w:p>
        </w:tc>
      </w:tr>
      <w:tr w14:paraId="22477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041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预算执行情况（10分）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42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年度预算数（万元）</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B3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年初预算</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8F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调整后预算数</w:t>
            </w:r>
          </w:p>
        </w:tc>
        <w:tc>
          <w:tcPr>
            <w:tcW w:w="9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D06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预算执行数</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99D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预算执行率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09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CD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27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原因</w:t>
            </w:r>
          </w:p>
        </w:tc>
      </w:tr>
      <w:tr w14:paraId="13757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78C41">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36A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总额</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B8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48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66.33</w:t>
            </w:r>
          </w:p>
        </w:tc>
        <w:tc>
          <w:tcPr>
            <w:tcW w:w="9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D4E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66.33</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BB9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A1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88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w:t>
            </w:r>
          </w:p>
        </w:tc>
        <w:tc>
          <w:tcPr>
            <w:tcW w:w="8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84025">
            <w:pPr>
              <w:rPr>
                <w:rFonts w:hint="eastAsia" w:ascii="黑体" w:hAnsi="黑体" w:eastAsia="黑体" w:cs="黑体"/>
                <w:i/>
                <w:iCs/>
                <w:color w:val="000000"/>
                <w:sz w:val="18"/>
                <w:szCs w:val="18"/>
                <w:u w:val="none"/>
              </w:rPr>
            </w:pPr>
          </w:p>
        </w:tc>
      </w:tr>
      <w:tr w14:paraId="30DE4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42F94">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BC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其中：财政资金</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35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15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66.33</w:t>
            </w:r>
          </w:p>
        </w:tc>
        <w:tc>
          <w:tcPr>
            <w:tcW w:w="9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EA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66.33</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039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DC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010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455D0">
            <w:pPr>
              <w:rPr>
                <w:rFonts w:hint="eastAsia" w:ascii="黑体" w:hAnsi="黑体" w:eastAsia="黑体" w:cs="黑体"/>
                <w:i/>
                <w:iCs/>
                <w:color w:val="000000"/>
                <w:sz w:val="18"/>
                <w:szCs w:val="18"/>
                <w:u w:val="none"/>
              </w:rPr>
            </w:pPr>
          </w:p>
        </w:tc>
      </w:tr>
      <w:tr w14:paraId="7B6D4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AF00D">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67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财政专户管理资金</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82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C0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F92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527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5B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CEA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E6E12">
            <w:pPr>
              <w:rPr>
                <w:rFonts w:hint="eastAsia" w:ascii="黑体" w:hAnsi="黑体" w:eastAsia="黑体" w:cs="黑体"/>
                <w:i/>
                <w:iCs/>
                <w:color w:val="000000"/>
                <w:sz w:val="18"/>
                <w:szCs w:val="18"/>
                <w:u w:val="none"/>
              </w:rPr>
            </w:pPr>
          </w:p>
        </w:tc>
      </w:tr>
      <w:tr w14:paraId="2DB01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A6CDD">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62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单位资金</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C3F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4D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9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489A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7F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66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76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1F39F">
            <w:pPr>
              <w:rPr>
                <w:rFonts w:hint="eastAsia" w:ascii="黑体" w:hAnsi="黑体" w:eastAsia="黑体" w:cs="黑体"/>
                <w:i/>
                <w:iCs/>
                <w:color w:val="000000"/>
                <w:sz w:val="18"/>
                <w:szCs w:val="18"/>
                <w:u w:val="none"/>
              </w:rPr>
            </w:pPr>
          </w:p>
        </w:tc>
      </w:tr>
      <w:tr w14:paraId="2E203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2102F">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FD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其他资金</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7177B">
            <w:pPr>
              <w:jc w:val="center"/>
              <w:rPr>
                <w:rFonts w:hint="eastAsia" w:ascii="微软雅黑" w:hAnsi="微软雅黑" w:eastAsia="微软雅黑" w:cs="微软雅黑"/>
                <w:i/>
                <w:iCs/>
                <w:color w:val="000000"/>
                <w:sz w:val="16"/>
                <w:szCs w:val="16"/>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8BD31">
            <w:pPr>
              <w:jc w:val="center"/>
              <w:rPr>
                <w:rFonts w:hint="eastAsia" w:ascii="微软雅黑" w:hAnsi="微软雅黑" w:eastAsia="微软雅黑" w:cs="微软雅黑"/>
                <w:i/>
                <w:iCs/>
                <w:color w:val="000000"/>
                <w:sz w:val="16"/>
                <w:szCs w:val="16"/>
                <w:u w:val="none"/>
              </w:rPr>
            </w:pPr>
          </w:p>
        </w:tc>
        <w:tc>
          <w:tcPr>
            <w:tcW w:w="95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A263B0">
            <w:pPr>
              <w:jc w:val="center"/>
              <w:rPr>
                <w:rFonts w:hint="eastAsia" w:ascii="微软雅黑" w:hAnsi="微软雅黑" w:eastAsia="微软雅黑" w:cs="微软雅黑"/>
                <w:i/>
                <w:iCs/>
                <w:color w:val="000000"/>
                <w:sz w:val="16"/>
                <w:szCs w:val="16"/>
                <w:u w:val="none"/>
              </w:rPr>
            </w:pP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27CED">
            <w:pPr>
              <w:jc w:val="center"/>
              <w:rPr>
                <w:rFonts w:hint="eastAsia" w:ascii="微软雅黑" w:hAnsi="微软雅黑" w:eastAsia="微软雅黑" w:cs="微软雅黑"/>
                <w:i/>
                <w:iCs/>
                <w:color w:val="000000"/>
                <w:sz w:val="16"/>
                <w:szCs w:val="16"/>
                <w:u w:val="none"/>
              </w:rPr>
            </w:pP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5A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92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8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36062">
            <w:pPr>
              <w:rPr>
                <w:rFonts w:hint="eastAsia" w:ascii="黑体" w:hAnsi="黑体" w:eastAsia="黑体" w:cs="黑体"/>
                <w:i/>
                <w:iCs/>
                <w:color w:val="000000"/>
                <w:sz w:val="18"/>
                <w:szCs w:val="18"/>
                <w:u w:val="none"/>
              </w:rPr>
            </w:pPr>
          </w:p>
        </w:tc>
      </w:tr>
      <w:tr w14:paraId="72207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72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绩效指标（90分）</w:t>
            </w: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74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一级指标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7F2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二级指标</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85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三级指标</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B6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指标性质</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42C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指标值</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53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度量单位</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49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完成值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FE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权重</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55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得分</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D80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未完成原因分析</w:t>
            </w:r>
          </w:p>
        </w:tc>
      </w:tr>
      <w:tr w14:paraId="36D83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FE8AE">
            <w:pPr>
              <w:jc w:val="center"/>
              <w:rPr>
                <w:rFonts w:hint="eastAsia" w:ascii="宋体" w:hAnsi="宋体" w:eastAsia="宋体" w:cs="宋体"/>
                <w:i w:val="0"/>
                <w:iCs w:val="0"/>
                <w:color w:val="000000"/>
                <w:sz w:val="18"/>
                <w:szCs w:val="18"/>
                <w:u w:val="none"/>
              </w:rPr>
            </w:pPr>
          </w:p>
        </w:tc>
        <w:tc>
          <w:tcPr>
            <w:tcW w:w="7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E36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产出指标</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3D0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数量指标</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E0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硬化道路</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AD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BE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B53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公里</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F8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BF1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3A0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E42B8">
            <w:pPr>
              <w:jc w:val="center"/>
              <w:rPr>
                <w:rFonts w:hint="eastAsia" w:ascii="微软雅黑" w:hAnsi="微软雅黑" w:eastAsia="微软雅黑" w:cs="微软雅黑"/>
                <w:i/>
                <w:iCs/>
                <w:color w:val="000000"/>
                <w:sz w:val="16"/>
                <w:szCs w:val="16"/>
                <w:u w:val="none"/>
              </w:rPr>
            </w:pPr>
          </w:p>
        </w:tc>
      </w:tr>
      <w:tr w14:paraId="28A75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7119D">
            <w:pPr>
              <w:jc w:val="center"/>
              <w:rPr>
                <w:rFonts w:hint="eastAsia" w:ascii="宋体" w:hAnsi="宋体" w:eastAsia="宋体" w:cs="宋体"/>
                <w:i w:val="0"/>
                <w:iCs w:val="0"/>
                <w:color w:val="000000"/>
                <w:sz w:val="18"/>
                <w:szCs w:val="18"/>
                <w:u w:val="none"/>
              </w:rPr>
            </w:pPr>
          </w:p>
        </w:tc>
        <w:tc>
          <w:tcPr>
            <w:tcW w:w="7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9B64C">
            <w:pPr>
              <w:jc w:val="center"/>
              <w:rPr>
                <w:rFonts w:hint="eastAsia" w:ascii="宋体" w:hAnsi="宋体" w:eastAsia="宋体" w:cs="宋体"/>
                <w:i w:val="0"/>
                <w:iCs w:val="0"/>
                <w:color w:val="000000"/>
                <w:sz w:val="18"/>
                <w:szCs w:val="18"/>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64B1C">
            <w:pPr>
              <w:jc w:val="center"/>
              <w:rPr>
                <w:rFonts w:hint="eastAsia" w:ascii="宋体" w:hAnsi="宋体" w:eastAsia="宋体" w:cs="宋体"/>
                <w:i w:val="0"/>
                <w:iCs w:val="0"/>
                <w:color w:val="000000"/>
                <w:sz w:val="18"/>
                <w:szCs w:val="18"/>
                <w:u w:val="none"/>
              </w:rPr>
            </w:pP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16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产业路</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B2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C2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C3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米</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12F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53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A5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25</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07C01">
            <w:pPr>
              <w:jc w:val="center"/>
              <w:rPr>
                <w:rFonts w:hint="eastAsia" w:ascii="微软雅黑" w:hAnsi="微软雅黑" w:eastAsia="微软雅黑" w:cs="微软雅黑"/>
                <w:i/>
                <w:iCs/>
                <w:color w:val="000000"/>
                <w:sz w:val="16"/>
                <w:szCs w:val="16"/>
                <w:u w:val="none"/>
              </w:rPr>
            </w:pPr>
          </w:p>
        </w:tc>
      </w:tr>
      <w:tr w14:paraId="45D9E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62001">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33E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效益指标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8A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经济效益指标</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DE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产业园亩增收</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EF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81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A1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元</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65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06B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EF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30</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849E6">
            <w:pPr>
              <w:jc w:val="center"/>
              <w:rPr>
                <w:rFonts w:hint="eastAsia" w:ascii="微软雅黑" w:hAnsi="微软雅黑" w:eastAsia="微软雅黑" w:cs="微软雅黑"/>
                <w:i/>
                <w:iCs/>
                <w:color w:val="000000"/>
                <w:sz w:val="16"/>
                <w:szCs w:val="16"/>
                <w:u w:val="none"/>
              </w:rPr>
            </w:pPr>
          </w:p>
        </w:tc>
      </w:tr>
      <w:tr w14:paraId="1B1AA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B4074">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AF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满意度指标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CC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服务对象满意度指标</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D3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产业园区老百姓的满意度</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68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8B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9D9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0A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56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96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A6302">
            <w:pPr>
              <w:jc w:val="center"/>
              <w:rPr>
                <w:rFonts w:hint="eastAsia" w:ascii="微软雅黑" w:hAnsi="微软雅黑" w:eastAsia="微软雅黑" w:cs="微软雅黑"/>
                <w:i/>
                <w:iCs/>
                <w:color w:val="000000"/>
                <w:sz w:val="16"/>
                <w:szCs w:val="16"/>
                <w:u w:val="none"/>
              </w:rPr>
            </w:pPr>
          </w:p>
        </w:tc>
      </w:tr>
      <w:tr w14:paraId="7783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0C429">
            <w:pPr>
              <w:jc w:val="center"/>
              <w:rPr>
                <w:rFonts w:hint="eastAsia" w:ascii="宋体" w:hAnsi="宋体" w:eastAsia="宋体" w:cs="宋体"/>
                <w:i w:val="0"/>
                <w:iCs w:val="0"/>
                <w:color w:val="000000"/>
                <w:sz w:val="18"/>
                <w:szCs w:val="18"/>
                <w:u w:val="none"/>
              </w:rPr>
            </w:pPr>
          </w:p>
        </w:tc>
        <w:tc>
          <w:tcPr>
            <w:tcW w:w="7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F87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成本指标</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C6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经济成本指标</w:t>
            </w:r>
          </w:p>
        </w:tc>
        <w:tc>
          <w:tcPr>
            <w:tcW w:w="7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643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总投资控制数</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5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w:t>
            </w:r>
          </w:p>
        </w:tc>
        <w:tc>
          <w:tcPr>
            <w:tcW w:w="5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F0D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66.33</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DA3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万元</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72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BC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EF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5</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605D2">
            <w:pPr>
              <w:jc w:val="center"/>
              <w:rPr>
                <w:rFonts w:hint="eastAsia" w:ascii="微软雅黑" w:hAnsi="微软雅黑" w:eastAsia="微软雅黑" w:cs="微软雅黑"/>
                <w:i/>
                <w:iCs/>
                <w:color w:val="000000"/>
                <w:sz w:val="16"/>
                <w:szCs w:val="16"/>
                <w:u w:val="none"/>
              </w:rPr>
            </w:pPr>
          </w:p>
        </w:tc>
      </w:tr>
      <w:tr w14:paraId="6F4C8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9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121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合计</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C4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E0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100</w:t>
            </w:r>
          </w:p>
        </w:tc>
        <w:tc>
          <w:tcPr>
            <w:tcW w:w="8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AF77D">
            <w:pPr>
              <w:rPr>
                <w:rFonts w:hint="eastAsia" w:ascii="宋体" w:hAnsi="宋体" w:eastAsia="宋体" w:cs="宋体"/>
                <w:i w:val="0"/>
                <w:iCs w:val="0"/>
                <w:color w:val="000000"/>
                <w:sz w:val="18"/>
                <w:szCs w:val="18"/>
                <w:u w:val="none"/>
              </w:rPr>
            </w:pPr>
          </w:p>
        </w:tc>
      </w:tr>
      <w:tr w14:paraId="0220C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28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评价结论</w:t>
            </w:r>
          </w:p>
        </w:tc>
        <w:tc>
          <w:tcPr>
            <w:tcW w:w="476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63F69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该项目通过自评得分100分，等级为优。</w:t>
            </w:r>
          </w:p>
        </w:tc>
      </w:tr>
      <w:tr w14:paraId="42D2D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95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存在问题</w:t>
            </w:r>
          </w:p>
        </w:tc>
        <w:tc>
          <w:tcPr>
            <w:tcW w:w="476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7EAEF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3BB33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8C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rPr>
              <w:t>改进措施</w:t>
            </w:r>
          </w:p>
        </w:tc>
        <w:tc>
          <w:tcPr>
            <w:tcW w:w="476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1968A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rPr>
              <w:t>无。</w:t>
            </w:r>
          </w:p>
        </w:tc>
      </w:tr>
      <w:tr w14:paraId="6AA5E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9E0DF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项目负责人：</w:t>
            </w:r>
          </w:p>
        </w:tc>
        <w:tc>
          <w:tcPr>
            <w:tcW w:w="245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3582C4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rPr>
              <w:t>财务负责人：</w:t>
            </w:r>
          </w:p>
        </w:tc>
      </w:tr>
    </w:tbl>
    <w:p w14:paraId="4AFCE172">
      <w:pPr>
        <w:pStyle w:val="5"/>
        <w:rPr>
          <w:rFonts w:hint="eastAsia"/>
          <w:lang w:val="zh-CN"/>
        </w:rPr>
      </w:pPr>
    </w:p>
    <w:p w14:paraId="2A436D17">
      <w:pPr>
        <w:rPr>
          <w:rFonts w:hint="eastAsia" w:ascii="黑体" w:hAnsi="黑体" w:eastAsia="黑体" w:cs="黑体"/>
          <w:color w:val="auto"/>
          <w:kern w:val="0"/>
          <w:sz w:val="32"/>
          <w:szCs w:val="32"/>
          <w:highlight w:val="none"/>
          <w:shd w:val="clear" w:color="auto" w:fill="FFFFFF"/>
          <w:lang w:val="zh-CN"/>
        </w:rPr>
      </w:pPr>
    </w:p>
    <w:p w14:paraId="292FB5EB">
      <w:pPr>
        <w:rPr>
          <w:rFonts w:hint="eastAsia" w:ascii="黑体" w:hAnsi="黑体" w:eastAsia="黑体" w:cs="黑体"/>
          <w:color w:val="auto"/>
          <w:kern w:val="0"/>
          <w:sz w:val="32"/>
          <w:szCs w:val="32"/>
          <w:highlight w:val="none"/>
          <w:shd w:val="clear" w:color="auto" w:fill="FFFFFF"/>
          <w:lang w:val="zh-CN"/>
        </w:rPr>
        <w:sectPr>
          <w:pgSz w:w="16838" w:h="11906" w:orient="landscape"/>
          <w:pgMar w:top="1587" w:right="2098" w:bottom="1474" w:left="1984" w:header="851" w:footer="1304" w:gutter="0"/>
          <w:pgNumType w:fmt="decimal"/>
          <w:cols w:space="0" w:num="1"/>
          <w:titlePg/>
          <w:rtlGutter w:val="0"/>
          <w:docGrid w:type="lines" w:linePitch="312" w:charSpace="0"/>
        </w:sectPr>
      </w:pPr>
    </w:p>
    <w:p w14:paraId="3B490EE8">
      <w:pPr>
        <w:pStyle w:val="5"/>
        <w:keepNext w:val="0"/>
        <w:keepLines w:val="0"/>
        <w:pageBreakBefore w:val="0"/>
        <w:widowControl w:val="0"/>
        <w:kinsoku/>
        <w:wordWrap/>
        <w:overflowPunct w:val="0"/>
        <w:topLinePunct/>
        <w:autoSpaceDE w:val="0"/>
        <w:autoSpaceDN w:val="0"/>
        <w:bidi w:val="0"/>
        <w:adjustRightInd/>
        <w:snapToGrid/>
        <w:textAlignment w:val="auto"/>
        <w:outlineLvl w:val="1"/>
        <w:rPr>
          <w:rFonts w:hint="eastAsia" w:ascii="黑体" w:hAnsi="黑体" w:eastAsia="黑体" w:cs="黑体"/>
          <w:color w:val="auto"/>
          <w:sz w:val="32"/>
          <w:szCs w:val="32"/>
          <w:highlight w:val="none"/>
          <w:lang w:val="en-US" w:eastAsia="zh-CN"/>
        </w:rPr>
      </w:pPr>
      <w:bookmarkStart w:id="66" w:name="_Toc20568"/>
      <w:r>
        <w:rPr>
          <w:rFonts w:hint="eastAsia" w:ascii="黑体" w:hAnsi="黑体" w:eastAsia="黑体" w:cs="黑体"/>
          <w:color w:val="auto"/>
          <w:kern w:val="0"/>
          <w:sz w:val="32"/>
          <w:szCs w:val="32"/>
          <w:highlight w:val="none"/>
          <w:shd w:val="clear" w:color="auto" w:fill="FFFFFF"/>
          <w:lang w:val="zh-CN"/>
        </w:rPr>
        <w:t>附件</w:t>
      </w:r>
      <w:r>
        <w:rPr>
          <w:rFonts w:hint="eastAsia" w:ascii="黑体" w:hAnsi="黑体" w:eastAsia="黑体" w:cs="黑体"/>
          <w:color w:val="auto"/>
          <w:kern w:val="0"/>
          <w:sz w:val="32"/>
          <w:szCs w:val="32"/>
          <w:highlight w:val="none"/>
          <w:shd w:val="clear" w:color="auto" w:fill="FFFFFF"/>
          <w:lang w:val="en-US" w:eastAsia="zh-CN"/>
        </w:rPr>
        <w:t>2</w:t>
      </w:r>
      <w:bookmarkEnd w:id="66"/>
    </w:p>
    <w:p w14:paraId="4A60475B">
      <w:pPr>
        <w:keepNext w:val="0"/>
        <w:keepLines w:val="0"/>
        <w:pageBreakBefore w:val="0"/>
        <w:widowControl w:val="0"/>
        <w:kinsoku/>
        <w:wordWrap/>
        <w:overflowPunct w:val="0"/>
        <w:topLinePunct/>
        <w:autoSpaceDE w:val="0"/>
        <w:autoSpaceDN w:val="0"/>
        <w:bidi w:val="0"/>
        <w:spacing w:line="576" w:lineRule="exact"/>
        <w:jc w:val="both"/>
        <w:textAlignment w:val="auto"/>
        <w:outlineLvl w:val="9"/>
        <w:rPr>
          <w:rFonts w:hint="default" w:ascii="仿宋_GB2312" w:hAnsi="仿宋_GB2312" w:eastAsia="仿宋_GB2312"/>
          <w:i w:val="0"/>
          <w:iCs/>
          <w:color w:val="auto"/>
          <w:kern w:val="2"/>
          <w:sz w:val="32"/>
          <w:szCs w:val="32"/>
          <w:lang w:val="en-US" w:eastAsia="zh-CN"/>
        </w:rPr>
      </w:pPr>
      <w:r>
        <w:rPr>
          <w:rFonts w:hint="eastAsia" w:ascii="仿宋_GB2312" w:hAnsi="仿宋_GB2312" w:eastAsia="仿宋_GB2312"/>
          <w:i w:val="0"/>
          <w:iCs/>
          <w:color w:val="auto"/>
          <w:kern w:val="2"/>
          <w:sz w:val="32"/>
          <w:szCs w:val="32"/>
          <w:lang w:val="en-US" w:eastAsia="zh-CN"/>
        </w:rPr>
        <w:t>由于机构改革，</w:t>
      </w:r>
      <w:r>
        <w:rPr>
          <w:rFonts w:hint="eastAsia" w:ascii="仿宋_GB2312" w:hAnsi="仿宋_GB2312" w:eastAsia="仿宋_GB2312" w:cs="仿宋_GB2312"/>
          <w:color w:val="auto"/>
          <w:kern w:val="2"/>
          <w:sz w:val="32"/>
          <w:szCs w:val="32"/>
          <w:highlight w:val="none"/>
          <w:lang w:val="en-US" w:eastAsia="zh-CN"/>
        </w:rPr>
        <w:t>2024年度我单位无专项项目</w:t>
      </w:r>
      <w:r>
        <w:rPr>
          <w:rFonts w:hint="eastAsia" w:ascii="仿宋_GB2312" w:hAnsi="仿宋_GB2312" w:eastAsia="仿宋_GB2312"/>
          <w:i w:val="0"/>
          <w:iCs/>
          <w:color w:val="auto"/>
          <w:kern w:val="2"/>
          <w:sz w:val="32"/>
          <w:szCs w:val="32"/>
          <w:lang w:val="en-US" w:eastAsia="zh-CN"/>
        </w:rPr>
        <w:t>。</w:t>
      </w:r>
    </w:p>
    <w:p w14:paraId="55D49D24">
      <w:pPr>
        <w:keepNext w:val="0"/>
        <w:keepLines w:val="0"/>
        <w:pageBreakBefore w:val="0"/>
        <w:widowControl w:val="0"/>
        <w:kinsoku/>
        <w:wordWrap/>
        <w:overflowPunct w:val="0"/>
        <w:topLinePunct/>
        <w:autoSpaceDE w:val="0"/>
        <w:autoSpaceDN w:val="0"/>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7497E0A6">
      <w:pPr>
        <w:keepNext w:val="0"/>
        <w:keepLines w:val="0"/>
        <w:pageBreakBefore w:val="0"/>
        <w:widowControl w:val="0"/>
        <w:kinsoku/>
        <w:wordWrap/>
        <w:overflowPunct w:val="0"/>
        <w:topLinePunct/>
        <w:autoSpaceDE w:val="0"/>
        <w:autoSpaceDN w:val="0"/>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61842D0">
      <w:pPr>
        <w:keepNext w:val="0"/>
        <w:keepLines w:val="0"/>
        <w:pageBreakBefore w:val="0"/>
        <w:widowControl w:val="0"/>
        <w:kinsoku/>
        <w:wordWrap/>
        <w:overflowPunct w:val="0"/>
        <w:topLinePunct/>
        <w:autoSpaceDE w:val="0"/>
        <w:autoSpaceDN w:val="0"/>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br w:type="page"/>
      </w:r>
    </w:p>
    <w:p w14:paraId="5BE55ACF">
      <w:pPr>
        <w:keepNext w:val="0"/>
        <w:keepLines w:val="0"/>
        <w:pageBreakBefore w:val="0"/>
        <w:widowControl w:val="0"/>
        <w:numPr>
          <w:ilvl w:val="0"/>
          <w:numId w:val="0"/>
        </w:numPr>
        <w:kinsoku/>
        <w:wordWrap/>
        <w:overflowPunct w:val="0"/>
        <w:topLinePunct/>
        <w:autoSpaceDE w:val="0"/>
        <w:autoSpaceDN w:val="0"/>
        <w:bidi w:val="0"/>
        <w:adjustRightInd/>
        <w:snapToGrid/>
        <w:spacing w:line="240" w:lineRule="atLeast"/>
        <w:jc w:val="center"/>
        <w:textAlignment w:val="auto"/>
        <w:outlineLvl w:val="0"/>
        <w:rPr>
          <w:rFonts w:hint="eastAsia" w:ascii="方正小标宋简体" w:hAnsi="方正小标宋简体" w:eastAsia="方正小标宋简体" w:cs="方正小标宋简体"/>
          <w:color w:val="auto"/>
          <w:sz w:val="44"/>
          <w:szCs w:val="44"/>
          <w:highlight w:val="none"/>
        </w:rPr>
      </w:pPr>
      <w:bookmarkStart w:id="67" w:name="_Toc21212"/>
      <w:r>
        <w:rPr>
          <w:rFonts w:hint="eastAsia" w:ascii="方正小标宋简体" w:hAnsi="方正小标宋简体" w:eastAsia="方正小标宋简体" w:cs="方正小标宋简体"/>
          <w:color w:val="auto"/>
          <w:sz w:val="44"/>
          <w:szCs w:val="44"/>
          <w:highlight w:val="none"/>
        </w:rPr>
        <w:t xml:space="preserve">第五部分 </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rPr>
        <w:t>附表</w:t>
      </w:r>
      <w:bookmarkEnd w:id="61"/>
      <w:bookmarkEnd w:id="63"/>
      <w:bookmarkEnd w:id="67"/>
      <w:bookmarkStart w:id="68" w:name="_Toc15396619"/>
    </w:p>
    <w:p w14:paraId="161FC182">
      <w:pPr>
        <w:pStyle w:val="14"/>
        <w:keepNext w:val="0"/>
        <w:keepLines w:val="0"/>
        <w:pageBreakBefore w:val="0"/>
        <w:widowControl w:val="0"/>
        <w:kinsoku/>
        <w:wordWrap/>
        <w:overflowPunct w:val="0"/>
        <w:topLinePunct/>
        <w:autoSpaceDE w:val="0"/>
        <w:autoSpaceDN w:val="0"/>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7E3310EA">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69" w:name="_Toc10546"/>
      <w:r>
        <w:rPr>
          <w:rFonts w:hint="eastAsia" w:ascii="Times New Roman" w:hAnsi="Times New Roman" w:eastAsia="仿宋_GB2312" w:cs="仿宋_GB2312"/>
          <w:color w:val="auto"/>
          <w:sz w:val="32"/>
          <w:szCs w:val="32"/>
          <w:highlight w:val="none"/>
        </w:rPr>
        <w:t>一、收入支出决算总表</w:t>
      </w:r>
      <w:bookmarkEnd w:id="68"/>
      <w:bookmarkEnd w:id="69"/>
    </w:p>
    <w:p w14:paraId="38A7C4E7">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70" w:name="_Toc31997"/>
      <w:bookmarkStart w:id="71" w:name="_Toc15396620"/>
      <w:r>
        <w:rPr>
          <w:rFonts w:hint="eastAsia" w:ascii="Times New Roman" w:hAnsi="Times New Roman" w:eastAsia="仿宋_GB2312" w:cs="仿宋_GB2312"/>
          <w:color w:val="auto"/>
          <w:sz w:val="32"/>
          <w:szCs w:val="32"/>
          <w:highlight w:val="none"/>
        </w:rPr>
        <w:t>二、收入决算表</w:t>
      </w:r>
      <w:bookmarkEnd w:id="70"/>
      <w:bookmarkEnd w:id="71"/>
    </w:p>
    <w:p w14:paraId="2983A5BD">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72" w:name="_Toc27623"/>
      <w:bookmarkStart w:id="73" w:name="_Toc15396621"/>
      <w:r>
        <w:rPr>
          <w:rFonts w:hint="eastAsia" w:ascii="Times New Roman" w:hAnsi="Times New Roman" w:eastAsia="仿宋_GB2312" w:cs="仿宋_GB2312"/>
          <w:color w:val="auto"/>
          <w:sz w:val="32"/>
          <w:szCs w:val="32"/>
          <w:highlight w:val="none"/>
        </w:rPr>
        <w:t>三、支出决算表</w:t>
      </w:r>
      <w:bookmarkEnd w:id="72"/>
      <w:bookmarkEnd w:id="73"/>
    </w:p>
    <w:p w14:paraId="184B03BE">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74" w:name="_Toc15396622"/>
      <w:bookmarkStart w:id="75" w:name="_Toc21556"/>
      <w:r>
        <w:rPr>
          <w:rFonts w:hint="eastAsia" w:ascii="Times New Roman" w:hAnsi="Times New Roman" w:eastAsia="仿宋_GB2312" w:cs="仿宋_GB2312"/>
          <w:color w:val="auto"/>
          <w:sz w:val="32"/>
          <w:szCs w:val="32"/>
          <w:highlight w:val="none"/>
        </w:rPr>
        <w:t>四、财政拨款收入支出决算总表</w:t>
      </w:r>
      <w:bookmarkEnd w:id="74"/>
      <w:bookmarkEnd w:id="75"/>
    </w:p>
    <w:p w14:paraId="2C633C1C">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76" w:name="_Toc15396623"/>
      <w:bookmarkStart w:id="77" w:name="_Toc24669"/>
      <w:r>
        <w:rPr>
          <w:rFonts w:hint="eastAsia" w:ascii="Times New Roman" w:hAnsi="Times New Roman" w:eastAsia="仿宋_GB2312" w:cs="仿宋_GB2312"/>
          <w:color w:val="auto"/>
          <w:sz w:val="32"/>
          <w:szCs w:val="32"/>
          <w:highlight w:val="none"/>
        </w:rPr>
        <w:t>五、财政拨款支出决算明细表</w:t>
      </w:r>
      <w:bookmarkEnd w:id="76"/>
      <w:bookmarkEnd w:id="77"/>
      <w:bookmarkStart w:id="78" w:name="_Toc15396624"/>
    </w:p>
    <w:p w14:paraId="758CCC47">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79" w:name="_Toc39"/>
      <w:r>
        <w:rPr>
          <w:rFonts w:hint="eastAsia" w:ascii="Times New Roman" w:hAnsi="Times New Roman" w:eastAsia="仿宋_GB2312" w:cs="仿宋_GB2312"/>
          <w:color w:val="auto"/>
          <w:sz w:val="32"/>
          <w:szCs w:val="32"/>
          <w:highlight w:val="none"/>
        </w:rPr>
        <w:t>六、一般公共预算财政拨款支出决算表</w:t>
      </w:r>
      <w:bookmarkEnd w:id="78"/>
      <w:bookmarkEnd w:id="79"/>
    </w:p>
    <w:p w14:paraId="2CAADBC7">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80" w:name="_Toc15396625"/>
      <w:bookmarkStart w:id="81" w:name="_Toc22951"/>
      <w:r>
        <w:rPr>
          <w:rFonts w:hint="eastAsia" w:ascii="Times New Roman" w:hAnsi="Times New Roman" w:eastAsia="仿宋_GB2312" w:cs="仿宋_GB2312"/>
          <w:color w:val="auto"/>
          <w:sz w:val="32"/>
          <w:szCs w:val="32"/>
          <w:highlight w:val="none"/>
        </w:rPr>
        <w:t>七、一般公共预算财政拨款支出决算明细表</w:t>
      </w:r>
      <w:bookmarkEnd w:id="80"/>
      <w:bookmarkEnd w:id="81"/>
    </w:p>
    <w:p w14:paraId="531A0C0D">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82" w:name="_Toc20858"/>
      <w:bookmarkStart w:id="83" w:name="_Toc15396626"/>
      <w:r>
        <w:rPr>
          <w:rFonts w:hint="eastAsia" w:ascii="Times New Roman" w:hAnsi="Times New Roman" w:eastAsia="仿宋_GB2312" w:cs="仿宋_GB2312"/>
          <w:color w:val="auto"/>
          <w:sz w:val="32"/>
          <w:szCs w:val="32"/>
          <w:highlight w:val="none"/>
        </w:rPr>
        <w:t>八、一般公共预算财政拨款基本支出决算表</w:t>
      </w:r>
      <w:bookmarkEnd w:id="82"/>
      <w:bookmarkEnd w:id="83"/>
    </w:p>
    <w:p w14:paraId="10E37356">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84" w:name="_Toc15396627"/>
      <w:bookmarkStart w:id="85" w:name="_Toc4152"/>
      <w:r>
        <w:rPr>
          <w:rFonts w:hint="eastAsia" w:ascii="Times New Roman" w:hAnsi="Times New Roman" w:eastAsia="仿宋_GB2312" w:cs="仿宋_GB2312"/>
          <w:color w:val="auto"/>
          <w:sz w:val="32"/>
          <w:szCs w:val="32"/>
          <w:highlight w:val="none"/>
        </w:rPr>
        <w:t>九、一般公共预算财政拨款项目支出决算表</w:t>
      </w:r>
      <w:bookmarkEnd w:id="84"/>
      <w:bookmarkEnd w:id="85"/>
    </w:p>
    <w:p w14:paraId="08E13F2C">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86" w:name="_Toc15396628"/>
      <w:bookmarkStart w:id="87" w:name="_Toc1994"/>
      <w:r>
        <w:rPr>
          <w:rFonts w:hint="eastAsia" w:ascii="Times New Roman" w:hAnsi="Times New Roman" w:eastAsia="仿宋_GB2312" w:cs="仿宋_GB2312"/>
          <w:color w:val="auto"/>
          <w:sz w:val="32"/>
          <w:szCs w:val="32"/>
          <w:highlight w:val="none"/>
        </w:rPr>
        <w:t>十、</w:t>
      </w:r>
      <w:bookmarkEnd w:id="86"/>
      <w:r>
        <w:rPr>
          <w:rFonts w:hint="eastAsia" w:ascii="Times New Roman" w:hAnsi="Times New Roman" w:eastAsia="仿宋_GB2312" w:cs="仿宋_GB2312"/>
          <w:color w:val="auto"/>
          <w:sz w:val="32"/>
          <w:szCs w:val="32"/>
          <w:highlight w:val="none"/>
        </w:rPr>
        <w:t>政府性基金预算财政拨款收入支出决算表</w:t>
      </w:r>
      <w:bookmarkEnd w:id="87"/>
    </w:p>
    <w:p w14:paraId="228B0B66">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88" w:name="_Toc15396629"/>
      <w:bookmarkStart w:id="89" w:name="_Toc21090"/>
      <w:r>
        <w:rPr>
          <w:rFonts w:hint="eastAsia" w:ascii="Times New Roman" w:hAnsi="Times New Roman" w:eastAsia="仿宋_GB2312" w:cs="仿宋_GB2312"/>
          <w:color w:val="auto"/>
          <w:sz w:val="32"/>
          <w:szCs w:val="32"/>
          <w:highlight w:val="none"/>
        </w:rPr>
        <w:t>十一、</w:t>
      </w:r>
      <w:bookmarkEnd w:id="8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bookmarkEnd w:id="89"/>
    </w:p>
    <w:p w14:paraId="34586304">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rPr>
      </w:pPr>
      <w:bookmarkStart w:id="90" w:name="_Toc15396630"/>
      <w:bookmarkStart w:id="91" w:name="_Toc14498"/>
      <w:r>
        <w:rPr>
          <w:rFonts w:hint="eastAsia" w:ascii="Times New Roman" w:hAnsi="Times New Roman" w:eastAsia="仿宋_GB2312" w:cs="仿宋_GB2312"/>
          <w:color w:val="auto"/>
          <w:sz w:val="32"/>
          <w:szCs w:val="32"/>
          <w:highlight w:val="none"/>
        </w:rPr>
        <w:t>十二、</w:t>
      </w:r>
      <w:bookmarkEnd w:id="90"/>
      <w:r>
        <w:rPr>
          <w:rFonts w:hint="eastAsia" w:ascii="Times New Roman" w:hAnsi="Times New Roman" w:eastAsia="仿宋_GB2312" w:cs="仿宋_GB2312"/>
          <w:color w:val="auto"/>
          <w:sz w:val="32"/>
          <w:szCs w:val="32"/>
          <w:highlight w:val="none"/>
          <w:lang w:eastAsia="zh-CN"/>
        </w:rPr>
        <w:t>国有资本经营预算财政拨款支出决算表</w:t>
      </w:r>
      <w:bookmarkEnd w:id="91"/>
    </w:p>
    <w:p w14:paraId="669A6202">
      <w:pPr>
        <w:pStyle w:val="14"/>
        <w:keepNext w:val="0"/>
        <w:keepLines w:val="0"/>
        <w:pageBreakBefore w:val="0"/>
        <w:widowControl w:val="0"/>
        <w:kinsoku/>
        <w:wordWrap/>
        <w:overflowPunct w:val="0"/>
        <w:topLinePunct/>
        <w:autoSpaceDE w:val="0"/>
        <w:autoSpaceDN w:val="0"/>
        <w:bidi w:val="0"/>
        <w:adjustRightInd w:val="0"/>
        <w:snapToGrid w:val="0"/>
        <w:spacing w:line="576" w:lineRule="exact"/>
        <w:jc w:val="left"/>
        <w:textAlignment w:val="auto"/>
        <w:outlineLvl w:val="1"/>
        <w:rPr>
          <w:rFonts w:hint="eastAsia" w:ascii="Times New Roman" w:hAnsi="Times New Roman" w:eastAsia="仿宋_GB2312" w:cs="仿宋_GB2312"/>
          <w:color w:val="auto"/>
          <w:sz w:val="32"/>
          <w:szCs w:val="32"/>
          <w:highlight w:val="none"/>
          <w:lang w:eastAsia="zh-CN"/>
        </w:rPr>
      </w:pPr>
      <w:bookmarkStart w:id="92" w:name="_Toc15396631"/>
      <w:bookmarkStart w:id="93" w:name="_Toc26108"/>
      <w:r>
        <w:rPr>
          <w:rFonts w:hint="eastAsia" w:ascii="Times New Roman" w:hAnsi="Times New Roman" w:eastAsia="仿宋_GB2312" w:cs="仿宋_GB2312"/>
          <w:color w:val="auto"/>
          <w:sz w:val="32"/>
          <w:szCs w:val="32"/>
          <w:highlight w:val="none"/>
        </w:rPr>
        <w:t>十三、</w:t>
      </w:r>
      <w:bookmarkEnd w:id="92"/>
      <w:r>
        <w:rPr>
          <w:rFonts w:hint="eastAsia" w:ascii="Times New Roman" w:hAnsi="Times New Roman" w:eastAsia="仿宋_GB2312" w:cs="仿宋_GB2312"/>
          <w:color w:val="auto"/>
          <w:sz w:val="32"/>
          <w:szCs w:val="32"/>
          <w:highlight w:val="none"/>
          <w:lang w:eastAsia="zh-CN"/>
        </w:rPr>
        <w:t>财政拨款“三公”经费支出决算表</w:t>
      </w:r>
      <w:bookmarkEnd w:id="93"/>
    </w:p>
    <w:sectPr>
      <w:pgSz w:w="11906" w:h="16838"/>
      <w:pgMar w:top="2098" w:right="1474" w:bottom="1984" w:left="1587" w:header="851" w:footer="1304"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87622">
    <w:pPr>
      <w:pStyle w:val="10"/>
      <w:jc w:val="center"/>
    </w:pPr>
  </w:p>
  <w:p w14:paraId="32BF9EA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AFBD6">
    <w:pPr>
      <w:pStyle w:val="10"/>
      <w:jc w:val="center"/>
    </w:pPr>
  </w:p>
  <w:p w14:paraId="74550C11">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F98D7">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70418">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21690920">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Ejc7ADAgAADAQAAA4AAABkcnMvZTJvRG9jLnhtbK1TwY7TMBC9I/EP&#10;lu80bZFWVdR0haiKkFZspYUPcB2nsWR7rLHbpHwA/AEnLtz5rn4HYyftwsJhD1yc5/Hked6b8fK2&#10;t4YdFQYNruKzyZQz5STU2u0r/unj5tWCsxCFq4UBpyp+UoHfrl6+WHa+VHNowdQKGZG4UHa+4m2M&#10;viyKIFtlRZiAV44OG0ArIm1xX9QoOmK3pphPpzdFB1h7BKlCoOh6OOQjIz6HEJpGS7UGebDKxYEV&#10;lRGRJIVW+8BXudqmUTLeN01QkZmKk9KYV7qE8C6txWopyj0K32o5liCeU8ITTVZoR5deqdYiCnZA&#10;/ReV1RIhQBMnEmwxCMmOkIrZ9Ik3D63wKmshq4O/mh7+H638cNwi0zVNws1rzpyw1PLzt6/n7z/P&#10;P76w2Tw51PlQUuKD3+K4CwST3L5Bm74khPXZ1dPVVdVHJik4W8wXiykZLunssiGe4vF3jyG+U2BZ&#10;AhVHalt2UxzvQhxSLynpNgcbbQzFRWncHwHiTJEiVTzUmFDsd/1Y+A7qEwlGGCYheLnRdOedCHEr&#10;kFpPddLjiPe0NAa6isOIOGsBP/8rnvKpI3TKWUejVHFHL4cz895Rp9LUXQBewO4C3MG+BZrNGWcY&#10;TYb0g3CS6CoeOTt41Ps2V5uUBv/mEEl+diVpGwSNkmlIsq/jQKcp/H2fsx4f8eo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W5UtAAAAAFAQAADwAAAAAAAAABACAAAAAiAAAAZHJzL2Rvd25yZXYu&#10;eG1sUEsBAhQAFAAAAAgAh07iQLEjc7ADAgAADAQAAA4AAAAAAAAAAQAgAAAAHwEAAGRycy9lMm9E&#10;b2MueG1sUEsFBgAAAAAGAAYAWQEAAJQFAAAAAA==&#10;">
              <v:fill on="f" focussize="0,0"/>
              <v:stroke on="f"/>
              <v:imagedata o:title=""/>
              <o:lock v:ext="edit" aspectratio="f"/>
              <v:textbox inset="0mm,0mm,0mm,0mm" style="mso-fit-shape-to-text:t;">
                <w:txbxContent>
                  <w:p w14:paraId="21690920">
                    <w:pPr>
                      <w:pStyle w:val="10"/>
                    </w:pPr>
                    <w:r>
                      <w:fldChar w:fldCharType="begin"/>
                    </w:r>
                    <w:r>
                      <w:instrText xml:space="preserve"> PAGE  \* MERGEFORMAT </w:instrText>
                    </w:r>
                    <w:r>
                      <w:fldChar w:fldCharType="separate"/>
                    </w:r>
                    <w:r>
                      <w:t>2</w:t>
                    </w:r>
                    <w:r>
                      <w:fldChar w:fldCharType="end"/>
                    </w:r>
                  </w:p>
                </w:txbxContent>
              </v:textbox>
            </v:rect>
          </w:pict>
        </mc:Fallback>
      </mc:AlternateContent>
    </w:r>
  </w:p>
  <w:p w14:paraId="63978269">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0068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49720D80">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enwBsEAgAADAQAAA4AAABkcnMvZTJvRG9jLnhtbK1TwY7TMBC9I/EP&#10;lu80bUGrKmq6QlRFSCu20rIf4DpOY8n2WGO3SfkA+ANOXLjzXfsdjJ20CwuHPXBxnseT53lvxsvr&#10;3hp2VBg0uIrPJlPOlJNQa7ev+P2nzasFZyEKVwsDTlX8pAK/Xr18sex8qebQgqkVMiJxoex8xdsY&#10;fVkUQbbKijABrxwdNoBWRNrivqhRdMRuTTGfTq+KDrD2CFKFQNH1cMhHRnwOITSNlmoN8mCViwMr&#10;KiMiSQqt9oGvcrVNo2S8bZqgIjMVJ6Uxr3QJ4V1ai9VSlHsUvtVyLEE8p4QnmqzQji69UK1FFOyA&#10;+i8qqyVCgCZOJNhiEJIdIRWz6RNv7lrhVdZCVgd/MT38P1r58bhFpmuahKs3nDlhqeUP374+fP/5&#10;8OMLm71ODnU+lJR457c47gLBJLdv0KYvCWF9dvV0cVX1kUkKzhbzxWJKhks6O2+Ip3j83WOI7xVY&#10;lkDFkdqW3RTHmxCH1HNKus3BRhtDcVEa90eAOFOkSBUPNSYU+10/Fr6D+kSCEYZJCF5uNN15I0Lc&#10;CqTWU530OOItLY2BruIwIs5awM//iqd86gidctbRKFXc0cvhzHxw1Kk0dWeAZ7A7A3ew74Bmc8YZ&#10;RpMh/SCcJLqKR84OHvW+zdUmpcG/PUSSn11J2gZBo2QakuzrONBpCn/f56zHR7z6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Cnp8AbBAIAAAwEAAAOAAAAAAAAAAEAIAAAAB8BAABkcnMvZTJv&#10;RG9jLnhtbFBLBQYAAAAABgAGAFkBAACVBQAAAAA=&#10;">
              <v:fill on="f" focussize="0,0"/>
              <v:stroke on="f"/>
              <v:imagedata o:title=""/>
              <o:lock v:ext="edit" aspectratio="f"/>
              <v:textbox inset="0mm,0mm,0mm,0mm" style="mso-fit-shape-to-text:t;">
                <w:txbxContent>
                  <w:p w14:paraId="49720D80">
                    <w:pPr>
                      <w:pStyle w:val="10"/>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F2CE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0B6346"/>
    <w:multiLevelType w:val="singleLevel"/>
    <w:tmpl w:val="6B0B6346"/>
    <w:lvl w:ilvl="0" w:tentative="0">
      <w:start w:val="2"/>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C44CEC"/>
    <w:rsid w:val="24C34CA0"/>
    <w:rsid w:val="2A15258A"/>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7"/>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table" w:styleId="1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Comment Text"/>
    <w:basedOn w:val="1"/>
    <w:semiHidden/>
    <w:unhideWhenUsed/>
    <w:qFormat/>
    <w:uiPriority w:val="99"/>
    <w:pPr>
      <w:jc w:val="left"/>
    </w:p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Char"/>
    <w:link w:val="5"/>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7"/>
    <w:link w:val="2"/>
    <w:qFormat/>
    <w:uiPriority w:val="9"/>
    <w:rPr>
      <w:rFonts w:ascii="Times New Roman" w:hAnsi="Times New Roman"/>
      <w:b/>
      <w:bCs/>
      <w:kern w:val="44"/>
      <w:sz w:val="44"/>
      <w:szCs w:val="44"/>
    </w:rPr>
  </w:style>
  <w:style w:type="character" w:customStyle="1" w:styleId="31">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9"/>
    <w:semiHidden/>
    <w:qFormat/>
    <w:uiPriority w:val="99"/>
    <w:rPr>
      <w:rFonts w:ascii="Times New Roman" w:hAnsi="Times New Roman"/>
      <w:kern w:val="2"/>
      <w:sz w:val="18"/>
      <w:szCs w:val="18"/>
    </w:rPr>
  </w:style>
  <w:style w:type="character" w:customStyle="1" w:styleId="34">
    <w:name w:val="标题 3 Char"/>
    <w:basedOn w:val="17"/>
    <w:link w:val="4"/>
    <w:qFormat/>
    <w:uiPriority w:val="9"/>
    <w:rPr>
      <w:rFonts w:ascii="Times New Roman" w:hAnsi="Times New Roman"/>
      <w:b/>
      <w:bCs/>
      <w:kern w:val="2"/>
      <w:sz w:val="32"/>
      <w:szCs w:val="32"/>
    </w:rPr>
  </w:style>
  <w:style w:type="paragraph" w:customStyle="1" w:styleId="3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4.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459545F4B2384B26966676500B53F1D9</vt:lpwstr>
  </property>
  <property fmtid="{D5CDD505-2E9C-101B-9397-08002B2CF9AE}" pid="4" name="KSOTemplateDocerSaveRecord">
    <vt:lpwstr>eyJoZGlkIjoiYzc3ODU2NDA0OWJmMDM0NjhkYjhkZGU5OTdhYzI3MGMiLCJ1c2VySWQiOiIxMzU5ODk1NTQxIn0=</vt:lpwstr>
  </property>
</Properties>
</file>

<file path=customXml/item3.xml><?xml version="1.0" encoding="utf-8"?>
<Properties xmlns="http://schemas.openxmlformats.org/officeDocument/2006/extended-properties" xmlns:vt="http://schemas.openxmlformats.org/officeDocument/2006/docPropsVTypes">
  <Template>Normal.dotm</Template>
  <Company>四川省财政厅</Company>
  <Pages>45</Pages>
  <Words>12230</Words>
  <Characters>13359</Characters>
  <Lines>61</Lines>
  <Paragraphs>17</Paragraphs>
  <TotalTime>4</TotalTime>
  <ScaleCrop>false</ScaleCrop>
  <LinksUpToDate>false</LinksUpToDate>
  <CharactersWithSpaces>13436</CharactersWithSpaces>
  <Application>WPS Office_12.1.0.22529_F1E327BC-269C-435d-A152-05C5408002CA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WPS_1649411251</cp:lastModifiedBy>
  <cp:lastPrinted>2025-08-06T17:34:00Z</cp:lastPrinted>
  <dcterms:modified xsi:type="dcterms:W3CDTF">2025-09-24T02:31:12Z</dcterms:modified>
  <dc:title>四川省***</dc:title>
  <cp:revision>32</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c83ffa-f073-467d-90a5-5655972c5512}">
  <ds:schemaRefs/>
</ds:datastoreItem>
</file>

<file path=customXml/itemProps3.xml><?xml version="1.0" encoding="utf-8"?>
<ds:datastoreItem xmlns:ds="http://schemas.openxmlformats.org/officeDocument/2006/customXml" ds:itemID="{addd5853-eb35-44e4-8d5f-1c9541715394}">
  <ds:schemaRefs/>
</ds:datastoreItem>
</file>

<file path=customXml/itemProps4.xml><?xml version="1.0" encoding="utf-8"?>
<ds:datastoreItem xmlns:ds="http://schemas.openxmlformats.org/officeDocument/2006/customXml" ds:itemID="{3d6c9e7e-a5c3-4964-9fa2-9d1091543689}">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44</Pages>
  <Words>11833</Words>
  <Characters>12890</Characters>
  <Lines>61</Lines>
  <Paragraphs>17</Paragraphs>
  <TotalTime>8</TotalTime>
  <ScaleCrop>false</ScaleCrop>
  <LinksUpToDate>false</LinksUpToDate>
  <CharactersWithSpaces>13026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昭化融媒体</cp:lastModifiedBy>
  <cp:lastPrinted>2025-08-06T17:34:00Z</cp:lastPrinted>
  <dcterms:modified xsi:type="dcterms:W3CDTF">2025-09-30T01:37:25Z</dcterms:modified>
  <dc:title>四川省_x002A__x002A__x002A_</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BDEDF439F17C41C1AA7D790DB454F1F5_13</vt:lpwstr>
  </property>
  <property fmtid="{D5CDD505-2E9C-101B-9397-08002B2CF9AE}" pid="4" name="KSOTemplateDocerSaveRecord">
    <vt:lpwstr>eyJoZGlkIjoiMGVhYTg4NGNkZWJkODFjNzcyZDRjM2M4Y2UzNjI5ZmUiLCJ1c2VySWQiOiI2MTE2MzEwMDYifQ==</vt:lpwstr>
  </property>
</Properties>
</file>