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223B6A">
      <w:pPr>
        <w:overflowPunct w:val="0"/>
        <w:topLinePunct/>
        <w:spacing w:beforeLines="0" w:afterLines="0" w:line="1200" w:lineRule="exact"/>
        <w:jc w:val="center"/>
        <w:rPr>
          <w:rFonts w:hint="eastAsia" w:ascii="方正小标宋简体" w:hAnsi="方正小标宋简体" w:eastAsia="方正小标宋简体" w:cs="方正小标宋简体"/>
          <w:color w:val="000000"/>
          <w:kern w:val="2"/>
          <w:sz w:val="72"/>
          <w:szCs w:val="72"/>
        </w:rPr>
      </w:pPr>
    </w:p>
    <w:p w14:paraId="670DA2B5">
      <w:pPr>
        <w:pStyle w:val="9"/>
        <w:overflowPunct w:val="0"/>
        <w:topLinePunct/>
        <w:spacing w:afterLines="0"/>
        <w:rPr>
          <w:rFonts w:hint="eastAsia"/>
          <w:sz w:val="30"/>
          <w:szCs w:val="24"/>
        </w:rPr>
      </w:pPr>
    </w:p>
    <w:p w14:paraId="65DB659B">
      <w:pPr>
        <w:pStyle w:val="9"/>
        <w:overflowPunct w:val="0"/>
        <w:topLinePunct/>
        <w:spacing w:afterLines="0"/>
        <w:rPr>
          <w:rFonts w:hint="eastAsia"/>
          <w:sz w:val="30"/>
          <w:szCs w:val="24"/>
        </w:rPr>
      </w:pPr>
    </w:p>
    <w:p w14:paraId="51A8CAA3">
      <w:pPr>
        <w:overflowPunct w:val="0"/>
        <w:topLinePunct/>
        <w:spacing w:beforeLines="0" w:afterLines="0" w:line="1200" w:lineRule="exact"/>
        <w:jc w:val="center"/>
        <w:rPr>
          <w:rFonts w:hint="eastAsia" w:ascii="方正小标宋简体" w:hAnsi="方正小标宋简体" w:eastAsia="方正小标宋简体" w:cs="方正小标宋简体"/>
          <w:color w:val="000000"/>
          <w:kern w:val="2"/>
          <w:sz w:val="72"/>
          <w:szCs w:val="72"/>
        </w:rPr>
      </w:pPr>
      <w:r>
        <w:rPr>
          <w:rFonts w:hint="eastAsia" w:ascii="方正小标宋简体" w:hAnsi="方正小标宋简体" w:eastAsia="方正小标宋简体" w:cs="方正小标宋简体"/>
          <w:color w:val="000000"/>
          <w:kern w:val="2"/>
          <w:sz w:val="72"/>
          <w:szCs w:val="72"/>
        </w:rPr>
        <w:t>202</w:t>
      </w:r>
      <w:r>
        <w:rPr>
          <w:rFonts w:hint="eastAsia" w:ascii="方正小标宋简体" w:hAnsi="方正小标宋简体" w:eastAsia="方正小标宋简体" w:cs="方正小标宋简体"/>
          <w:color w:val="000000"/>
          <w:kern w:val="2"/>
          <w:sz w:val="72"/>
          <w:szCs w:val="72"/>
          <w:lang w:val="en-US" w:eastAsia="zh-CN"/>
        </w:rPr>
        <w:t>4</w:t>
      </w:r>
      <w:r>
        <w:rPr>
          <w:rFonts w:hint="eastAsia" w:ascii="方正小标宋简体" w:hAnsi="方正小标宋简体" w:eastAsia="方正小标宋简体" w:cs="方正小标宋简体"/>
          <w:color w:val="000000"/>
          <w:kern w:val="2"/>
          <w:sz w:val="72"/>
          <w:szCs w:val="72"/>
        </w:rPr>
        <w:t>年度</w:t>
      </w:r>
    </w:p>
    <w:p w14:paraId="5CCDEA6F">
      <w:pPr>
        <w:overflowPunct w:val="0"/>
        <w:topLinePunct/>
        <w:spacing w:beforeLines="0" w:afterLines="0" w:line="1200" w:lineRule="exact"/>
        <w:jc w:val="center"/>
        <w:rPr>
          <w:rFonts w:hint="eastAsia" w:ascii="方正小标宋简体" w:hAnsi="方正小标宋简体" w:eastAsia="方正小标宋简体" w:cs="方正小标宋简体"/>
          <w:color w:val="000000"/>
          <w:kern w:val="2"/>
          <w:sz w:val="72"/>
          <w:szCs w:val="72"/>
          <w:lang w:val="en-US" w:eastAsia="zh-CN"/>
        </w:rPr>
      </w:pPr>
      <w:r>
        <w:rPr>
          <w:rFonts w:hint="eastAsia" w:ascii="方正小标宋简体" w:hAnsi="方正小标宋简体" w:eastAsia="方正小标宋简体" w:cs="方正小标宋简体"/>
          <w:color w:val="000000"/>
          <w:kern w:val="2"/>
          <w:sz w:val="72"/>
          <w:szCs w:val="72"/>
          <w:lang w:val="en-US" w:eastAsia="zh-CN"/>
        </w:rPr>
        <w:t>广元市昭化区农业农村局</w:t>
      </w:r>
    </w:p>
    <w:p w14:paraId="60247DD1">
      <w:pPr>
        <w:overflowPunct w:val="0"/>
        <w:topLinePunct/>
        <w:spacing w:beforeLines="0" w:afterLines="0" w:line="1200" w:lineRule="exact"/>
        <w:jc w:val="center"/>
        <w:rPr>
          <w:rFonts w:hint="eastAsia" w:ascii="方正小标宋简体" w:hAnsi="方正小标宋简体" w:eastAsia="方正小标宋简体" w:cs="方正小标宋简体"/>
          <w:color w:val="000000"/>
          <w:kern w:val="2"/>
          <w:sz w:val="72"/>
          <w:szCs w:val="72"/>
        </w:rPr>
      </w:pPr>
      <w:r>
        <w:rPr>
          <w:rFonts w:hint="eastAsia" w:ascii="方正小标宋简体" w:hAnsi="方正小标宋简体" w:eastAsia="方正小标宋简体" w:cs="方正小标宋简体"/>
          <w:color w:val="000000"/>
          <w:kern w:val="2"/>
          <w:sz w:val="72"/>
          <w:szCs w:val="72"/>
        </w:rPr>
        <w:t>单位决算</w:t>
      </w:r>
    </w:p>
    <w:p w14:paraId="003DBF86">
      <w:pPr>
        <w:pStyle w:val="9"/>
        <w:spacing w:afterLines="0"/>
        <w:jc w:val="center"/>
        <w:rPr>
          <w:rFonts w:hint="eastAsia" w:ascii="方正小标宋简体" w:hAnsi="方正小标宋简体" w:eastAsia="方正小标宋简体" w:cs="方正小标宋简体"/>
          <w:color w:val="auto"/>
          <w:kern w:val="2"/>
          <w:sz w:val="48"/>
          <w:szCs w:val="48"/>
        </w:rPr>
      </w:pPr>
      <w:r>
        <w:br w:type="page"/>
      </w:r>
      <w:r>
        <w:rPr>
          <w:rFonts w:hint="eastAsia" w:ascii="方正小标宋简体" w:hAnsi="方正小标宋简体" w:eastAsia="方正小标宋简体" w:cs="方正小标宋简体"/>
          <w:color w:val="auto"/>
          <w:kern w:val="2"/>
          <w:sz w:val="48"/>
          <w:szCs w:val="48"/>
        </w:rPr>
        <w:t>目</w:t>
      </w:r>
      <w:r>
        <w:rPr>
          <w:rFonts w:hint="eastAsia" w:ascii="方正小标宋简体" w:hAnsi="方正小标宋简体" w:eastAsia="方正小标宋简体" w:cs="方正小标宋简体"/>
          <w:color w:val="auto"/>
          <w:kern w:val="2"/>
          <w:sz w:val="48"/>
          <w:szCs w:val="48"/>
          <w:lang w:val="en-US" w:eastAsia="zh-CN"/>
        </w:rPr>
        <w:t xml:space="preserve">     </w:t>
      </w:r>
      <w:r>
        <w:rPr>
          <w:rFonts w:hint="eastAsia" w:ascii="方正小标宋简体" w:hAnsi="方正小标宋简体" w:eastAsia="方正小标宋简体" w:cs="方正小标宋简体"/>
          <w:color w:val="auto"/>
          <w:kern w:val="2"/>
          <w:sz w:val="48"/>
          <w:szCs w:val="48"/>
        </w:rPr>
        <w:t>录</w:t>
      </w:r>
    </w:p>
    <w:p w14:paraId="195FB7B6">
      <w:pPr>
        <w:overflowPunct w:val="0"/>
        <w:topLinePunct/>
        <w:spacing w:beforeLines="100" w:afterLines="200"/>
        <w:jc w:val="center"/>
        <w:rPr>
          <w:rFonts w:hint="eastAsia" w:ascii="楷体_GB2312" w:hAnsi="楷体_GB2312" w:eastAsia="楷体_GB2312" w:cs="楷体_GB2312"/>
          <w:b/>
          <w:color w:val="auto"/>
          <w:kern w:val="2"/>
          <w:sz w:val="32"/>
          <w:szCs w:val="32"/>
        </w:rPr>
      </w:pPr>
      <w:r>
        <w:rPr>
          <w:rFonts w:hint="eastAsia" w:ascii="楷体_GB2312" w:hAnsi="楷体_GB2312" w:eastAsia="楷体_GB2312" w:cs="楷体_GB2312"/>
          <w:color w:val="auto"/>
          <w:kern w:val="2"/>
          <w:sz w:val="32"/>
          <w:szCs w:val="32"/>
        </w:rPr>
        <w:t>公开时间：202</w:t>
      </w:r>
      <w:r>
        <w:rPr>
          <w:rFonts w:hint="eastAsia" w:ascii="楷体_GB2312" w:hAnsi="楷体_GB2312" w:eastAsia="楷体_GB2312" w:cs="楷体_GB2312"/>
          <w:color w:val="auto"/>
          <w:kern w:val="2"/>
          <w:sz w:val="32"/>
          <w:szCs w:val="32"/>
          <w:lang w:val="en-US" w:eastAsia="zh-CN"/>
        </w:rPr>
        <w:t>5</w:t>
      </w:r>
      <w:r>
        <w:rPr>
          <w:rFonts w:hint="eastAsia" w:ascii="楷体_GB2312" w:hAnsi="楷体_GB2312" w:eastAsia="楷体_GB2312" w:cs="楷体_GB2312"/>
          <w:color w:val="auto"/>
          <w:kern w:val="2"/>
          <w:sz w:val="32"/>
          <w:szCs w:val="32"/>
        </w:rPr>
        <w:t xml:space="preserve">年 </w:t>
      </w:r>
      <w:r>
        <w:rPr>
          <w:rFonts w:hint="eastAsia" w:ascii="楷体_GB2312" w:hAnsi="楷体_GB2312" w:eastAsia="楷体_GB2312" w:cs="楷体_GB2312"/>
          <w:color w:val="auto"/>
          <w:kern w:val="2"/>
          <w:sz w:val="32"/>
          <w:szCs w:val="32"/>
          <w:lang w:val="en-US" w:eastAsia="zh-CN"/>
        </w:rPr>
        <w:t>9</w:t>
      </w:r>
      <w:r>
        <w:rPr>
          <w:rFonts w:hint="eastAsia" w:ascii="楷体_GB2312" w:hAnsi="楷体_GB2312" w:eastAsia="楷体_GB2312" w:cs="楷体_GB2312"/>
          <w:color w:val="auto"/>
          <w:kern w:val="2"/>
          <w:sz w:val="32"/>
          <w:szCs w:val="32"/>
        </w:rPr>
        <w:t xml:space="preserve"> 月</w:t>
      </w:r>
      <w:r>
        <w:rPr>
          <w:rFonts w:hint="eastAsia" w:ascii="楷体_GB2312" w:hAnsi="楷体_GB2312" w:eastAsia="楷体_GB2312" w:cs="楷体_GB2312"/>
          <w:color w:val="auto"/>
          <w:kern w:val="2"/>
          <w:sz w:val="32"/>
          <w:szCs w:val="32"/>
          <w:lang w:val="en-US" w:eastAsia="zh-CN"/>
        </w:rPr>
        <w:t xml:space="preserve"> 29</w:t>
      </w:r>
      <w:r>
        <w:rPr>
          <w:rFonts w:hint="eastAsia" w:ascii="楷体_GB2312" w:hAnsi="楷体_GB2312" w:eastAsia="楷体_GB2312" w:cs="楷体_GB2312"/>
          <w:color w:val="auto"/>
          <w:kern w:val="2"/>
          <w:sz w:val="32"/>
          <w:szCs w:val="32"/>
        </w:rPr>
        <w:t xml:space="preserve"> 日</w:t>
      </w:r>
    </w:p>
    <w:p w14:paraId="6F15A345">
      <w:pPr>
        <w:spacing w:before="0" w:beforeLines="0" w:after="0" w:afterLines="0" w:line="240" w:lineRule="auto"/>
        <w:ind w:left="0" w:leftChars="0" w:right="0" w:rightChars="0" w:firstLine="0" w:firstLineChars="0"/>
        <w:jc w:val="both"/>
      </w:pPr>
    </w:p>
    <w:p w14:paraId="491DCB18">
      <w:pPr>
        <w:pStyle w:val="12"/>
        <w:tabs>
          <w:tab w:val="right" w:leader="dot" w:pos="8844"/>
        </w:tabs>
      </w:pPr>
      <w:r>
        <w:rPr>
          <w:rFonts w:hint="eastAsia" w:ascii="仿宋_GB2312" w:hAnsi="仿宋_GB2312" w:eastAsia="仿宋_GB2312" w:cs="仿宋_GB2312"/>
          <w:sz w:val="32"/>
          <w:szCs w:val="32"/>
          <w:highlight w:val="yellow"/>
        </w:rPr>
        <w:fldChar w:fldCharType="begin"/>
      </w:r>
      <w:r>
        <w:rPr>
          <w:rFonts w:hint="eastAsia" w:ascii="仿宋_GB2312" w:hAnsi="仿宋_GB2312" w:eastAsia="仿宋_GB2312" w:cs="仿宋_GB2312"/>
          <w:sz w:val="32"/>
          <w:szCs w:val="32"/>
          <w:highlight w:val="yellow"/>
        </w:rPr>
        <w:instrText xml:space="preserve">TOC \o "1-3" \h \u</w:instrText>
      </w:r>
      <w:r>
        <w:rPr>
          <w:rFonts w:hint="eastAsia" w:ascii="仿宋_GB2312" w:hAnsi="仿宋_GB2312" w:eastAsia="仿宋_GB2312" w:cs="仿宋_GB2312"/>
          <w:sz w:val="32"/>
          <w:szCs w:val="32"/>
          <w:highlight w:val="yellow"/>
        </w:rPr>
        <w:fldChar w:fldCharType="separate"/>
      </w:r>
      <w:r>
        <w:fldChar w:fldCharType="begin"/>
      </w:r>
      <w:r>
        <w:instrText xml:space="preserve"> HYPERLINK \l "_Toc25885" </w:instrText>
      </w:r>
      <w:r>
        <w:fldChar w:fldCharType="separate"/>
      </w:r>
      <w:r>
        <w:rPr>
          <w:rFonts w:hint="eastAsia" w:ascii="方正小标宋简体" w:hAnsi="方正小标宋简体" w:eastAsia="方正小标宋简体" w:cs="方正小标宋简体"/>
          <w:kern w:val="44"/>
          <w:szCs w:val="24"/>
          <w:lang w:val="en-US"/>
        </w:rPr>
        <w:t>第一部分</w:t>
      </w:r>
      <w:r>
        <w:rPr>
          <w:rFonts w:hint="eastAsia" w:ascii="方正小标宋简体" w:hAnsi="方正小标宋简体" w:eastAsia="方正小标宋简体" w:cs="方正小标宋简体"/>
          <w:kern w:val="44"/>
          <w:szCs w:val="24"/>
          <w:lang w:val="en-US" w:eastAsia="zh-CN"/>
        </w:rPr>
        <w:t xml:space="preserve">  </w:t>
      </w:r>
      <w:r>
        <w:rPr>
          <w:rFonts w:hint="eastAsia" w:ascii="方正小标宋简体" w:hAnsi="方正小标宋简体" w:eastAsia="方正小标宋简体" w:cs="方正小标宋简体"/>
          <w:kern w:val="44"/>
          <w:szCs w:val="24"/>
          <w:lang w:val="en-US"/>
        </w:rPr>
        <w:t>单位概况</w:t>
      </w:r>
      <w:r>
        <w:tab/>
      </w:r>
      <w:r>
        <w:fldChar w:fldCharType="begin"/>
      </w:r>
      <w:r>
        <w:instrText xml:space="preserve"> PAGEREF _Toc25885 \h </w:instrText>
      </w:r>
      <w:r>
        <w:fldChar w:fldCharType="separate"/>
      </w:r>
      <w:r>
        <w:t>1</w:t>
      </w:r>
      <w:r>
        <w:fldChar w:fldCharType="end"/>
      </w:r>
      <w:r>
        <w:fldChar w:fldCharType="end"/>
      </w:r>
    </w:p>
    <w:p w14:paraId="36C2BC82">
      <w:pPr>
        <w:pStyle w:val="13"/>
      </w:pPr>
      <w:r>
        <w:fldChar w:fldCharType="begin"/>
      </w:r>
      <w:r>
        <w:instrText xml:space="preserve"> HYPERLINK \l "_Toc27868" </w:instrText>
      </w:r>
      <w:r>
        <w:fldChar w:fldCharType="separate"/>
      </w:r>
      <w:r>
        <w:rPr>
          <w:rFonts w:hint="eastAsia" w:ascii="黑体" w:hAnsi="黑体" w:eastAsia="黑体"/>
          <w:kern w:val="2"/>
          <w:szCs w:val="24"/>
          <w:lang w:val="en-US"/>
        </w:rPr>
        <w:t>一、主要职责</w:t>
      </w:r>
      <w:r>
        <w:tab/>
      </w:r>
      <w:r>
        <w:fldChar w:fldCharType="begin"/>
      </w:r>
      <w:r>
        <w:instrText xml:space="preserve"> PAGEREF _Toc27868 \h </w:instrText>
      </w:r>
      <w:r>
        <w:fldChar w:fldCharType="separate"/>
      </w:r>
      <w:r>
        <w:t>1</w:t>
      </w:r>
      <w:r>
        <w:fldChar w:fldCharType="end"/>
      </w:r>
      <w:r>
        <w:fldChar w:fldCharType="end"/>
      </w:r>
    </w:p>
    <w:p w14:paraId="36E73CA1">
      <w:pPr>
        <w:pStyle w:val="13"/>
        <w:bidi w:val="0"/>
      </w:pPr>
      <w:r>
        <w:fldChar w:fldCharType="begin"/>
      </w:r>
      <w:r>
        <w:instrText xml:space="preserve"> HYPERLINK \l "_Toc25368" </w:instrText>
      </w:r>
      <w:r>
        <w:fldChar w:fldCharType="separate"/>
      </w:r>
      <w:r>
        <w:rPr>
          <w:rFonts w:hint="eastAsia" w:ascii="黑体" w:hAnsi="黑体" w:eastAsia="黑体" w:cs="Times New Roman"/>
          <w:kern w:val="2"/>
          <w:szCs w:val="24"/>
          <w:lang w:val="en-US"/>
        </w:rPr>
        <w:t>二、机构设置</w:t>
      </w:r>
      <w:r>
        <w:tab/>
      </w:r>
      <w:r>
        <w:fldChar w:fldCharType="begin"/>
      </w:r>
      <w:r>
        <w:instrText xml:space="preserve"> PAGEREF _Toc25368 \h </w:instrText>
      </w:r>
      <w:r>
        <w:fldChar w:fldCharType="separate"/>
      </w:r>
      <w:r>
        <w:t>19</w:t>
      </w:r>
      <w:r>
        <w:fldChar w:fldCharType="end"/>
      </w:r>
      <w:r>
        <w:fldChar w:fldCharType="end"/>
      </w:r>
    </w:p>
    <w:p w14:paraId="07BC8A0F">
      <w:pPr>
        <w:pStyle w:val="12"/>
        <w:tabs>
          <w:tab w:val="right" w:leader="dot" w:pos="8844"/>
        </w:tabs>
      </w:pPr>
      <w:r>
        <w:fldChar w:fldCharType="begin"/>
      </w:r>
      <w:r>
        <w:instrText xml:space="preserve"> HYPERLINK \l "_Toc17703" </w:instrText>
      </w:r>
      <w:r>
        <w:fldChar w:fldCharType="separate"/>
      </w:r>
      <w:r>
        <w:rPr>
          <w:rFonts w:hint="eastAsia" w:ascii="方正小标宋简体" w:hAnsi="方正小标宋简体" w:eastAsia="方正小标宋简体" w:cs="方正小标宋简体"/>
          <w:kern w:val="44"/>
          <w:szCs w:val="24"/>
          <w:lang w:val="en-US"/>
        </w:rPr>
        <w:t>第二部分</w:t>
      </w:r>
      <w:r>
        <w:rPr>
          <w:rFonts w:hint="eastAsia" w:ascii="方正小标宋简体" w:hAnsi="方正小标宋简体" w:eastAsia="方正小标宋简体" w:cs="方正小标宋简体"/>
          <w:kern w:val="44"/>
          <w:szCs w:val="24"/>
          <w:lang w:val="en-US" w:eastAsia="zh-CN"/>
        </w:rPr>
        <w:t xml:space="preserve">  </w:t>
      </w:r>
      <w:r>
        <w:rPr>
          <w:rFonts w:hint="eastAsia" w:ascii="方正小标宋简体" w:hAnsi="方正小标宋简体" w:eastAsia="方正小标宋简体" w:cs="方正小标宋简体"/>
          <w:kern w:val="44"/>
          <w:szCs w:val="24"/>
          <w:lang w:val="en-US"/>
        </w:rPr>
        <w:t>202</w:t>
      </w:r>
      <w:r>
        <w:rPr>
          <w:rFonts w:hint="eastAsia" w:ascii="方正小标宋简体" w:hAnsi="方正小标宋简体" w:eastAsia="方正小标宋简体" w:cs="方正小标宋简体"/>
          <w:kern w:val="44"/>
          <w:szCs w:val="24"/>
          <w:lang w:val="en-US" w:eastAsia="zh-CN"/>
        </w:rPr>
        <w:t>4</w:t>
      </w:r>
      <w:r>
        <w:rPr>
          <w:rFonts w:hint="eastAsia" w:ascii="方正小标宋简体" w:hAnsi="方正小标宋简体" w:eastAsia="方正小标宋简体" w:cs="方正小标宋简体"/>
          <w:kern w:val="44"/>
          <w:szCs w:val="24"/>
          <w:lang w:val="en-US"/>
        </w:rPr>
        <w:t>年度单位决算情况说明</w:t>
      </w:r>
      <w:r>
        <w:tab/>
      </w:r>
      <w:r>
        <w:fldChar w:fldCharType="begin"/>
      </w:r>
      <w:r>
        <w:instrText xml:space="preserve"> PAGEREF _Toc17703 \h </w:instrText>
      </w:r>
      <w:r>
        <w:fldChar w:fldCharType="separate"/>
      </w:r>
      <w:r>
        <w:t>20</w:t>
      </w:r>
      <w:r>
        <w:fldChar w:fldCharType="end"/>
      </w:r>
      <w:r>
        <w:fldChar w:fldCharType="end"/>
      </w:r>
    </w:p>
    <w:p w14:paraId="2EF841AE">
      <w:pPr>
        <w:pStyle w:val="13"/>
      </w:pPr>
      <w:r>
        <w:fldChar w:fldCharType="begin"/>
      </w:r>
      <w:r>
        <w:instrText xml:space="preserve"> HYPERLINK \l "_Toc18721" </w:instrText>
      </w:r>
      <w:r>
        <w:fldChar w:fldCharType="separate"/>
      </w:r>
      <w:r>
        <w:rPr>
          <w:rFonts w:hint="eastAsia" w:ascii="黑体" w:hAnsi="黑体" w:eastAsia="黑体"/>
          <w:kern w:val="2"/>
          <w:szCs w:val="24"/>
          <w:lang w:val="en-US"/>
        </w:rPr>
        <w:t>一、收入支出决算总体情况说明</w:t>
      </w:r>
      <w:r>
        <w:tab/>
      </w:r>
      <w:r>
        <w:fldChar w:fldCharType="begin"/>
      </w:r>
      <w:r>
        <w:instrText xml:space="preserve"> PAGEREF _Toc18721 \h </w:instrText>
      </w:r>
      <w:r>
        <w:fldChar w:fldCharType="separate"/>
      </w:r>
      <w:r>
        <w:t>20</w:t>
      </w:r>
      <w:r>
        <w:fldChar w:fldCharType="end"/>
      </w:r>
      <w:r>
        <w:fldChar w:fldCharType="end"/>
      </w:r>
    </w:p>
    <w:p w14:paraId="3F73576A">
      <w:pPr>
        <w:pStyle w:val="13"/>
      </w:pPr>
      <w:r>
        <w:fldChar w:fldCharType="begin"/>
      </w:r>
      <w:r>
        <w:instrText xml:space="preserve"> HYPERLINK \l "_Toc5489" </w:instrText>
      </w:r>
      <w:r>
        <w:fldChar w:fldCharType="separate"/>
      </w:r>
      <w:r>
        <w:rPr>
          <w:rFonts w:hint="eastAsia" w:ascii="黑体" w:hAnsi="黑体" w:eastAsia="黑体" w:cs="Times New Roman"/>
          <w:kern w:val="2"/>
          <w:szCs w:val="24"/>
          <w:lang w:val="en-US"/>
        </w:rPr>
        <w:t>二、收入决算情况说明</w:t>
      </w:r>
      <w:r>
        <w:tab/>
      </w:r>
      <w:r>
        <w:fldChar w:fldCharType="begin"/>
      </w:r>
      <w:r>
        <w:instrText xml:space="preserve"> PAGEREF _Toc5489 \h </w:instrText>
      </w:r>
      <w:r>
        <w:fldChar w:fldCharType="separate"/>
      </w:r>
      <w:r>
        <w:t>20</w:t>
      </w:r>
      <w:r>
        <w:fldChar w:fldCharType="end"/>
      </w:r>
      <w:r>
        <w:fldChar w:fldCharType="end"/>
      </w:r>
    </w:p>
    <w:p w14:paraId="7B5D2FD4">
      <w:pPr>
        <w:pStyle w:val="13"/>
      </w:pPr>
      <w:r>
        <w:fldChar w:fldCharType="begin"/>
      </w:r>
      <w:r>
        <w:instrText xml:space="preserve"> HYPERLINK \l "_Toc25527" </w:instrText>
      </w:r>
      <w:r>
        <w:fldChar w:fldCharType="separate"/>
      </w:r>
      <w:r>
        <w:rPr>
          <w:rFonts w:hint="eastAsia" w:ascii="黑体" w:hAnsi="黑体" w:eastAsia="黑体" w:cs="Times New Roman"/>
          <w:kern w:val="2"/>
          <w:szCs w:val="24"/>
          <w:lang w:val="en-US"/>
        </w:rPr>
        <w:t>三、支出决算情况说明</w:t>
      </w:r>
      <w:r>
        <w:tab/>
      </w:r>
      <w:r>
        <w:fldChar w:fldCharType="begin"/>
      </w:r>
      <w:r>
        <w:instrText xml:space="preserve"> PAGEREF _Toc25527 \h </w:instrText>
      </w:r>
      <w:r>
        <w:fldChar w:fldCharType="separate"/>
      </w:r>
      <w:r>
        <w:t>21</w:t>
      </w:r>
      <w:r>
        <w:fldChar w:fldCharType="end"/>
      </w:r>
      <w:r>
        <w:fldChar w:fldCharType="end"/>
      </w:r>
    </w:p>
    <w:p w14:paraId="50106A34">
      <w:pPr>
        <w:pStyle w:val="13"/>
      </w:pPr>
      <w:r>
        <w:fldChar w:fldCharType="begin"/>
      </w:r>
      <w:r>
        <w:instrText xml:space="preserve"> HYPERLINK \l "_Toc27510" </w:instrText>
      </w:r>
      <w:r>
        <w:fldChar w:fldCharType="separate"/>
      </w:r>
      <w:r>
        <w:rPr>
          <w:rFonts w:hint="eastAsia" w:ascii="黑体" w:hAnsi="黑体" w:eastAsia="黑体" w:cs="Times New Roman"/>
          <w:kern w:val="2"/>
          <w:szCs w:val="24"/>
          <w:lang w:val="en-US"/>
        </w:rPr>
        <w:t>四、财政拨款收入支出决算总体情况说明</w:t>
      </w:r>
      <w:r>
        <w:tab/>
      </w:r>
      <w:r>
        <w:fldChar w:fldCharType="begin"/>
      </w:r>
      <w:r>
        <w:instrText xml:space="preserve"> PAGEREF _Toc27510 \h </w:instrText>
      </w:r>
      <w:r>
        <w:fldChar w:fldCharType="separate"/>
      </w:r>
      <w:r>
        <w:t>22</w:t>
      </w:r>
      <w:r>
        <w:fldChar w:fldCharType="end"/>
      </w:r>
      <w:r>
        <w:fldChar w:fldCharType="end"/>
      </w:r>
    </w:p>
    <w:p w14:paraId="4670FC4F">
      <w:pPr>
        <w:pStyle w:val="13"/>
      </w:pPr>
      <w:r>
        <w:fldChar w:fldCharType="begin"/>
      </w:r>
      <w:r>
        <w:instrText xml:space="preserve"> HYPERLINK \l "_Toc6137" </w:instrText>
      </w:r>
      <w:r>
        <w:fldChar w:fldCharType="separate"/>
      </w:r>
      <w:r>
        <w:rPr>
          <w:rFonts w:hint="eastAsia" w:ascii="黑体" w:hAnsi="黑体" w:eastAsia="黑体" w:cs="Times New Roman"/>
          <w:kern w:val="2"/>
          <w:szCs w:val="24"/>
          <w:lang w:val="en-US"/>
        </w:rPr>
        <w:t>五、一般公共预算财政拨款支出决算情况说明</w:t>
      </w:r>
      <w:r>
        <w:tab/>
      </w:r>
      <w:r>
        <w:fldChar w:fldCharType="begin"/>
      </w:r>
      <w:r>
        <w:instrText xml:space="preserve"> PAGEREF _Toc6137 \h </w:instrText>
      </w:r>
      <w:r>
        <w:fldChar w:fldCharType="separate"/>
      </w:r>
      <w:r>
        <w:t>22</w:t>
      </w:r>
      <w:r>
        <w:fldChar w:fldCharType="end"/>
      </w:r>
      <w:r>
        <w:fldChar w:fldCharType="end"/>
      </w:r>
    </w:p>
    <w:p w14:paraId="20C116D9">
      <w:pPr>
        <w:pStyle w:val="13"/>
      </w:pPr>
      <w:r>
        <w:fldChar w:fldCharType="begin"/>
      </w:r>
      <w:r>
        <w:instrText xml:space="preserve"> HYPERLINK \l "_Toc13535" </w:instrText>
      </w:r>
      <w:r>
        <w:fldChar w:fldCharType="separate"/>
      </w:r>
      <w:r>
        <w:rPr>
          <w:rFonts w:hint="eastAsia" w:ascii="黑体" w:hAnsi="黑体" w:eastAsia="黑体" w:cs="Times New Roman"/>
          <w:kern w:val="2"/>
          <w:szCs w:val="24"/>
          <w:lang w:val="en-US"/>
        </w:rPr>
        <w:t>六、一般公共预算财政拨款基本支出决算情况说明</w:t>
      </w:r>
      <w:r>
        <w:tab/>
      </w:r>
      <w:r>
        <w:fldChar w:fldCharType="begin"/>
      </w:r>
      <w:r>
        <w:instrText xml:space="preserve"> PAGEREF _Toc13535 \h </w:instrText>
      </w:r>
      <w:r>
        <w:fldChar w:fldCharType="separate"/>
      </w:r>
      <w:r>
        <w:t>27</w:t>
      </w:r>
      <w:r>
        <w:fldChar w:fldCharType="end"/>
      </w:r>
      <w:r>
        <w:fldChar w:fldCharType="end"/>
      </w:r>
    </w:p>
    <w:p w14:paraId="70D70E6E">
      <w:pPr>
        <w:pStyle w:val="13"/>
      </w:pPr>
      <w:r>
        <w:fldChar w:fldCharType="begin"/>
      </w:r>
      <w:r>
        <w:instrText xml:space="preserve"> HYPERLINK \l "_Toc28106" </w:instrText>
      </w:r>
      <w:r>
        <w:fldChar w:fldCharType="separate"/>
      </w:r>
      <w:r>
        <w:rPr>
          <w:rFonts w:hint="eastAsia" w:ascii="黑体" w:hAnsi="黑体" w:eastAsia="黑体" w:cs="Times New Roman"/>
          <w:kern w:val="2"/>
          <w:szCs w:val="24"/>
          <w:lang w:val="en-US"/>
        </w:rPr>
        <w:t>七、财政拨款“三公”经费支出决算情况说明</w:t>
      </w:r>
      <w:r>
        <w:tab/>
      </w:r>
      <w:r>
        <w:fldChar w:fldCharType="begin"/>
      </w:r>
      <w:r>
        <w:instrText xml:space="preserve"> PAGEREF _Toc28106 \h </w:instrText>
      </w:r>
      <w:r>
        <w:fldChar w:fldCharType="separate"/>
      </w:r>
      <w:r>
        <w:t>28</w:t>
      </w:r>
      <w:r>
        <w:fldChar w:fldCharType="end"/>
      </w:r>
      <w:r>
        <w:fldChar w:fldCharType="end"/>
      </w:r>
    </w:p>
    <w:p w14:paraId="7D49767F">
      <w:pPr>
        <w:pStyle w:val="13"/>
      </w:pPr>
      <w:r>
        <w:fldChar w:fldCharType="begin"/>
      </w:r>
      <w:r>
        <w:instrText xml:space="preserve"> HYPERLINK \l "_Toc28516" </w:instrText>
      </w:r>
      <w:r>
        <w:fldChar w:fldCharType="separate"/>
      </w:r>
      <w:r>
        <w:rPr>
          <w:rFonts w:hint="eastAsia" w:ascii="黑体" w:hAnsi="黑体" w:eastAsia="黑体" w:cs="Times New Roman"/>
          <w:kern w:val="2"/>
          <w:szCs w:val="24"/>
          <w:lang w:val="en-US"/>
        </w:rPr>
        <w:t>八、政府性基金预算支出决算情况说明</w:t>
      </w:r>
      <w:r>
        <w:tab/>
      </w:r>
      <w:r>
        <w:fldChar w:fldCharType="begin"/>
      </w:r>
      <w:r>
        <w:instrText xml:space="preserve"> PAGEREF _Toc28516 \h </w:instrText>
      </w:r>
      <w:r>
        <w:fldChar w:fldCharType="separate"/>
      </w:r>
      <w:r>
        <w:t>30</w:t>
      </w:r>
      <w:r>
        <w:fldChar w:fldCharType="end"/>
      </w:r>
      <w:r>
        <w:fldChar w:fldCharType="end"/>
      </w:r>
    </w:p>
    <w:p w14:paraId="5CE14A0D">
      <w:pPr>
        <w:pStyle w:val="13"/>
      </w:pPr>
      <w:r>
        <w:fldChar w:fldCharType="begin"/>
      </w:r>
      <w:r>
        <w:instrText xml:space="preserve"> HYPERLINK \l "_Toc5114" </w:instrText>
      </w:r>
      <w:r>
        <w:fldChar w:fldCharType="separate"/>
      </w:r>
      <w:r>
        <w:rPr>
          <w:rFonts w:hint="eastAsia" w:ascii="黑体" w:hAnsi="黑体" w:eastAsia="黑体" w:cs="Times New Roman"/>
          <w:kern w:val="2"/>
          <w:szCs w:val="24"/>
          <w:lang w:val="en-US"/>
        </w:rPr>
        <w:t>九、国有资本经营预算支出决算情况说明</w:t>
      </w:r>
      <w:r>
        <w:tab/>
      </w:r>
      <w:r>
        <w:fldChar w:fldCharType="begin"/>
      </w:r>
      <w:r>
        <w:instrText xml:space="preserve"> PAGEREF _Toc5114 \h </w:instrText>
      </w:r>
      <w:r>
        <w:fldChar w:fldCharType="separate"/>
      </w:r>
      <w:r>
        <w:t>30</w:t>
      </w:r>
      <w:r>
        <w:fldChar w:fldCharType="end"/>
      </w:r>
      <w:r>
        <w:fldChar w:fldCharType="end"/>
      </w:r>
    </w:p>
    <w:p w14:paraId="4868AE9F">
      <w:pPr>
        <w:pStyle w:val="13"/>
      </w:pPr>
      <w:r>
        <w:fldChar w:fldCharType="begin"/>
      </w:r>
      <w:r>
        <w:instrText xml:space="preserve"> HYPERLINK \l "_Toc24247" </w:instrText>
      </w:r>
      <w:r>
        <w:fldChar w:fldCharType="separate"/>
      </w:r>
      <w:r>
        <w:rPr>
          <w:rFonts w:hint="eastAsia" w:ascii="黑体" w:hAnsi="黑体" w:eastAsia="黑体" w:cs="Times New Roman"/>
          <w:kern w:val="2"/>
          <w:szCs w:val="24"/>
          <w:lang w:val="en-US"/>
        </w:rPr>
        <w:t>十、其他重要事项的情况说明</w:t>
      </w:r>
      <w:r>
        <w:tab/>
      </w:r>
      <w:r>
        <w:fldChar w:fldCharType="begin"/>
      </w:r>
      <w:r>
        <w:instrText xml:space="preserve"> PAGEREF _Toc24247 \h </w:instrText>
      </w:r>
      <w:r>
        <w:fldChar w:fldCharType="separate"/>
      </w:r>
      <w:r>
        <w:t>30</w:t>
      </w:r>
      <w:r>
        <w:fldChar w:fldCharType="end"/>
      </w:r>
      <w:r>
        <w:fldChar w:fldCharType="end"/>
      </w:r>
    </w:p>
    <w:p w14:paraId="45218E61">
      <w:pPr>
        <w:pStyle w:val="12"/>
        <w:tabs>
          <w:tab w:val="right" w:leader="dot" w:pos="8844"/>
        </w:tabs>
      </w:pPr>
      <w:r>
        <w:fldChar w:fldCharType="begin"/>
      </w:r>
      <w:r>
        <w:instrText xml:space="preserve"> HYPERLINK \l "_Toc30449" </w:instrText>
      </w:r>
      <w:r>
        <w:fldChar w:fldCharType="separate"/>
      </w:r>
      <w:r>
        <w:rPr>
          <w:rFonts w:hint="eastAsia" w:ascii="方正小标宋简体" w:hAnsi="方正小标宋简体" w:eastAsia="方正小标宋简体" w:cs="方正小标宋简体"/>
          <w:kern w:val="44"/>
          <w:szCs w:val="24"/>
          <w:lang w:val="en-US"/>
        </w:rPr>
        <w:t>第三部分</w:t>
      </w:r>
      <w:r>
        <w:rPr>
          <w:rFonts w:hint="eastAsia" w:ascii="方正小标宋简体" w:hAnsi="方正小标宋简体" w:eastAsia="方正小标宋简体" w:cs="方正小标宋简体"/>
          <w:kern w:val="44"/>
          <w:szCs w:val="24"/>
          <w:lang w:val="en-US" w:eastAsia="zh-CN"/>
        </w:rPr>
        <w:t xml:space="preserve">  </w:t>
      </w:r>
      <w:r>
        <w:rPr>
          <w:rFonts w:hint="eastAsia" w:ascii="方正小标宋简体" w:hAnsi="方正小标宋简体" w:eastAsia="方正小标宋简体" w:cs="方正小标宋简体"/>
          <w:kern w:val="44"/>
          <w:szCs w:val="24"/>
          <w:lang w:val="en-US"/>
        </w:rPr>
        <w:t>名词解释</w:t>
      </w:r>
      <w:r>
        <w:tab/>
      </w:r>
      <w:r>
        <w:fldChar w:fldCharType="begin"/>
      </w:r>
      <w:r>
        <w:instrText xml:space="preserve"> PAGEREF _Toc30449 \h </w:instrText>
      </w:r>
      <w:r>
        <w:fldChar w:fldCharType="separate"/>
      </w:r>
      <w:r>
        <w:t>34</w:t>
      </w:r>
      <w:r>
        <w:fldChar w:fldCharType="end"/>
      </w:r>
      <w:r>
        <w:fldChar w:fldCharType="end"/>
      </w:r>
    </w:p>
    <w:p w14:paraId="088F4DCE">
      <w:pPr>
        <w:pStyle w:val="12"/>
        <w:tabs>
          <w:tab w:val="right" w:leader="dot" w:pos="8844"/>
        </w:tabs>
      </w:pPr>
      <w:r>
        <w:fldChar w:fldCharType="begin"/>
      </w:r>
      <w:r>
        <w:instrText xml:space="preserve"> HYPERLINK \l "_Toc7969" </w:instrText>
      </w:r>
      <w:r>
        <w:fldChar w:fldCharType="separate"/>
      </w:r>
      <w:r>
        <w:rPr>
          <w:rFonts w:hint="eastAsia" w:ascii="方正小标宋简体" w:hAnsi="方正小标宋简体" w:eastAsia="方正小标宋简体" w:cs="方正小标宋简体"/>
          <w:kern w:val="44"/>
          <w:szCs w:val="24"/>
          <w:lang w:val="en-US"/>
        </w:rPr>
        <w:t>第四部分</w:t>
      </w:r>
      <w:r>
        <w:rPr>
          <w:rFonts w:hint="eastAsia" w:ascii="方正小标宋简体" w:hAnsi="方正小标宋简体" w:eastAsia="方正小标宋简体" w:cs="方正小标宋简体"/>
          <w:kern w:val="44"/>
          <w:szCs w:val="24"/>
          <w:lang w:val="en-US" w:eastAsia="zh-CN"/>
        </w:rPr>
        <w:t xml:space="preserve">  </w:t>
      </w:r>
      <w:r>
        <w:rPr>
          <w:rFonts w:hint="eastAsia" w:ascii="方正小标宋简体" w:hAnsi="方正小标宋简体" w:eastAsia="方正小标宋简体" w:cs="方正小标宋简体"/>
          <w:kern w:val="44"/>
          <w:szCs w:val="24"/>
          <w:lang w:val="en-US"/>
        </w:rPr>
        <w:t>附件</w:t>
      </w:r>
      <w:r>
        <w:tab/>
      </w:r>
      <w:r>
        <w:fldChar w:fldCharType="begin"/>
      </w:r>
      <w:r>
        <w:instrText xml:space="preserve"> PAGEREF _Toc7969 \h </w:instrText>
      </w:r>
      <w:r>
        <w:fldChar w:fldCharType="separate"/>
      </w:r>
      <w:r>
        <w:t>40</w:t>
      </w:r>
      <w:r>
        <w:fldChar w:fldCharType="end"/>
      </w:r>
      <w:r>
        <w:fldChar w:fldCharType="end"/>
      </w:r>
    </w:p>
    <w:p w14:paraId="5B019C29">
      <w:pPr>
        <w:pStyle w:val="12"/>
        <w:tabs>
          <w:tab w:val="right" w:leader="dot" w:pos="8844"/>
        </w:tabs>
      </w:pPr>
      <w:r>
        <w:fldChar w:fldCharType="begin"/>
      </w:r>
      <w:r>
        <w:instrText xml:space="preserve"> HYPERLINK \l "_Toc1385" </w:instrText>
      </w:r>
      <w:r>
        <w:fldChar w:fldCharType="separate"/>
      </w:r>
      <w:r>
        <w:rPr>
          <w:rFonts w:hint="eastAsia" w:ascii="方正小标宋简体" w:hAnsi="方正小标宋简体" w:eastAsia="方正小标宋简体" w:cs="方正小标宋简体"/>
          <w:kern w:val="44"/>
          <w:szCs w:val="24"/>
          <w:lang w:val="en-US"/>
        </w:rPr>
        <w:t>第五部分</w:t>
      </w:r>
      <w:r>
        <w:rPr>
          <w:rFonts w:hint="eastAsia" w:ascii="方正小标宋简体" w:hAnsi="方正小标宋简体" w:eastAsia="方正小标宋简体" w:cs="方正小标宋简体"/>
          <w:kern w:val="44"/>
          <w:szCs w:val="24"/>
          <w:lang w:val="en-US" w:eastAsia="zh-CN"/>
        </w:rPr>
        <w:t xml:space="preserve">  </w:t>
      </w:r>
      <w:r>
        <w:rPr>
          <w:rFonts w:hint="eastAsia" w:ascii="方正小标宋简体" w:hAnsi="方正小标宋简体" w:eastAsia="方正小标宋简体" w:cs="方正小标宋简体"/>
          <w:kern w:val="44"/>
          <w:szCs w:val="24"/>
          <w:lang w:val="en-US"/>
        </w:rPr>
        <w:t>附表</w:t>
      </w:r>
      <w:r>
        <w:tab/>
      </w:r>
      <w:r>
        <w:fldChar w:fldCharType="begin"/>
      </w:r>
      <w:r>
        <w:instrText xml:space="preserve"> PAGEREF _Toc1385 \h </w:instrText>
      </w:r>
      <w:r>
        <w:fldChar w:fldCharType="separate"/>
      </w:r>
      <w:r>
        <w:t>41</w:t>
      </w:r>
      <w:r>
        <w:fldChar w:fldCharType="end"/>
      </w:r>
      <w:r>
        <w:fldChar w:fldCharType="end"/>
      </w:r>
    </w:p>
    <w:p w14:paraId="727B3E9A">
      <w:pPr>
        <w:pStyle w:val="13"/>
      </w:pPr>
      <w:r>
        <w:fldChar w:fldCharType="begin"/>
      </w:r>
      <w:r>
        <w:instrText xml:space="preserve"> HYPERLINK \l "_Toc25018" </w:instrText>
      </w:r>
      <w:r>
        <w:fldChar w:fldCharType="separate"/>
      </w:r>
      <w:r>
        <w:rPr>
          <w:rFonts w:hint="eastAsia" w:ascii="黑体" w:hAnsi="黑体" w:eastAsia="黑体" w:cs="黑体"/>
          <w:kern w:val="2"/>
          <w:szCs w:val="24"/>
          <w:lang w:val="en-US"/>
        </w:rPr>
        <w:t>一、收入支出决算总表</w:t>
      </w:r>
      <w:r>
        <w:tab/>
      </w:r>
      <w:r>
        <w:fldChar w:fldCharType="begin"/>
      </w:r>
      <w:r>
        <w:instrText xml:space="preserve"> PAGEREF _Toc25018 \h </w:instrText>
      </w:r>
      <w:r>
        <w:fldChar w:fldCharType="separate"/>
      </w:r>
      <w:r>
        <w:t>41</w:t>
      </w:r>
      <w:r>
        <w:fldChar w:fldCharType="end"/>
      </w:r>
      <w:r>
        <w:fldChar w:fldCharType="end"/>
      </w:r>
    </w:p>
    <w:p w14:paraId="5D6446DC">
      <w:pPr>
        <w:pStyle w:val="13"/>
        <w:rPr>
          <w:rFonts w:hint="eastAsia" w:ascii="黑体" w:hAnsi="黑体" w:eastAsia="黑体" w:cs="黑体"/>
        </w:rPr>
      </w:pPr>
      <w:r>
        <w:fldChar w:fldCharType="begin"/>
      </w:r>
      <w:r>
        <w:instrText xml:space="preserve"> HYPERLINK \l "_Toc23607" </w:instrText>
      </w:r>
      <w:r>
        <w:fldChar w:fldCharType="separate"/>
      </w:r>
      <w:r>
        <w:rPr>
          <w:rFonts w:hint="eastAsia" w:ascii="黑体" w:hAnsi="黑体" w:eastAsia="黑体" w:cs="黑体"/>
          <w:kern w:val="2"/>
          <w:szCs w:val="24"/>
          <w:lang w:val="en-US"/>
        </w:rPr>
        <w:t>二、收入决算表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_Toc23607 \h </w:instrText>
      </w:r>
      <w:r>
        <w:rPr>
          <w:rFonts w:hint="eastAsia" w:ascii="黑体" w:hAnsi="黑体" w:eastAsia="黑体" w:cs="黑体"/>
        </w:rPr>
        <w:fldChar w:fldCharType="separate"/>
      </w:r>
      <w:r>
        <w:rPr>
          <w:rFonts w:hint="eastAsia" w:ascii="黑体" w:hAnsi="黑体" w:eastAsia="黑体" w:cs="黑体"/>
        </w:rPr>
        <w:t>41</w:t>
      </w:r>
      <w:r>
        <w:rPr>
          <w:rFonts w:hint="eastAsia" w:ascii="黑体" w:hAnsi="黑体" w:eastAsia="黑体" w:cs="黑体"/>
        </w:rPr>
        <w:fldChar w:fldCharType="end"/>
      </w:r>
      <w:r>
        <w:rPr>
          <w:rFonts w:hint="eastAsia" w:ascii="黑体" w:hAnsi="黑体" w:eastAsia="黑体" w:cs="黑体"/>
        </w:rPr>
        <w:fldChar w:fldCharType="end"/>
      </w:r>
    </w:p>
    <w:p w14:paraId="434AFFC5">
      <w:pPr>
        <w:pStyle w:val="13"/>
        <w:rPr>
          <w:rFonts w:hint="eastAsia" w:ascii="黑体" w:hAnsi="黑体" w:eastAsia="黑体" w:cs="黑体"/>
        </w:rPr>
      </w:pPr>
      <w:r>
        <w:fldChar w:fldCharType="begin"/>
      </w:r>
      <w:r>
        <w:instrText xml:space="preserve"> HYPERLINK \l "_Toc18335" </w:instrText>
      </w:r>
      <w:r>
        <w:fldChar w:fldCharType="separate"/>
      </w:r>
      <w:r>
        <w:rPr>
          <w:rFonts w:hint="eastAsia" w:ascii="黑体" w:hAnsi="黑体" w:eastAsia="黑体" w:cs="黑体"/>
          <w:kern w:val="2"/>
          <w:szCs w:val="24"/>
          <w:lang w:val="en-US"/>
        </w:rPr>
        <w:t>三、支出决算表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_Toc18335 \h </w:instrText>
      </w:r>
      <w:r>
        <w:rPr>
          <w:rFonts w:hint="eastAsia" w:ascii="黑体" w:hAnsi="黑体" w:eastAsia="黑体" w:cs="黑体"/>
        </w:rPr>
        <w:fldChar w:fldCharType="separate"/>
      </w:r>
      <w:r>
        <w:rPr>
          <w:rFonts w:hint="eastAsia" w:ascii="黑体" w:hAnsi="黑体" w:eastAsia="黑体" w:cs="黑体"/>
        </w:rPr>
        <w:t>41</w:t>
      </w:r>
      <w:r>
        <w:rPr>
          <w:rFonts w:hint="eastAsia" w:ascii="黑体" w:hAnsi="黑体" w:eastAsia="黑体" w:cs="黑体"/>
        </w:rPr>
        <w:fldChar w:fldCharType="end"/>
      </w:r>
      <w:r>
        <w:rPr>
          <w:rFonts w:hint="eastAsia" w:ascii="黑体" w:hAnsi="黑体" w:eastAsia="黑体" w:cs="黑体"/>
        </w:rPr>
        <w:fldChar w:fldCharType="end"/>
      </w:r>
    </w:p>
    <w:p w14:paraId="45AE3072">
      <w:pPr>
        <w:pStyle w:val="13"/>
        <w:rPr>
          <w:rFonts w:hint="eastAsia" w:ascii="黑体" w:hAnsi="黑体" w:eastAsia="黑体" w:cs="黑体"/>
        </w:rPr>
      </w:pPr>
      <w:r>
        <w:fldChar w:fldCharType="begin"/>
      </w:r>
      <w:r>
        <w:instrText xml:space="preserve"> HYPERLINK \l "_Toc6462" </w:instrText>
      </w:r>
      <w:r>
        <w:fldChar w:fldCharType="separate"/>
      </w:r>
      <w:r>
        <w:rPr>
          <w:rFonts w:hint="eastAsia" w:ascii="黑体" w:hAnsi="黑体" w:eastAsia="黑体" w:cs="黑体"/>
          <w:kern w:val="2"/>
          <w:szCs w:val="24"/>
          <w:lang w:val="en-US"/>
        </w:rPr>
        <w:t>四、财政拨款收入支出决算总表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_Toc6462 \h </w:instrText>
      </w:r>
      <w:r>
        <w:rPr>
          <w:rFonts w:hint="eastAsia" w:ascii="黑体" w:hAnsi="黑体" w:eastAsia="黑体" w:cs="黑体"/>
        </w:rPr>
        <w:fldChar w:fldCharType="separate"/>
      </w:r>
      <w:r>
        <w:rPr>
          <w:rFonts w:hint="eastAsia" w:ascii="黑体" w:hAnsi="黑体" w:eastAsia="黑体" w:cs="黑体"/>
        </w:rPr>
        <w:t>41</w:t>
      </w:r>
      <w:r>
        <w:rPr>
          <w:rFonts w:hint="eastAsia" w:ascii="黑体" w:hAnsi="黑体" w:eastAsia="黑体" w:cs="黑体"/>
        </w:rPr>
        <w:fldChar w:fldCharType="end"/>
      </w:r>
      <w:r>
        <w:rPr>
          <w:rFonts w:hint="eastAsia" w:ascii="黑体" w:hAnsi="黑体" w:eastAsia="黑体" w:cs="黑体"/>
        </w:rPr>
        <w:fldChar w:fldCharType="end"/>
      </w:r>
    </w:p>
    <w:p w14:paraId="2B599ECB">
      <w:pPr>
        <w:pStyle w:val="13"/>
        <w:rPr>
          <w:rFonts w:hint="eastAsia" w:ascii="黑体" w:hAnsi="黑体" w:eastAsia="黑体" w:cs="黑体"/>
        </w:rPr>
      </w:pPr>
      <w:r>
        <w:fldChar w:fldCharType="begin"/>
      </w:r>
      <w:r>
        <w:instrText xml:space="preserve"> HYPERLINK \l "_Toc15249" </w:instrText>
      </w:r>
      <w:r>
        <w:fldChar w:fldCharType="separate"/>
      </w:r>
      <w:r>
        <w:rPr>
          <w:rFonts w:hint="eastAsia" w:ascii="黑体" w:hAnsi="黑体" w:eastAsia="黑体" w:cs="黑体"/>
          <w:kern w:val="2"/>
          <w:szCs w:val="24"/>
          <w:lang w:val="en-US"/>
        </w:rPr>
        <w:t>五、财政拨款支出决算明细表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_Toc15249 \h </w:instrText>
      </w:r>
      <w:r>
        <w:rPr>
          <w:rFonts w:hint="eastAsia" w:ascii="黑体" w:hAnsi="黑体" w:eastAsia="黑体" w:cs="黑体"/>
        </w:rPr>
        <w:fldChar w:fldCharType="separate"/>
      </w:r>
      <w:r>
        <w:rPr>
          <w:rFonts w:hint="eastAsia" w:ascii="黑体" w:hAnsi="黑体" w:eastAsia="黑体" w:cs="黑体"/>
        </w:rPr>
        <w:t>41</w:t>
      </w:r>
      <w:r>
        <w:rPr>
          <w:rFonts w:hint="eastAsia" w:ascii="黑体" w:hAnsi="黑体" w:eastAsia="黑体" w:cs="黑体"/>
        </w:rPr>
        <w:fldChar w:fldCharType="end"/>
      </w:r>
      <w:r>
        <w:rPr>
          <w:rFonts w:hint="eastAsia" w:ascii="黑体" w:hAnsi="黑体" w:eastAsia="黑体" w:cs="黑体"/>
        </w:rPr>
        <w:fldChar w:fldCharType="end"/>
      </w:r>
    </w:p>
    <w:p w14:paraId="5B9BBDCE">
      <w:pPr>
        <w:pStyle w:val="13"/>
        <w:rPr>
          <w:rFonts w:hint="eastAsia" w:ascii="黑体" w:hAnsi="黑体" w:eastAsia="黑体" w:cs="黑体"/>
        </w:rPr>
      </w:pPr>
      <w:r>
        <w:fldChar w:fldCharType="begin"/>
      </w:r>
      <w:r>
        <w:instrText xml:space="preserve"> HYPERLINK \l "_Toc22259" </w:instrText>
      </w:r>
      <w:r>
        <w:fldChar w:fldCharType="separate"/>
      </w:r>
      <w:r>
        <w:rPr>
          <w:rFonts w:hint="eastAsia" w:ascii="黑体" w:hAnsi="黑体" w:eastAsia="黑体" w:cs="黑体"/>
          <w:kern w:val="2"/>
          <w:szCs w:val="24"/>
          <w:lang w:val="en-US"/>
        </w:rPr>
        <w:t>六、一般公共预算财政拨款支出决算表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_Toc22259 \h </w:instrText>
      </w:r>
      <w:r>
        <w:rPr>
          <w:rFonts w:hint="eastAsia" w:ascii="黑体" w:hAnsi="黑体" w:eastAsia="黑体" w:cs="黑体"/>
        </w:rPr>
        <w:fldChar w:fldCharType="separate"/>
      </w:r>
      <w:r>
        <w:rPr>
          <w:rFonts w:hint="eastAsia" w:ascii="黑体" w:hAnsi="黑体" w:eastAsia="黑体" w:cs="黑体"/>
        </w:rPr>
        <w:t>41</w:t>
      </w:r>
      <w:r>
        <w:rPr>
          <w:rFonts w:hint="eastAsia" w:ascii="黑体" w:hAnsi="黑体" w:eastAsia="黑体" w:cs="黑体"/>
        </w:rPr>
        <w:fldChar w:fldCharType="end"/>
      </w:r>
      <w:r>
        <w:rPr>
          <w:rFonts w:hint="eastAsia" w:ascii="黑体" w:hAnsi="黑体" w:eastAsia="黑体" w:cs="黑体"/>
        </w:rPr>
        <w:fldChar w:fldCharType="end"/>
      </w:r>
    </w:p>
    <w:p w14:paraId="7EB27178">
      <w:pPr>
        <w:pStyle w:val="13"/>
        <w:rPr>
          <w:rFonts w:hint="eastAsia" w:ascii="黑体" w:hAnsi="黑体" w:eastAsia="黑体" w:cs="黑体"/>
        </w:rPr>
      </w:pPr>
      <w:r>
        <w:fldChar w:fldCharType="begin"/>
      </w:r>
      <w:r>
        <w:instrText xml:space="preserve"> HYPERLINK \l "_Toc26088" </w:instrText>
      </w:r>
      <w:r>
        <w:fldChar w:fldCharType="separate"/>
      </w:r>
      <w:r>
        <w:rPr>
          <w:rFonts w:hint="eastAsia" w:ascii="黑体" w:hAnsi="黑体" w:eastAsia="黑体" w:cs="黑体"/>
          <w:kern w:val="2"/>
          <w:szCs w:val="24"/>
          <w:lang w:val="en-US"/>
        </w:rPr>
        <w:t>七、一般公共预算财政拨款支出决算明细表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_Toc26088 \h </w:instrText>
      </w:r>
      <w:r>
        <w:rPr>
          <w:rFonts w:hint="eastAsia" w:ascii="黑体" w:hAnsi="黑体" w:eastAsia="黑体" w:cs="黑体"/>
        </w:rPr>
        <w:fldChar w:fldCharType="separate"/>
      </w:r>
      <w:r>
        <w:rPr>
          <w:rFonts w:hint="eastAsia" w:ascii="黑体" w:hAnsi="黑体" w:eastAsia="黑体" w:cs="黑体"/>
        </w:rPr>
        <w:t>41</w:t>
      </w:r>
      <w:r>
        <w:rPr>
          <w:rFonts w:hint="eastAsia" w:ascii="黑体" w:hAnsi="黑体" w:eastAsia="黑体" w:cs="黑体"/>
        </w:rPr>
        <w:fldChar w:fldCharType="end"/>
      </w:r>
      <w:r>
        <w:rPr>
          <w:rFonts w:hint="eastAsia" w:ascii="黑体" w:hAnsi="黑体" w:eastAsia="黑体" w:cs="黑体"/>
        </w:rPr>
        <w:fldChar w:fldCharType="end"/>
      </w:r>
    </w:p>
    <w:p w14:paraId="7E643866">
      <w:pPr>
        <w:pStyle w:val="13"/>
        <w:rPr>
          <w:rFonts w:hint="eastAsia" w:ascii="黑体" w:hAnsi="黑体" w:eastAsia="黑体" w:cs="黑体"/>
        </w:rPr>
      </w:pPr>
      <w:r>
        <w:fldChar w:fldCharType="begin"/>
      </w:r>
      <w:r>
        <w:instrText xml:space="preserve"> HYPERLINK \l "_Toc7463" </w:instrText>
      </w:r>
      <w:r>
        <w:fldChar w:fldCharType="separate"/>
      </w:r>
      <w:r>
        <w:rPr>
          <w:rFonts w:hint="eastAsia" w:ascii="黑体" w:hAnsi="黑体" w:eastAsia="黑体" w:cs="黑体"/>
          <w:kern w:val="2"/>
          <w:szCs w:val="24"/>
          <w:lang w:val="en-US"/>
        </w:rPr>
        <w:t>八、一般公共预算财政拨款基本支出决算表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_Toc7463 \h </w:instrText>
      </w:r>
      <w:r>
        <w:rPr>
          <w:rFonts w:hint="eastAsia" w:ascii="黑体" w:hAnsi="黑体" w:eastAsia="黑体" w:cs="黑体"/>
        </w:rPr>
        <w:fldChar w:fldCharType="separate"/>
      </w:r>
      <w:r>
        <w:rPr>
          <w:rFonts w:hint="eastAsia" w:ascii="黑体" w:hAnsi="黑体" w:eastAsia="黑体" w:cs="黑体"/>
        </w:rPr>
        <w:t>41</w:t>
      </w:r>
      <w:r>
        <w:rPr>
          <w:rFonts w:hint="eastAsia" w:ascii="黑体" w:hAnsi="黑体" w:eastAsia="黑体" w:cs="黑体"/>
        </w:rPr>
        <w:fldChar w:fldCharType="end"/>
      </w:r>
      <w:r>
        <w:rPr>
          <w:rFonts w:hint="eastAsia" w:ascii="黑体" w:hAnsi="黑体" w:eastAsia="黑体" w:cs="黑体"/>
        </w:rPr>
        <w:fldChar w:fldCharType="end"/>
      </w:r>
    </w:p>
    <w:p w14:paraId="0FA05EFE">
      <w:pPr>
        <w:pStyle w:val="13"/>
        <w:rPr>
          <w:rFonts w:hint="eastAsia" w:ascii="黑体" w:hAnsi="黑体" w:eastAsia="黑体" w:cs="黑体"/>
        </w:rPr>
      </w:pPr>
      <w:r>
        <w:fldChar w:fldCharType="begin"/>
      </w:r>
      <w:r>
        <w:instrText xml:space="preserve"> HYPERLINK \l "_Toc29887" </w:instrText>
      </w:r>
      <w:r>
        <w:fldChar w:fldCharType="separate"/>
      </w:r>
      <w:r>
        <w:rPr>
          <w:rFonts w:hint="eastAsia" w:ascii="黑体" w:hAnsi="黑体" w:eastAsia="黑体" w:cs="黑体"/>
          <w:kern w:val="2"/>
          <w:szCs w:val="24"/>
          <w:lang w:val="en-US"/>
        </w:rPr>
        <w:t>九、一般公共预算财政拨款项目支出决算表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_Toc29887 \h </w:instrText>
      </w:r>
      <w:r>
        <w:rPr>
          <w:rFonts w:hint="eastAsia" w:ascii="黑体" w:hAnsi="黑体" w:eastAsia="黑体" w:cs="黑体"/>
        </w:rPr>
        <w:fldChar w:fldCharType="separate"/>
      </w:r>
      <w:r>
        <w:rPr>
          <w:rFonts w:hint="eastAsia" w:ascii="黑体" w:hAnsi="黑体" w:eastAsia="黑体" w:cs="黑体"/>
        </w:rPr>
        <w:t>41</w:t>
      </w:r>
      <w:r>
        <w:rPr>
          <w:rFonts w:hint="eastAsia" w:ascii="黑体" w:hAnsi="黑体" w:eastAsia="黑体" w:cs="黑体"/>
        </w:rPr>
        <w:fldChar w:fldCharType="end"/>
      </w:r>
      <w:r>
        <w:rPr>
          <w:rFonts w:hint="eastAsia" w:ascii="黑体" w:hAnsi="黑体" w:eastAsia="黑体" w:cs="黑体"/>
        </w:rPr>
        <w:fldChar w:fldCharType="end"/>
      </w:r>
    </w:p>
    <w:p w14:paraId="2455ABB4">
      <w:pPr>
        <w:pStyle w:val="13"/>
        <w:rPr>
          <w:rFonts w:hint="eastAsia" w:ascii="黑体" w:hAnsi="黑体" w:eastAsia="黑体" w:cs="黑体"/>
        </w:rPr>
      </w:pPr>
      <w:r>
        <w:fldChar w:fldCharType="begin"/>
      </w:r>
      <w:r>
        <w:instrText xml:space="preserve"> HYPERLINK \l "_Toc14573" </w:instrText>
      </w:r>
      <w:r>
        <w:fldChar w:fldCharType="separate"/>
      </w:r>
      <w:r>
        <w:rPr>
          <w:rFonts w:hint="eastAsia" w:ascii="黑体" w:hAnsi="黑体" w:eastAsia="黑体" w:cs="黑体"/>
          <w:kern w:val="2"/>
          <w:szCs w:val="24"/>
          <w:lang w:val="en-US"/>
        </w:rPr>
        <w:t>十、政府性基金预算财政拨款收入支出决算表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_Toc14573 \h </w:instrText>
      </w:r>
      <w:r>
        <w:rPr>
          <w:rFonts w:hint="eastAsia" w:ascii="黑体" w:hAnsi="黑体" w:eastAsia="黑体" w:cs="黑体"/>
        </w:rPr>
        <w:fldChar w:fldCharType="separate"/>
      </w:r>
      <w:r>
        <w:rPr>
          <w:rFonts w:hint="eastAsia" w:ascii="黑体" w:hAnsi="黑体" w:eastAsia="黑体" w:cs="黑体"/>
        </w:rPr>
        <w:t>41</w:t>
      </w:r>
      <w:r>
        <w:rPr>
          <w:rFonts w:hint="eastAsia" w:ascii="黑体" w:hAnsi="黑体" w:eastAsia="黑体" w:cs="黑体"/>
        </w:rPr>
        <w:fldChar w:fldCharType="end"/>
      </w:r>
      <w:r>
        <w:rPr>
          <w:rFonts w:hint="eastAsia" w:ascii="黑体" w:hAnsi="黑体" w:eastAsia="黑体" w:cs="黑体"/>
        </w:rPr>
        <w:fldChar w:fldCharType="end"/>
      </w:r>
    </w:p>
    <w:p w14:paraId="7DD89EBE">
      <w:pPr>
        <w:pStyle w:val="13"/>
        <w:rPr>
          <w:rFonts w:hint="eastAsia" w:ascii="黑体" w:hAnsi="黑体" w:eastAsia="黑体" w:cs="黑体"/>
        </w:rPr>
      </w:pPr>
      <w:r>
        <w:fldChar w:fldCharType="begin"/>
      </w:r>
      <w:r>
        <w:instrText xml:space="preserve"> HYPERLINK \l "_Toc694" </w:instrText>
      </w:r>
      <w:r>
        <w:fldChar w:fldCharType="separate"/>
      </w:r>
      <w:r>
        <w:rPr>
          <w:rFonts w:hint="eastAsia" w:ascii="黑体" w:hAnsi="黑体" w:eastAsia="黑体" w:cs="黑体"/>
          <w:kern w:val="2"/>
          <w:szCs w:val="24"/>
          <w:lang w:val="en-US"/>
        </w:rPr>
        <w:t>十一、国有资本经营预算财政拨款收入支出决算表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_Toc694 \h </w:instrText>
      </w:r>
      <w:r>
        <w:rPr>
          <w:rFonts w:hint="eastAsia" w:ascii="黑体" w:hAnsi="黑体" w:eastAsia="黑体" w:cs="黑体"/>
        </w:rPr>
        <w:fldChar w:fldCharType="separate"/>
      </w:r>
      <w:r>
        <w:rPr>
          <w:rFonts w:hint="eastAsia" w:ascii="黑体" w:hAnsi="黑体" w:eastAsia="黑体" w:cs="黑体"/>
        </w:rPr>
        <w:t>41</w:t>
      </w:r>
      <w:r>
        <w:rPr>
          <w:rFonts w:hint="eastAsia" w:ascii="黑体" w:hAnsi="黑体" w:eastAsia="黑体" w:cs="黑体"/>
        </w:rPr>
        <w:fldChar w:fldCharType="end"/>
      </w:r>
      <w:r>
        <w:rPr>
          <w:rFonts w:hint="eastAsia" w:ascii="黑体" w:hAnsi="黑体" w:eastAsia="黑体" w:cs="黑体"/>
        </w:rPr>
        <w:fldChar w:fldCharType="end"/>
      </w:r>
    </w:p>
    <w:p w14:paraId="26B83B37">
      <w:pPr>
        <w:pStyle w:val="13"/>
        <w:rPr>
          <w:rFonts w:hint="eastAsia" w:ascii="黑体" w:hAnsi="黑体" w:eastAsia="黑体" w:cs="黑体"/>
        </w:rPr>
      </w:pPr>
      <w:r>
        <w:fldChar w:fldCharType="begin"/>
      </w:r>
      <w:r>
        <w:instrText xml:space="preserve"> HYPERLINK \l "_Toc15568" </w:instrText>
      </w:r>
      <w:r>
        <w:fldChar w:fldCharType="separate"/>
      </w:r>
      <w:r>
        <w:rPr>
          <w:rFonts w:hint="eastAsia" w:ascii="黑体" w:hAnsi="黑体" w:eastAsia="黑体" w:cs="黑体"/>
          <w:kern w:val="2"/>
          <w:szCs w:val="24"/>
          <w:lang w:val="en-US"/>
        </w:rPr>
        <w:t>十二、国有资本经营预算财政拨款支出决算表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_Toc15568 \h </w:instrText>
      </w:r>
      <w:r>
        <w:rPr>
          <w:rFonts w:hint="eastAsia" w:ascii="黑体" w:hAnsi="黑体" w:eastAsia="黑体" w:cs="黑体"/>
        </w:rPr>
        <w:fldChar w:fldCharType="separate"/>
      </w:r>
      <w:r>
        <w:rPr>
          <w:rFonts w:hint="eastAsia" w:ascii="黑体" w:hAnsi="黑体" w:eastAsia="黑体" w:cs="黑体"/>
        </w:rPr>
        <w:t>41</w:t>
      </w:r>
      <w:r>
        <w:rPr>
          <w:rFonts w:hint="eastAsia" w:ascii="黑体" w:hAnsi="黑体" w:eastAsia="黑体" w:cs="黑体"/>
        </w:rPr>
        <w:fldChar w:fldCharType="end"/>
      </w:r>
      <w:r>
        <w:rPr>
          <w:rFonts w:hint="eastAsia" w:ascii="黑体" w:hAnsi="黑体" w:eastAsia="黑体" w:cs="黑体"/>
        </w:rPr>
        <w:fldChar w:fldCharType="end"/>
      </w:r>
    </w:p>
    <w:p w14:paraId="58F6C333">
      <w:pPr>
        <w:pStyle w:val="13"/>
      </w:pPr>
      <w:r>
        <w:fldChar w:fldCharType="begin"/>
      </w:r>
      <w:r>
        <w:instrText xml:space="preserve"> HYPERLINK \l "_Toc30931" </w:instrText>
      </w:r>
      <w:r>
        <w:fldChar w:fldCharType="separate"/>
      </w:r>
      <w:r>
        <w:rPr>
          <w:rFonts w:hint="eastAsia" w:ascii="黑体" w:hAnsi="黑体" w:eastAsia="黑体" w:cs="黑体"/>
          <w:kern w:val="2"/>
          <w:szCs w:val="24"/>
          <w:lang w:val="en-US"/>
        </w:rPr>
        <w:t>十三、财政拨款“三公”经费支出决算表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_Toc30931 \h </w:instrText>
      </w:r>
      <w:r>
        <w:rPr>
          <w:rFonts w:hint="eastAsia" w:ascii="黑体" w:hAnsi="黑体" w:eastAsia="黑体" w:cs="黑体"/>
        </w:rPr>
        <w:fldChar w:fldCharType="separate"/>
      </w:r>
      <w:r>
        <w:rPr>
          <w:rFonts w:hint="eastAsia" w:ascii="黑体" w:hAnsi="黑体" w:eastAsia="黑体" w:cs="黑体"/>
        </w:rPr>
        <w:t>41</w:t>
      </w:r>
      <w:r>
        <w:rPr>
          <w:rFonts w:hint="eastAsia" w:ascii="黑体" w:hAnsi="黑体" w:eastAsia="黑体" w:cs="黑体"/>
        </w:rPr>
        <w:fldChar w:fldCharType="end"/>
      </w:r>
      <w:r>
        <w:rPr>
          <w:rFonts w:hint="eastAsia" w:ascii="黑体" w:hAnsi="黑体" w:eastAsia="黑体" w:cs="黑体"/>
        </w:rPr>
        <w:fldChar w:fldCharType="end"/>
      </w:r>
    </w:p>
    <w:p w14:paraId="54CA501E">
      <w:pPr>
        <w:tabs>
          <w:tab w:val="right" w:leader="dot" w:pos="8845"/>
        </w:tabs>
        <w:overflowPunct w:val="0"/>
        <w:topLinePunct/>
        <w:spacing w:beforeLines="0" w:afterLines="0" w:line="576" w:lineRule="exact"/>
        <w:jc w:val="center"/>
        <w:rPr>
          <w:rFonts w:hint="eastAsia" w:ascii="仿宋_GB2312" w:hAnsi="仿宋_GB2312" w:eastAsia="仿宋_GB2312" w:cs="仿宋_GB2312"/>
          <w:szCs w:val="32"/>
          <w:highlight w:val="yellow"/>
        </w:rPr>
      </w:pPr>
      <w:r>
        <w:rPr>
          <w:rFonts w:hint="eastAsia" w:ascii="仿宋_GB2312" w:hAnsi="仿宋_GB2312" w:eastAsia="仿宋_GB2312" w:cs="仿宋_GB2312"/>
          <w:szCs w:val="32"/>
          <w:highlight w:val="yellow"/>
        </w:rPr>
        <w:fldChar w:fldCharType="end"/>
      </w:r>
    </w:p>
    <w:p w14:paraId="346F47FA">
      <w:pPr>
        <w:tabs>
          <w:tab w:val="right" w:leader="dot" w:pos="8845"/>
        </w:tabs>
        <w:overflowPunct w:val="0"/>
        <w:topLinePunct/>
        <w:spacing w:beforeLines="0" w:afterLines="0" w:line="576" w:lineRule="exact"/>
        <w:jc w:val="center"/>
        <w:rPr>
          <w:rFonts w:hint="eastAsia" w:ascii="仿宋_GB2312" w:hAnsi="仿宋_GB2312" w:eastAsia="仿宋_GB2312" w:cs="仿宋_GB2312"/>
          <w:szCs w:val="32"/>
          <w:highlight w:val="yellow"/>
        </w:rPr>
        <w:sectPr>
          <w:pgSz w:w="11905" w:h="16838"/>
          <w:pgMar w:top="2098" w:right="1474" w:bottom="1984" w:left="1587" w:header="720" w:footer="1304" w:gutter="0"/>
          <w:lnNumType w:countBy="0" w:distance="360"/>
          <w:pgNumType w:start="1"/>
          <w:cols w:space="720" w:num="1"/>
        </w:sectPr>
      </w:pPr>
    </w:p>
    <w:p w14:paraId="24873799">
      <w:pPr>
        <w:overflowPunct w:val="0"/>
        <w:topLinePunct/>
        <w:spacing w:beforeLines="0" w:afterLines="0" w:line="576" w:lineRule="exact"/>
        <w:jc w:val="center"/>
        <w:outlineLvl w:val="0"/>
        <w:rPr>
          <w:rFonts w:hint="eastAsia" w:ascii="方正小标宋简体" w:hAnsi="方正小标宋简体" w:eastAsia="方正小标宋简体" w:cs="方正小标宋简体"/>
          <w:color w:val="auto"/>
          <w:kern w:val="44"/>
          <w:sz w:val="44"/>
          <w:szCs w:val="24"/>
          <w:lang w:val="en-US"/>
        </w:rPr>
      </w:pPr>
      <w:bookmarkStart w:id="0" w:name="_Toc25885"/>
      <w:r>
        <w:rPr>
          <w:rFonts w:hint="eastAsia" w:ascii="方正小标宋简体" w:hAnsi="方正小标宋简体" w:eastAsia="方正小标宋简体" w:cs="方正小标宋简体"/>
          <w:color w:val="auto"/>
          <w:kern w:val="44"/>
          <w:sz w:val="44"/>
          <w:szCs w:val="24"/>
          <w:lang w:val="en-US"/>
        </w:rPr>
        <w:t>第一部分</w:t>
      </w:r>
      <w:r>
        <w:rPr>
          <w:rFonts w:hint="eastAsia" w:ascii="方正小标宋简体" w:hAnsi="方正小标宋简体" w:eastAsia="方正小标宋简体" w:cs="方正小标宋简体"/>
          <w:color w:val="auto"/>
          <w:kern w:val="44"/>
          <w:sz w:val="44"/>
          <w:szCs w:val="24"/>
          <w:lang w:val="en-US" w:eastAsia="zh-CN"/>
        </w:rPr>
        <w:t xml:space="preserve">  </w:t>
      </w:r>
      <w:r>
        <w:rPr>
          <w:rFonts w:hint="eastAsia" w:ascii="方正小标宋简体" w:hAnsi="方正小标宋简体" w:eastAsia="方正小标宋简体" w:cs="方正小标宋简体"/>
          <w:color w:val="auto"/>
          <w:kern w:val="44"/>
          <w:sz w:val="44"/>
          <w:szCs w:val="24"/>
          <w:lang w:val="en-US"/>
        </w:rPr>
        <w:t>单位概况</w:t>
      </w:r>
      <w:bookmarkEnd w:id="0"/>
    </w:p>
    <w:p w14:paraId="7EB4A116">
      <w:pPr>
        <w:pStyle w:val="9"/>
        <w:overflowPunct w:val="0"/>
        <w:topLinePunct/>
        <w:spacing w:afterLines="0"/>
        <w:rPr>
          <w:rFonts w:hint="eastAsia"/>
          <w:sz w:val="30"/>
          <w:szCs w:val="24"/>
          <w:lang w:val="en-US"/>
        </w:rPr>
      </w:pPr>
    </w:p>
    <w:p w14:paraId="6E7BB569">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黑体" w:hAnsi="黑体" w:eastAsia="黑体"/>
          <w:color w:val="auto"/>
          <w:kern w:val="2"/>
          <w:sz w:val="32"/>
          <w:szCs w:val="24"/>
          <w:lang w:val="en-US"/>
        </w:rPr>
      </w:pPr>
      <w:bookmarkStart w:id="1" w:name="_Toc27868"/>
      <w:r>
        <w:rPr>
          <w:rFonts w:hint="eastAsia" w:ascii="黑体" w:hAnsi="黑体" w:eastAsia="黑体"/>
          <w:color w:val="000000"/>
          <w:kern w:val="2"/>
          <w:sz w:val="32"/>
          <w:szCs w:val="24"/>
          <w:lang w:val="en-US"/>
        </w:rPr>
        <w:t>一、主要职责</w:t>
      </w:r>
      <w:bookmarkEnd w:id="1"/>
    </w:p>
    <w:p w14:paraId="1A49EFF3">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（一）单位主要职能。</w:t>
      </w:r>
    </w:p>
    <w:p w14:paraId="6F639AE5">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1.</w:t>
      </w:r>
      <w:r>
        <w:rPr>
          <w:rFonts w:hint="default" w:ascii="Times New Roman" w:hAnsi="Times New Roman" w:eastAsia="仿宋_GB2312" w:cs="Times New Roman"/>
          <w:b w:val="0"/>
          <w:bCs w:val="0"/>
          <w:color w:val="000000"/>
          <w:sz w:val="32"/>
          <w:szCs w:val="32"/>
        </w:rPr>
        <w:t>统筹研究和组织实施全</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以乡村振兴为重心的“三农”工作发展战略、中长期规划、重大政策。组织起草农业农村和乡村振兴有关规</w:t>
      </w:r>
      <w:r>
        <w:rPr>
          <w:rFonts w:hint="default" w:ascii="Times New Roman" w:hAnsi="Times New Roman" w:eastAsia="仿宋_GB2312" w:cs="Times New Roman"/>
          <w:b w:val="0"/>
          <w:bCs w:val="0"/>
          <w:color w:val="000000"/>
          <w:sz w:val="32"/>
          <w:szCs w:val="32"/>
          <w:lang w:eastAsia="zh-CN"/>
        </w:rPr>
        <w:t>范性文件</w:t>
      </w:r>
      <w:r>
        <w:rPr>
          <w:rFonts w:hint="default" w:ascii="Times New Roman" w:hAnsi="Times New Roman" w:eastAsia="仿宋_GB2312" w:cs="Times New Roman"/>
          <w:b w:val="0"/>
          <w:bCs w:val="0"/>
          <w:color w:val="000000"/>
          <w:sz w:val="32"/>
          <w:szCs w:val="32"/>
        </w:rPr>
        <w:t>。贯彻执行国家有关种植业、畜牧业、渔业、农业机械化等农业农村领域工作的法律</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法规、政策以及省委省政府</w:t>
      </w:r>
      <w:r>
        <w:rPr>
          <w:rFonts w:hint="default" w:ascii="Times New Roman" w:hAnsi="Times New Roman" w:eastAsia="仿宋_GB2312" w:cs="Times New Roman"/>
          <w:b w:val="0"/>
          <w:bCs w:val="0"/>
          <w:color w:val="000000"/>
          <w:sz w:val="32"/>
          <w:szCs w:val="32"/>
          <w:lang w:eastAsia="zh-CN"/>
        </w:rPr>
        <w:t>、市委市政府、区</w:t>
      </w:r>
      <w:r>
        <w:rPr>
          <w:rFonts w:hint="default" w:ascii="Times New Roman" w:hAnsi="Times New Roman" w:eastAsia="仿宋_GB2312" w:cs="Times New Roman"/>
          <w:b w:val="0"/>
          <w:bCs w:val="0"/>
          <w:color w:val="000000"/>
          <w:sz w:val="32"/>
          <w:szCs w:val="32"/>
        </w:rPr>
        <w:t>委</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政府关于“三农”方面的决策部署。参与</w:t>
      </w:r>
      <w:r>
        <w:rPr>
          <w:rFonts w:hint="default" w:ascii="Times New Roman" w:hAnsi="Times New Roman" w:eastAsia="仿宋_GB2312" w:cs="Times New Roman"/>
          <w:b w:val="0"/>
          <w:bCs w:val="0"/>
          <w:color w:val="000000"/>
          <w:sz w:val="32"/>
          <w:szCs w:val="32"/>
          <w:lang w:eastAsia="zh-CN"/>
        </w:rPr>
        <w:t>涉</w:t>
      </w:r>
      <w:r>
        <w:rPr>
          <w:rFonts w:hint="default" w:ascii="Times New Roman" w:hAnsi="Times New Roman" w:eastAsia="仿宋_GB2312" w:cs="Times New Roman"/>
          <w:b w:val="0"/>
          <w:bCs w:val="0"/>
          <w:color w:val="000000"/>
          <w:sz w:val="32"/>
          <w:szCs w:val="32"/>
        </w:rPr>
        <w:t>农的财税、价格、收储、金融保险、进出口等政策制定。</w:t>
      </w:r>
    </w:p>
    <w:p w14:paraId="44143EF6">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2.</w:t>
      </w:r>
      <w:r>
        <w:rPr>
          <w:rFonts w:hint="default" w:ascii="Times New Roman" w:hAnsi="Times New Roman" w:eastAsia="仿宋_GB2312" w:cs="Times New Roman"/>
          <w:b w:val="0"/>
          <w:bCs w:val="0"/>
          <w:color w:val="000000"/>
          <w:sz w:val="32"/>
          <w:szCs w:val="32"/>
        </w:rPr>
        <w:t>统筹推动发展农村社会事业、农村公共服务、农村文化、农村基础设施和乡村治理</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牵头组织改善全</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农村人居环境。指导农业文化遗产保护传承和开发利用。指导农村精神文明和优秀农耕文化建设。</w:t>
      </w:r>
    </w:p>
    <w:p w14:paraId="0028654C">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3.</w:t>
      </w:r>
      <w:r>
        <w:rPr>
          <w:rFonts w:hint="default" w:ascii="Times New Roman" w:hAnsi="Times New Roman" w:eastAsia="仿宋_GB2312" w:cs="Times New Roman"/>
          <w:b w:val="0"/>
          <w:bCs w:val="0"/>
          <w:color w:val="000000"/>
          <w:sz w:val="32"/>
          <w:szCs w:val="32"/>
        </w:rPr>
        <w:t>负责农民承包地、农村宅基地、农村集体产权制度改革和管理有关工作。拟订深化全</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农村经济体制改革和巩固</w:t>
      </w:r>
      <w:r>
        <w:rPr>
          <w:rFonts w:hint="eastAsia" w:ascii="Times New Roman" w:hAnsi="Times New Roman" w:eastAsia="仿宋_GB2312" w:cs="Times New Roman"/>
          <w:b w:val="0"/>
          <w:bCs w:val="0"/>
          <w:color w:val="000000"/>
          <w:sz w:val="32"/>
          <w:szCs w:val="32"/>
          <w:lang w:val="en-US" w:eastAsia="zh-CN"/>
        </w:rPr>
        <w:t>和</w:t>
      </w:r>
      <w:r>
        <w:rPr>
          <w:rFonts w:hint="default" w:ascii="Times New Roman" w:hAnsi="Times New Roman" w:eastAsia="仿宋_GB2312" w:cs="Times New Roman"/>
          <w:b w:val="0"/>
          <w:bCs w:val="0"/>
          <w:color w:val="000000"/>
          <w:sz w:val="32"/>
          <w:szCs w:val="32"/>
        </w:rPr>
        <w:t>完善农村基本经营制度的政策措施。指导农村集体经济组织发展、集体资产和财务管理工作。拟订农业产业化经营的发展规划与政策并组织实施，指导农民合作经济组织、农业社会化服务体系、新型农业经营主体建设与发展。指导、监督减轻农民负担工作。</w:t>
      </w:r>
    </w:p>
    <w:p w14:paraId="75E4A7AF">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4.</w:t>
      </w:r>
      <w:r>
        <w:rPr>
          <w:rFonts w:hint="default" w:ascii="Times New Roman" w:hAnsi="Times New Roman" w:eastAsia="仿宋_GB2312" w:cs="Times New Roman"/>
          <w:b w:val="0"/>
          <w:bCs w:val="0"/>
          <w:color w:val="000000"/>
          <w:sz w:val="32"/>
          <w:szCs w:val="32"/>
        </w:rPr>
        <w:t>负责巩固拓展脱贫攻坚成果有关工作。牵头开展防止返贫监测和帮扶，组织拟订乡村振兴重点帮扶</w:t>
      </w:r>
      <w:r>
        <w:rPr>
          <w:rFonts w:hint="default" w:ascii="Times New Roman" w:hAnsi="Times New Roman" w:eastAsia="仿宋_GB2312" w:cs="Times New Roman"/>
          <w:b w:val="0"/>
          <w:bCs w:val="0"/>
          <w:color w:val="000000"/>
          <w:sz w:val="32"/>
          <w:szCs w:val="32"/>
          <w:lang w:eastAsia="zh-CN"/>
        </w:rPr>
        <w:t>镇</w:t>
      </w:r>
      <w:r>
        <w:rPr>
          <w:rFonts w:hint="default" w:ascii="Times New Roman" w:hAnsi="Times New Roman" w:eastAsia="仿宋_GB2312" w:cs="Times New Roman"/>
          <w:b w:val="0"/>
          <w:bCs w:val="0"/>
          <w:color w:val="000000"/>
          <w:sz w:val="32"/>
          <w:szCs w:val="32"/>
        </w:rPr>
        <w:t>和重点</w:t>
      </w:r>
      <w:r>
        <w:rPr>
          <w:rFonts w:hint="default" w:ascii="Times New Roman" w:hAnsi="Times New Roman" w:eastAsia="仿宋_GB2312" w:cs="Times New Roman"/>
          <w:b w:val="0"/>
          <w:bCs w:val="0"/>
          <w:color w:val="000000"/>
          <w:sz w:val="32"/>
          <w:szCs w:val="32"/>
          <w:lang w:val="en-US" w:eastAsia="zh-CN"/>
        </w:rPr>
        <w:t>区域</w:t>
      </w:r>
      <w:r>
        <w:rPr>
          <w:rFonts w:hint="default" w:ascii="Times New Roman" w:hAnsi="Times New Roman" w:eastAsia="仿宋_GB2312" w:cs="Times New Roman"/>
          <w:b w:val="0"/>
          <w:bCs w:val="0"/>
          <w:color w:val="000000"/>
          <w:sz w:val="32"/>
          <w:szCs w:val="32"/>
        </w:rPr>
        <w:t>帮扶政策，组织开展东西部协作、定点帮扶、社会帮扶、易地搬迁后续扶持，会同有关部门组织实施过渡期内巩固拓展脱贫攻坚成果相关考核评估工作，研究提出</w:t>
      </w:r>
      <w:r>
        <w:rPr>
          <w:rFonts w:hint="default" w:ascii="Times New Roman" w:hAnsi="Times New Roman" w:eastAsia="仿宋_GB2312" w:cs="Times New Roman"/>
          <w:b w:val="0"/>
          <w:bCs w:val="0"/>
          <w:color w:val="000000"/>
          <w:sz w:val="32"/>
          <w:szCs w:val="32"/>
          <w:lang w:eastAsia="zh-CN"/>
        </w:rPr>
        <w:t>各</w:t>
      </w:r>
      <w:r>
        <w:rPr>
          <w:rFonts w:hint="default" w:ascii="Times New Roman" w:hAnsi="Times New Roman" w:eastAsia="仿宋_GB2312" w:cs="Times New Roman"/>
          <w:b w:val="0"/>
          <w:bCs w:val="0"/>
          <w:color w:val="000000"/>
          <w:sz w:val="32"/>
          <w:szCs w:val="32"/>
        </w:rPr>
        <w:t>级财政衔接推进乡村振兴相关资金分配建议方案并指导、监督资金使用，推动乡村帮扶产业发展。承担农村低收入人口</w:t>
      </w:r>
      <w:r>
        <w:rPr>
          <w:rFonts w:hint="default" w:ascii="Times New Roman" w:hAnsi="Times New Roman" w:eastAsia="仿宋_GB2312" w:cs="Times New Roman"/>
          <w:b w:val="0"/>
          <w:bCs w:val="0"/>
          <w:color w:val="000000"/>
          <w:sz w:val="32"/>
          <w:szCs w:val="32"/>
          <w:lang w:eastAsia="zh-CN"/>
        </w:rPr>
        <w:t>和脱贫地区</w:t>
      </w:r>
      <w:r>
        <w:rPr>
          <w:rFonts w:hint="default" w:ascii="Times New Roman" w:hAnsi="Times New Roman" w:eastAsia="仿宋_GB2312" w:cs="Times New Roman"/>
          <w:b w:val="0"/>
          <w:bCs w:val="0"/>
          <w:color w:val="000000"/>
          <w:sz w:val="32"/>
          <w:szCs w:val="32"/>
        </w:rPr>
        <w:t>常态化帮扶有关工作，构建长效帮扶机制。</w:t>
      </w:r>
    </w:p>
    <w:p w14:paraId="5C283062">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5.</w:t>
      </w:r>
      <w:r>
        <w:rPr>
          <w:rFonts w:hint="default" w:ascii="Times New Roman" w:hAnsi="Times New Roman" w:eastAsia="仿宋_GB2312" w:cs="Times New Roman"/>
          <w:b w:val="0"/>
          <w:bCs w:val="0"/>
          <w:color w:val="000000"/>
          <w:sz w:val="32"/>
          <w:szCs w:val="32"/>
        </w:rPr>
        <w:t>负责指导全</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乡村特色产业、农产品加工业</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产地初加工</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、休闲农业和乡村企业发展工作，推动延长农产品产业链</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指导特色农产品优势区建设和管理工作。组织拟订并实施现代农业园区的政策</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规划</w:t>
      </w:r>
      <w:r>
        <w:rPr>
          <w:rFonts w:hint="default" w:ascii="Times New Roman" w:hAnsi="Times New Roman" w:eastAsia="仿宋_GB2312" w:cs="Times New Roman"/>
          <w:b w:val="0"/>
          <w:bCs w:val="0"/>
          <w:color w:val="000000"/>
          <w:sz w:val="32"/>
          <w:szCs w:val="32"/>
          <w:lang w:eastAsia="zh-CN"/>
        </w:rPr>
        <w:t>和标准化建设</w:t>
      </w:r>
      <w:r>
        <w:rPr>
          <w:rFonts w:hint="default" w:ascii="Times New Roman" w:hAnsi="Times New Roman" w:eastAsia="仿宋_GB2312" w:cs="Times New Roman"/>
          <w:b w:val="0"/>
          <w:bCs w:val="0"/>
          <w:color w:val="000000"/>
          <w:sz w:val="32"/>
          <w:szCs w:val="32"/>
        </w:rPr>
        <w:t>，负</w:t>
      </w:r>
      <w:r>
        <w:rPr>
          <w:rFonts w:hint="default" w:ascii="Times New Roman" w:hAnsi="Times New Roman" w:eastAsia="仿宋_GB2312" w:cs="Times New Roman"/>
          <w:b w:val="0"/>
          <w:bCs w:val="0"/>
          <w:color w:val="000000"/>
          <w:sz w:val="32"/>
          <w:szCs w:val="32"/>
          <w:lang w:eastAsia="zh-CN"/>
        </w:rPr>
        <w:t>责</w:t>
      </w:r>
      <w:r>
        <w:rPr>
          <w:rFonts w:hint="default" w:ascii="Times New Roman" w:hAnsi="Times New Roman" w:eastAsia="仿宋_GB2312" w:cs="Times New Roman"/>
          <w:b w:val="0"/>
          <w:bCs w:val="0"/>
          <w:color w:val="000000"/>
          <w:sz w:val="32"/>
          <w:szCs w:val="32"/>
        </w:rPr>
        <w:t>现代农业园区评定工作。</w:t>
      </w:r>
      <w:r>
        <w:rPr>
          <w:rFonts w:hint="default" w:ascii="Times New Roman" w:hAnsi="Times New Roman" w:eastAsia="仿宋_GB2312" w:cs="Times New Roman"/>
          <w:b w:val="0"/>
          <w:bCs w:val="0"/>
          <w:color w:val="000000"/>
          <w:sz w:val="32"/>
          <w:szCs w:val="32"/>
          <w:u w:val="none"/>
        </w:rPr>
        <w:t>提出促进大宗农产品流通政策和主要农产品进口建议，研究制定大宗农产品市场体系建设与发展规划。</w:t>
      </w:r>
      <w:r>
        <w:rPr>
          <w:rFonts w:hint="default" w:ascii="Times New Roman" w:hAnsi="Times New Roman" w:eastAsia="仿宋_GB2312" w:cs="Times New Roman"/>
          <w:b w:val="0"/>
          <w:bCs w:val="0"/>
          <w:color w:val="000000"/>
          <w:sz w:val="32"/>
          <w:szCs w:val="32"/>
        </w:rPr>
        <w:t>培育、保护和发展农业品牌，组织协调“</w:t>
      </w:r>
      <w:r>
        <w:rPr>
          <w:rFonts w:hint="default" w:ascii="Times New Roman" w:hAnsi="Times New Roman" w:eastAsia="仿宋_GB2312" w:cs="Times New Roman"/>
          <w:b w:val="0"/>
          <w:bCs w:val="0"/>
          <w:color w:val="000000"/>
          <w:sz w:val="32"/>
          <w:szCs w:val="32"/>
          <w:lang w:eastAsia="zh-CN"/>
        </w:rPr>
        <w:t>菜</w:t>
      </w:r>
      <w:r>
        <w:rPr>
          <w:rFonts w:hint="eastAsia" w:ascii="Times New Roman" w:hAnsi="Times New Roman" w:eastAsia="仿宋_GB2312" w:cs="Times New Roman"/>
          <w:b w:val="0"/>
          <w:bCs w:val="0"/>
          <w:color w:val="000000"/>
          <w:sz w:val="32"/>
          <w:szCs w:val="32"/>
          <w:lang w:val="en-US" w:eastAsia="zh-CN"/>
        </w:rPr>
        <w:t>篮</w:t>
      </w:r>
      <w:r>
        <w:rPr>
          <w:rFonts w:hint="default" w:ascii="Times New Roman" w:hAnsi="Times New Roman" w:eastAsia="仿宋_GB2312" w:cs="Times New Roman"/>
          <w:b w:val="0"/>
          <w:bCs w:val="0"/>
          <w:color w:val="000000"/>
          <w:sz w:val="32"/>
          <w:szCs w:val="32"/>
          <w:lang w:eastAsia="zh-CN"/>
        </w:rPr>
        <w:t>子</w:t>
      </w:r>
      <w:r>
        <w:rPr>
          <w:rFonts w:hint="default" w:ascii="Times New Roman" w:hAnsi="Times New Roman" w:eastAsia="仿宋_GB2312" w:cs="Times New Roman"/>
          <w:b w:val="0"/>
          <w:bCs w:val="0"/>
          <w:color w:val="000000"/>
          <w:sz w:val="32"/>
          <w:szCs w:val="32"/>
        </w:rPr>
        <w:t>”工程有关工作。</w:t>
      </w:r>
    </w:p>
    <w:p w14:paraId="4407D3B8">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6.</w:t>
      </w:r>
      <w:r>
        <w:rPr>
          <w:rFonts w:hint="default" w:ascii="Times New Roman" w:hAnsi="Times New Roman" w:eastAsia="仿宋_GB2312" w:cs="Times New Roman"/>
          <w:b w:val="0"/>
          <w:bCs w:val="0"/>
          <w:color w:val="000000"/>
          <w:sz w:val="32"/>
          <w:szCs w:val="32"/>
        </w:rPr>
        <w:t>负责全</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种植业、畜牧业、渔业、农业机械化等农业各产业的监督管理。指导粮食等农产品生产，推进构建多元化食物供给体系。指导粮食生产功能区和重要农产品生产保护区建设和管理工作。组织构建现代农业产业体系、生产体系、经营体系，指导农业标准化、规模化生产。落实促进粮油、畜禽、水产等主要农产品生产发展的相关政策措施，引导农业产业结构调整和产品品质改善，促进农业绿色发展。负责渔政渔港、网具监督管理。</w:t>
      </w:r>
    </w:p>
    <w:p w14:paraId="47BA9311">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7.</w:t>
      </w:r>
      <w:r>
        <w:rPr>
          <w:rFonts w:hint="default" w:ascii="Times New Roman" w:hAnsi="Times New Roman" w:eastAsia="仿宋_GB2312" w:cs="Times New Roman"/>
          <w:b w:val="0"/>
          <w:bCs w:val="0"/>
          <w:color w:val="000000"/>
          <w:sz w:val="32"/>
          <w:szCs w:val="32"/>
        </w:rPr>
        <w:t>负责拟订全区农业全产业机械化、智能化、数字化发展规划并组织实施。组织开展农业机械重大关键技术攻关，引进、示范和推广农业机械新技术、新机具。</w:t>
      </w:r>
      <w:r>
        <w:rPr>
          <w:rFonts w:hint="default" w:ascii="Times New Roman" w:hAnsi="Times New Roman" w:eastAsia="仿宋_GB2312" w:cs="Times New Roman"/>
          <w:b w:val="0"/>
          <w:bCs w:val="0"/>
          <w:color w:val="000000"/>
          <w:sz w:val="32"/>
          <w:szCs w:val="32"/>
          <w:lang w:eastAsia="zh-CN"/>
        </w:rPr>
        <w:t>负责</w:t>
      </w:r>
      <w:r>
        <w:rPr>
          <w:rFonts w:hint="default" w:ascii="Times New Roman" w:hAnsi="Times New Roman" w:eastAsia="仿宋_GB2312" w:cs="Times New Roman"/>
          <w:b w:val="0"/>
          <w:bCs w:val="0"/>
          <w:color w:val="000000"/>
          <w:sz w:val="32"/>
          <w:szCs w:val="32"/>
        </w:rPr>
        <w:t>全</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农业机械基础设施的规划建设和管理工作。</w:t>
      </w:r>
      <w:r>
        <w:rPr>
          <w:rFonts w:hint="default" w:ascii="Times New Roman" w:hAnsi="Times New Roman" w:eastAsia="仿宋_GB2312" w:cs="Times New Roman"/>
          <w:b w:val="0"/>
          <w:bCs w:val="0"/>
          <w:color w:val="000000"/>
          <w:sz w:val="32"/>
          <w:szCs w:val="32"/>
          <w:lang w:eastAsia="zh-CN"/>
        </w:rPr>
        <w:t>负责</w:t>
      </w:r>
      <w:r>
        <w:rPr>
          <w:rFonts w:hint="default" w:ascii="Times New Roman" w:hAnsi="Times New Roman" w:eastAsia="仿宋_GB2312" w:cs="Times New Roman"/>
          <w:b w:val="0"/>
          <w:bCs w:val="0"/>
          <w:color w:val="000000"/>
          <w:sz w:val="32"/>
          <w:szCs w:val="32"/>
        </w:rPr>
        <w:t>设施农业、农机库棚、机电提灌、农业机械作业通行条件等基础设施建设。</w:t>
      </w:r>
    </w:p>
    <w:p w14:paraId="5F0E17B1">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8.</w:t>
      </w:r>
      <w:r>
        <w:rPr>
          <w:rFonts w:hint="default" w:ascii="Times New Roman" w:hAnsi="Times New Roman" w:eastAsia="仿宋_GB2312" w:cs="Times New Roman"/>
          <w:b w:val="0"/>
          <w:bCs w:val="0"/>
          <w:color w:val="000000"/>
          <w:sz w:val="32"/>
          <w:szCs w:val="32"/>
        </w:rPr>
        <w:t>负</w:t>
      </w:r>
      <w:r>
        <w:rPr>
          <w:rFonts w:hint="default" w:ascii="Times New Roman" w:hAnsi="Times New Roman" w:eastAsia="仿宋_GB2312" w:cs="Times New Roman"/>
          <w:b w:val="0"/>
          <w:bCs w:val="0"/>
          <w:color w:val="000000"/>
          <w:sz w:val="32"/>
          <w:szCs w:val="32"/>
          <w:lang w:eastAsia="zh-CN"/>
        </w:rPr>
        <w:t>责</w:t>
      </w:r>
      <w:r>
        <w:rPr>
          <w:rFonts w:hint="default" w:ascii="Times New Roman" w:hAnsi="Times New Roman" w:eastAsia="仿宋_GB2312" w:cs="Times New Roman"/>
          <w:b w:val="0"/>
          <w:bCs w:val="0"/>
          <w:color w:val="000000"/>
          <w:sz w:val="32"/>
          <w:szCs w:val="32"/>
        </w:rPr>
        <w:t>全</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农产品质量安全监督管理。组织开展农产品质量安全监测、追溯、风险评估。参与</w:t>
      </w:r>
      <w:r>
        <w:rPr>
          <w:rFonts w:hint="default" w:ascii="Times New Roman" w:hAnsi="Times New Roman" w:eastAsia="仿宋_GB2312" w:cs="Times New Roman"/>
          <w:b w:val="0"/>
          <w:bCs w:val="0"/>
          <w:color w:val="000000"/>
          <w:sz w:val="32"/>
          <w:szCs w:val="32"/>
          <w:lang w:eastAsia="zh-CN"/>
        </w:rPr>
        <w:t>拟订初级</w:t>
      </w:r>
      <w:r>
        <w:rPr>
          <w:rFonts w:hint="default" w:ascii="Times New Roman" w:hAnsi="Times New Roman" w:eastAsia="仿宋_GB2312" w:cs="Times New Roman"/>
          <w:b w:val="0"/>
          <w:bCs w:val="0"/>
          <w:color w:val="000000"/>
          <w:sz w:val="32"/>
          <w:szCs w:val="32"/>
        </w:rPr>
        <w:t>农产品质量安全地方标准</w:t>
      </w:r>
      <w:r>
        <w:rPr>
          <w:rFonts w:hint="default" w:ascii="Times New Roman" w:hAnsi="Times New Roman" w:eastAsia="仿宋_GB2312" w:cs="Times New Roman"/>
          <w:b w:val="0"/>
          <w:bCs w:val="0"/>
          <w:color w:val="000000"/>
          <w:sz w:val="32"/>
          <w:szCs w:val="32"/>
          <w:lang w:eastAsia="zh-CN"/>
        </w:rPr>
        <w:t>并</w:t>
      </w:r>
      <w:r>
        <w:rPr>
          <w:rFonts w:hint="default" w:ascii="Times New Roman" w:hAnsi="Times New Roman" w:eastAsia="仿宋_GB2312" w:cs="Times New Roman"/>
          <w:b w:val="0"/>
          <w:bCs w:val="0"/>
          <w:color w:val="000000"/>
          <w:sz w:val="32"/>
          <w:szCs w:val="32"/>
        </w:rPr>
        <w:t>会同有关部门组织实施</w:t>
      </w:r>
      <w:r>
        <w:rPr>
          <w:rFonts w:hint="default" w:ascii="Times New Roman" w:hAnsi="Times New Roman" w:eastAsia="仿宋_GB2312" w:cs="Times New Roman"/>
          <w:b w:val="0"/>
          <w:bCs w:val="0"/>
          <w:color w:val="000000"/>
          <w:sz w:val="32"/>
          <w:szCs w:val="32"/>
          <w:lang w:eastAsia="zh-CN"/>
        </w:rPr>
        <w:t>。负责</w:t>
      </w:r>
      <w:r>
        <w:rPr>
          <w:rFonts w:hint="default" w:ascii="Times New Roman" w:hAnsi="Times New Roman" w:eastAsia="仿宋_GB2312" w:cs="Times New Roman"/>
          <w:b w:val="0"/>
          <w:bCs w:val="0"/>
          <w:color w:val="000000"/>
          <w:sz w:val="32"/>
          <w:szCs w:val="32"/>
        </w:rPr>
        <w:t>农业检验检测体系建设</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依法组织实施符合安全标准的初级农产品生产基地认定、产品认证、初级农产品地理标志登记保护和监督管理。负责农业信息体系建设，推动数字农业发展。发布农业农村经济信息，监测分析农业农村经济运行</w:t>
      </w:r>
      <w:r>
        <w:rPr>
          <w:rFonts w:hint="eastAsia" w:eastAsia="仿宋_GB2312" w:cs="Times New Roman"/>
          <w:b w:val="0"/>
          <w:bCs w:val="0"/>
          <w:color w:val="000000"/>
          <w:sz w:val="32"/>
          <w:szCs w:val="32"/>
          <w:lang w:val="en-US" w:eastAsia="zh-CN"/>
        </w:rPr>
        <w:t>情况</w:t>
      </w:r>
      <w:r>
        <w:rPr>
          <w:rFonts w:hint="default" w:ascii="Times New Roman" w:hAnsi="Times New Roman" w:eastAsia="仿宋_GB2312" w:cs="Times New Roman"/>
          <w:b w:val="0"/>
          <w:bCs w:val="0"/>
          <w:color w:val="000000"/>
          <w:sz w:val="32"/>
          <w:szCs w:val="32"/>
        </w:rPr>
        <w:t>。</w:t>
      </w:r>
      <w:r>
        <w:rPr>
          <w:rFonts w:hint="default" w:ascii="Times New Roman" w:hAnsi="Times New Roman" w:eastAsia="仿宋_GB2312" w:cs="Times New Roman"/>
          <w:b w:val="0"/>
          <w:bCs w:val="0"/>
          <w:color w:val="000000"/>
          <w:sz w:val="32"/>
          <w:szCs w:val="32"/>
          <w:lang w:eastAsia="zh-CN"/>
        </w:rPr>
        <w:t>承担农业统计工作。</w:t>
      </w:r>
      <w:r>
        <w:rPr>
          <w:rFonts w:hint="default" w:ascii="Times New Roman" w:hAnsi="Times New Roman" w:eastAsia="仿宋_GB2312" w:cs="Times New Roman"/>
          <w:b w:val="0"/>
          <w:bCs w:val="0"/>
          <w:color w:val="000000"/>
          <w:sz w:val="32"/>
          <w:szCs w:val="32"/>
        </w:rPr>
        <w:t>负责农村能源建设和资源环境工作。</w:t>
      </w:r>
      <w:r>
        <w:rPr>
          <w:rFonts w:hint="default" w:ascii="Times New Roman" w:hAnsi="Times New Roman" w:eastAsia="仿宋_GB2312" w:cs="Times New Roman"/>
          <w:b w:val="0"/>
          <w:bCs w:val="0"/>
          <w:color w:val="000000"/>
          <w:sz w:val="32"/>
          <w:szCs w:val="32"/>
          <w:lang w:eastAsia="zh-CN"/>
        </w:rPr>
        <w:t>负责</w:t>
      </w:r>
      <w:r>
        <w:rPr>
          <w:rFonts w:hint="default" w:ascii="Times New Roman" w:hAnsi="Times New Roman" w:eastAsia="仿宋_GB2312" w:cs="Times New Roman"/>
          <w:b w:val="0"/>
          <w:bCs w:val="0"/>
          <w:color w:val="000000"/>
          <w:sz w:val="32"/>
          <w:szCs w:val="32"/>
        </w:rPr>
        <w:t>农产品产地环境管理和农业清洁生产，提出划定农产品禁止生产区域的政策建议。</w:t>
      </w:r>
      <w:r>
        <w:rPr>
          <w:rFonts w:hint="default" w:ascii="Times New Roman" w:hAnsi="Times New Roman" w:eastAsia="仿宋_GB2312" w:cs="Times New Roman"/>
          <w:b w:val="0"/>
          <w:bCs w:val="0"/>
          <w:color w:val="000000"/>
          <w:sz w:val="32"/>
          <w:szCs w:val="32"/>
          <w:lang w:eastAsia="zh-CN"/>
        </w:rPr>
        <w:t>负责</w:t>
      </w:r>
      <w:r>
        <w:rPr>
          <w:rFonts w:hint="default" w:ascii="Times New Roman" w:hAnsi="Times New Roman" w:eastAsia="仿宋_GB2312" w:cs="Times New Roman"/>
          <w:b w:val="0"/>
          <w:bCs w:val="0"/>
          <w:color w:val="000000"/>
          <w:sz w:val="32"/>
          <w:szCs w:val="32"/>
        </w:rPr>
        <w:t>设施农业、生态循环农业、节水农业发展以及农村可再生能源综合开发利用、农业生物质产业发展</w:t>
      </w:r>
      <w:r>
        <w:rPr>
          <w:rFonts w:hint="default" w:ascii="Times New Roman" w:hAnsi="Times New Roman" w:eastAsia="仿宋_GB2312" w:cs="Times New Roman"/>
          <w:b w:val="0"/>
          <w:bCs w:val="0"/>
          <w:color w:val="000000"/>
          <w:sz w:val="32"/>
          <w:szCs w:val="32"/>
          <w:lang w:eastAsia="zh-CN"/>
        </w:rPr>
        <w:t>。</w:t>
      </w:r>
    </w:p>
    <w:p w14:paraId="7D9C1C01">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9.</w:t>
      </w:r>
      <w:r>
        <w:rPr>
          <w:rFonts w:hint="default" w:ascii="Times New Roman" w:hAnsi="Times New Roman" w:eastAsia="仿宋_GB2312" w:cs="Times New Roman"/>
          <w:b w:val="0"/>
          <w:bCs w:val="0"/>
          <w:color w:val="000000"/>
          <w:sz w:val="32"/>
          <w:szCs w:val="32"/>
        </w:rPr>
        <w:t>负责耕地、永久基本农田质量保护和高标准农田建设工作。负责全</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农田建设管理</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编制农业综合开发项目、农田建设项目、农田整治项目、农田水利建设项目的年度计划，并组织实施和管理。组织开展全</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农业资源区划和资源保护工作。</w:t>
      </w:r>
      <w:r>
        <w:rPr>
          <w:rFonts w:hint="default" w:ascii="Times New Roman" w:hAnsi="Times New Roman" w:eastAsia="仿宋_GB2312" w:cs="Times New Roman"/>
          <w:b w:val="0"/>
          <w:bCs w:val="0"/>
          <w:color w:val="000000"/>
          <w:sz w:val="32"/>
          <w:szCs w:val="32"/>
          <w:lang w:eastAsia="zh-CN"/>
        </w:rPr>
        <w:t>负责</w:t>
      </w:r>
      <w:r>
        <w:rPr>
          <w:rFonts w:hint="default" w:ascii="Times New Roman" w:hAnsi="Times New Roman" w:eastAsia="仿宋_GB2312" w:cs="Times New Roman"/>
          <w:b w:val="0"/>
          <w:bCs w:val="0"/>
          <w:color w:val="000000"/>
          <w:sz w:val="32"/>
          <w:szCs w:val="32"/>
        </w:rPr>
        <w:t>农用地、渔业水域以及农业生物物种资源的保护与管理，负责水生野生动植物保护。</w:t>
      </w:r>
    </w:p>
    <w:p w14:paraId="456B63F1">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10.</w:t>
      </w:r>
      <w:r>
        <w:rPr>
          <w:rFonts w:hint="default" w:ascii="Times New Roman" w:hAnsi="Times New Roman" w:eastAsia="仿宋_GB2312" w:cs="Times New Roman"/>
          <w:b w:val="0"/>
          <w:bCs w:val="0"/>
          <w:color w:val="000000"/>
          <w:sz w:val="32"/>
          <w:szCs w:val="32"/>
        </w:rPr>
        <w:t>负责全</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有关农业生产资料和农业投入品的监督管理。组织农业生产资料市场体系建设，承担农作物种子</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种苗</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、食用菌种、蚕种、饲草良种、种畜禽、水产苗种、农药、兽药</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渔药</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饲料、饲料添加剂等农业生产资料的监督管理职责。牵头负责“瘦肉精”监督管理工作。监督管理兽医医疗器械、肥料。拟订有关农业生产资料地方标准并监督实施，会同有关部门监督实施农业生产资料国家标准。牵头拟订种业振兴政策并组织实施</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组织兽医医政、兽药</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渔药</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药政药检工作，负责执业兽医和畜禽屠宰行业管理。</w:t>
      </w:r>
    </w:p>
    <w:p w14:paraId="52360FD9">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11.</w:t>
      </w:r>
      <w:r>
        <w:rPr>
          <w:rFonts w:hint="default" w:ascii="Times New Roman" w:hAnsi="Times New Roman" w:eastAsia="仿宋_GB2312" w:cs="Times New Roman"/>
          <w:b w:val="0"/>
          <w:bCs w:val="0"/>
          <w:color w:val="000000"/>
          <w:sz w:val="32"/>
          <w:szCs w:val="32"/>
        </w:rPr>
        <w:t>负责全</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农业防灾减灾、农作物重大病虫害防治工</w:t>
      </w:r>
      <w:r>
        <w:rPr>
          <w:rFonts w:hint="default" w:ascii="Times New Roman" w:hAnsi="Times New Roman" w:eastAsia="仿宋_GB2312" w:cs="Times New Roman"/>
          <w:b w:val="0"/>
          <w:bCs w:val="0"/>
          <w:color w:val="000000"/>
          <w:sz w:val="32"/>
          <w:szCs w:val="32"/>
          <w:lang w:eastAsia="zh-CN"/>
        </w:rPr>
        <w:t>作。牵头起草</w:t>
      </w:r>
      <w:r>
        <w:rPr>
          <w:rFonts w:hint="default" w:ascii="Times New Roman" w:hAnsi="Times New Roman" w:eastAsia="仿宋_GB2312" w:cs="Times New Roman"/>
          <w:b w:val="0"/>
          <w:bCs w:val="0"/>
          <w:color w:val="000000"/>
          <w:sz w:val="32"/>
          <w:szCs w:val="32"/>
        </w:rPr>
        <w:t>动植物防</w:t>
      </w:r>
      <w:r>
        <w:rPr>
          <w:rFonts w:hint="default" w:ascii="Times New Roman" w:hAnsi="Times New Roman" w:eastAsia="仿宋_GB2312" w:cs="Times New Roman"/>
          <w:b w:val="0"/>
          <w:bCs w:val="0"/>
          <w:color w:val="000000"/>
          <w:sz w:val="32"/>
          <w:szCs w:val="32"/>
          <w:lang w:eastAsia="zh-CN"/>
        </w:rPr>
        <w:t>疫</w:t>
      </w:r>
      <w:r>
        <w:rPr>
          <w:rFonts w:hint="default" w:ascii="Times New Roman" w:hAnsi="Times New Roman" w:eastAsia="仿宋_GB2312" w:cs="Times New Roman"/>
          <w:b w:val="0"/>
          <w:bCs w:val="0"/>
          <w:color w:val="000000"/>
          <w:sz w:val="32"/>
          <w:szCs w:val="32"/>
        </w:rPr>
        <w:t>和检</w:t>
      </w:r>
      <w:r>
        <w:rPr>
          <w:rFonts w:hint="default" w:ascii="Times New Roman" w:hAnsi="Times New Roman" w:eastAsia="仿宋_GB2312" w:cs="Times New Roman"/>
          <w:b w:val="0"/>
          <w:bCs w:val="0"/>
          <w:color w:val="000000"/>
          <w:sz w:val="32"/>
          <w:szCs w:val="32"/>
          <w:lang w:eastAsia="zh-CN"/>
        </w:rPr>
        <w:t>疫</w:t>
      </w:r>
      <w:r>
        <w:rPr>
          <w:rFonts w:hint="default" w:ascii="Times New Roman" w:hAnsi="Times New Roman" w:eastAsia="仿宋_GB2312" w:cs="Times New Roman"/>
          <w:b w:val="0"/>
          <w:bCs w:val="0"/>
          <w:color w:val="000000"/>
          <w:sz w:val="32"/>
          <w:szCs w:val="32"/>
        </w:rPr>
        <w:t>的</w:t>
      </w:r>
      <w:r>
        <w:rPr>
          <w:rFonts w:hint="default" w:ascii="Times New Roman" w:hAnsi="Times New Roman" w:eastAsia="仿宋_GB2312" w:cs="Times New Roman"/>
          <w:b w:val="0"/>
          <w:bCs w:val="0"/>
          <w:color w:val="000000"/>
          <w:sz w:val="32"/>
          <w:szCs w:val="32"/>
          <w:lang w:eastAsia="zh-CN"/>
        </w:rPr>
        <w:t>规范性文件</w:t>
      </w:r>
      <w:r>
        <w:rPr>
          <w:rFonts w:hint="default" w:ascii="Times New Roman" w:hAnsi="Times New Roman" w:eastAsia="仿宋_GB2312" w:cs="Times New Roman"/>
          <w:b w:val="0"/>
          <w:bCs w:val="0"/>
          <w:color w:val="000000"/>
          <w:sz w:val="32"/>
          <w:szCs w:val="32"/>
        </w:rPr>
        <w:t>，</w:t>
      </w:r>
      <w:r>
        <w:rPr>
          <w:rFonts w:hint="default" w:ascii="Times New Roman" w:hAnsi="Times New Roman" w:eastAsia="仿宋_GB2312" w:cs="Times New Roman"/>
          <w:b w:val="0"/>
          <w:bCs w:val="0"/>
          <w:color w:val="000000"/>
          <w:sz w:val="32"/>
          <w:szCs w:val="32"/>
          <w:lang w:eastAsia="zh-CN"/>
        </w:rPr>
        <w:t>会</w:t>
      </w:r>
      <w:r>
        <w:rPr>
          <w:rFonts w:hint="default" w:ascii="Times New Roman" w:hAnsi="Times New Roman" w:eastAsia="仿宋_GB2312" w:cs="Times New Roman"/>
          <w:b w:val="0"/>
          <w:bCs w:val="0"/>
          <w:color w:val="000000"/>
          <w:sz w:val="32"/>
          <w:szCs w:val="32"/>
        </w:rPr>
        <w:t>同</w:t>
      </w:r>
      <w:r>
        <w:rPr>
          <w:rFonts w:hint="default" w:ascii="Times New Roman" w:hAnsi="Times New Roman" w:eastAsia="仿宋_GB2312" w:cs="Times New Roman"/>
          <w:b w:val="0"/>
          <w:bCs w:val="0"/>
          <w:color w:val="000000"/>
          <w:sz w:val="32"/>
          <w:szCs w:val="32"/>
          <w:lang w:eastAsia="zh-CN"/>
        </w:rPr>
        <w:t>有</w:t>
      </w:r>
      <w:r>
        <w:rPr>
          <w:rFonts w:hint="default" w:ascii="Times New Roman" w:hAnsi="Times New Roman" w:eastAsia="仿宋_GB2312" w:cs="Times New Roman"/>
          <w:b w:val="0"/>
          <w:bCs w:val="0"/>
          <w:color w:val="000000"/>
          <w:sz w:val="32"/>
          <w:szCs w:val="32"/>
        </w:rPr>
        <w:t>关</w:t>
      </w:r>
      <w:r>
        <w:rPr>
          <w:rFonts w:hint="default" w:ascii="Times New Roman" w:hAnsi="Times New Roman" w:eastAsia="仿宋_GB2312" w:cs="Times New Roman"/>
          <w:b w:val="0"/>
          <w:bCs w:val="0"/>
          <w:color w:val="000000"/>
          <w:sz w:val="32"/>
          <w:szCs w:val="32"/>
          <w:lang w:eastAsia="zh-CN"/>
        </w:rPr>
        <w:t>部门</w:t>
      </w:r>
      <w:r>
        <w:rPr>
          <w:rFonts w:hint="default" w:ascii="Times New Roman" w:hAnsi="Times New Roman" w:eastAsia="仿宋_GB2312" w:cs="Times New Roman"/>
          <w:b w:val="0"/>
          <w:bCs w:val="0"/>
          <w:color w:val="000000"/>
          <w:sz w:val="32"/>
          <w:szCs w:val="32"/>
        </w:rPr>
        <w:t>制定动植物防</w:t>
      </w:r>
      <w:r>
        <w:rPr>
          <w:rFonts w:hint="default" w:ascii="Times New Roman" w:hAnsi="Times New Roman" w:eastAsia="仿宋_GB2312" w:cs="Times New Roman"/>
          <w:b w:val="0"/>
          <w:bCs w:val="0"/>
          <w:color w:val="000000"/>
          <w:sz w:val="32"/>
          <w:szCs w:val="32"/>
          <w:lang w:eastAsia="zh-CN"/>
        </w:rPr>
        <w:t>疫</w:t>
      </w:r>
      <w:r>
        <w:rPr>
          <w:rFonts w:hint="default" w:ascii="Times New Roman" w:hAnsi="Times New Roman" w:eastAsia="仿宋_GB2312" w:cs="Times New Roman"/>
          <w:b w:val="0"/>
          <w:bCs w:val="0"/>
          <w:color w:val="000000"/>
          <w:sz w:val="32"/>
          <w:szCs w:val="32"/>
        </w:rPr>
        <w:t>检</w:t>
      </w:r>
      <w:r>
        <w:rPr>
          <w:rFonts w:hint="default" w:ascii="Times New Roman" w:hAnsi="Times New Roman" w:eastAsia="仿宋_GB2312" w:cs="Times New Roman"/>
          <w:b w:val="0"/>
          <w:bCs w:val="0"/>
          <w:color w:val="000000"/>
          <w:sz w:val="32"/>
          <w:szCs w:val="32"/>
          <w:lang w:eastAsia="zh-CN"/>
        </w:rPr>
        <w:t>疫</w:t>
      </w:r>
      <w:r>
        <w:rPr>
          <w:rFonts w:hint="default" w:ascii="Times New Roman" w:hAnsi="Times New Roman" w:eastAsia="仿宋_GB2312" w:cs="Times New Roman"/>
          <w:b w:val="0"/>
          <w:bCs w:val="0"/>
          <w:color w:val="000000"/>
          <w:sz w:val="32"/>
          <w:szCs w:val="32"/>
        </w:rPr>
        <w:t>政策</w:t>
      </w:r>
      <w:r>
        <w:rPr>
          <w:rFonts w:hint="default" w:ascii="Times New Roman" w:hAnsi="Times New Roman" w:eastAsia="仿宋_GB2312" w:cs="Times New Roman"/>
          <w:b w:val="0"/>
          <w:bCs w:val="0"/>
          <w:color w:val="000000"/>
          <w:sz w:val="32"/>
          <w:szCs w:val="32"/>
          <w:lang w:eastAsia="zh-CN"/>
        </w:rPr>
        <w:t>并</w:t>
      </w:r>
      <w:r>
        <w:rPr>
          <w:rFonts w:hint="default" w:ascii="Times New Roman" w:hAnsi="Times New Roman" w:eastAsia="仿宋_GB2312" w:cs="Times New Roman"/>
          <w:b w:val="0"/>
          <w:bCs w:val="0"/>
          <w:color w:val="000000"/>
          <w:sz w:val="32"/>
          <w:szCs w:val="32"/>
        </w:rPr>
        <w:t>实施。</w:t>
      </w:r>
      <w:r>
        <w:rPr>
          <w:rFonts w:hint="default" w:ascii="Times New Roman" w:hAnsi="Times New Roman" w:eastAsia="仿宋_GB2312" w:cs="Times New Roman"/>
          <w:b w:val="0"/>
          <w:bCs w:val="0"/>
          <w:color w:val="000000"/>
          <w:sz w:val="32"/>
          <w:szCs w:val="32"/>
          <w:lang w:eastAsia="zh-CN"/>
        </w:rPr>
        <w:t>负责</w:t>
      </w:r>
      <w:r>
        <w:rPr>
          <w:rFonts w:hint="default" w:ascii="Times New Roman" w:hAnsi="Times New Roman" w:eastAsia="仿宋_GB2312" w:cs="Times New Roman"/>
          <w:b w:val="0"/>
          <w:bCs w:val="0"/>
          <w:color w:val="000000"/>
          <w:sz w:val="32"/>
          <w:szCs w:val="32"/>
        </w:rPr>
        <w:t>动植物防</w:t>
      </w:r>
      <w:r>
        <w:rPr>
          <w:rFonts w:hint="default" w:ascii="Times New Roman" w:hAnsi="Times New Roman" w:eastAsia="仿宋_GB2312" w:cs="Times New Roman"/>
          <w:b w:val="0"/>
          <w:bCs w:val="0"/>
          <w:color w:val="000000"/>
          <w:sz w:val="32"/>
          <w:szCs w:val="32"/>
          <w:lang w:eastAsia="zh-CN"/>
        </w:rPr>
        <w:t>疫检疫体</w:t>
      </w:r>
      <w:r>
        <w:rPr>
          <w:rFonts w:hint="default" w:ascii="Times New Roman" w:hAnsi="Times New Roman" w:eastAsia="仿宋_GB2312" w:cs="Times New Roman"/>
          <w:b w:val="0"/>
          <w:bCs w:val="0"/>
          <w:color w:val="000000"/>
          <w:sz w:val="32"/>
          <w:szCs w:val="32"/>
        </w:rPr>
        <w:t>系建设，组织监督管理</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内动植物防疫检疫工作</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依法组织扑灭、阻击疫情。组织植物检疫性有害生物普查。牵头管理外来农业物种。监测、核查、发布农业灾情，组织种子、种苗、化肥、</w:t>
      </w:r>
      <w:r>
        <w:rPr>
          <w:rFonts w:hint="default" w:ascii="Times New Roman" w:hAnsi="Times New Roman" w:eastAsia="仿宋_GB2312" w:cs="Times New Roman"/>
          <w:b w:val="0"/>
          <w:bCs w:val="0"/>
          <w:color w:val="000000"/>
          <w:sz w:val="32"/>
          <w:szCs w:val="32"/>
          <w:lang w:eastAsia="zh-CN"/>
        </w:rPr>
        <w:t>兽</w:t>
      </w:r>
      <w:r>
        <w:rPr>
          <w:rFonts w:hint="default" w:ascii="Times New Roman" w:hAnsi="Times New Roman" w:eastAsia="仿宋_GB2312" w:cs="Times New Roman"/>
          <w:b w:val="0"/>
          <w:bCs w:val="0"/>
          <w:color w:val="000000"/>
          <w:sz w:val="32"/>
          <w:szCs w:val="32"/>
        </w:rPr>
        <w:t>药</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渔药</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等农业生产</w:t>
      </w:r>
      <w:r>
        <w:rPr>
          <w:rFonts w:hint="default" w:ascii="Times New Roman" w:hAnsi="Times New Roman" w:eastAsia="仿宋_GB2312" w:cs="Times New Roman"/>
          <w:b w:val="0"/>
          <w:bCs w:val="0"/>
          <w:color w:val="000000"/>
          <w:sz w:val="32"/>
          <w:szCs w:val="32"/>
          <w:lang w:eastAsia="zh-CN"/>
        </w:rPr>
        <w:t>救</w:t>
      </w:r>
      <w:r>
        <w:rPr>
          <w:rFonts w:hint="default" w:ascii="Times New Roman" w:hAnsi="Times New Roman" w:eastAsia="仿宋_GB2312" w:cs="Times New Roman"/>
          <w:b w:val="0"/>
          <w:bCs w:val="0"/>
          <w:color w:val="000000"/>
          <w:sz w:val="32"/>
          <w:szCs w:val="32"/>
        </w:rPr>
        <w:t>灾物资的储备和调拨，提出生产救灾资金安排建议，</w:t>
      </w:r>
      <w:r>
        <w:rPr>
          <w:rFonts w:hint="default" w:ascii="Times New Roman" w:hAnsi="Times New Roman" w:eastAsia="仿宋_GB2312" w:cs="Times New Roman"/>
          <w:b w:val="0"/>
          <w:bCs w:val="0"/>
          <w:color w:val="000000"/>
          <w:sz w:val="32"/>
          <w:szCs w:val="32"/>
          <w:lang w:eastAsia="zh-CN"/>
        </w:rPr>
        <w:t>负责</w:t>
      </w:r>
      <w:r>
        <w:rPr>
          <w:rFonts w:hint="default" w:ascii="Times New Roman" w:hAnsi="Times New Roman" w:eastAsia="仿宋_GB2312" w:cs="Times New Roman"/>
          <w:b w:val="0"/>
          <w:bCs w:val="0"/>
          <w:color w:val="000000"/>
          <w:sz w:val="32"/>
          <w:szCs w:val="32"/>
        </w:rPr>
        <w:t>紧急救灾和灾后生产恢复。</w:t>
      </w:r>
    </w:p>
    <w:p w14:paraId="620A699C">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12.</w:t>
      </w:r>
      <w:r>
        <w:rPr>
          <w:rFonts w:hint="default" w:ascii="Times New Roman" w:hAnsi="Times New Roman" w:eastAsia="仿宋_GB2312" w:cs="Times New Roman"/>
          <w:b w:val="0"/>
          <w:bCs w:val="0"/>
          <w:color w:val="000000"/>
          <w:sz w:val="32"/>
          <w:szCs w:val="32"/>
        </w:rPr>
        <w:t>负责全</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农业投资管理。提出农业投融资体制机制改革建议。</w:t>
      </w:r>
      <w:r>
        <w:rPr>
          <w:rFonts w:hint="default" w:ascii="Times New Roman" w:hAnsi="Times New Roman" w:eastAsia="仿宋_GB2312" w:cs="Times New Roman"/>
          <w:b w:val="0"/>
          <w:bCs w:val="0"/>
          <w:color w:val="000000"/>
          <w:sz w:val="32"/>
          <w:szCs w:val="32"/>
          <w:lang w:eastAsia="zh-CN"/>
        </w:rPr>
        <w:t>参与农村金融、农业保险的政策拟订和改革试点。</w:t>
      </w:r>
      <w:r>
        <w:rPr>
          <w:rFonts w:hint="default" w:ascii="Times New Roman" w:hAnsi="Times New Roman" w:eastAsia="仿宋_GB2312" w:cs="Times New Roman"/>
          <w:b w:val="0"/>
          <w:bCs w:val="0"/>
          <w:color w:val="000000"/>
          <w:sz w:val="32"/>
          <w:szCs w:val="32"/>
        </w:rPr>
        <w:t>编制</w:t>
      </w:r>
      <w:r>
        <w:rPr>
          <w:rFonts w:hint="default" w:ascii="Times New Roman" w:hAnsi="Times New Roman" w:eastAsia="仿宋_GB2312" w:cs="Times New Roman"/>
          <w:b w:val="0"/>
          <w:bCs w:val="0"/>
          <w:color w:val="000000"/>
          <w:sz w:val="32"/>
          <w:szCs w:val="32"/>
          <w:lang w:val="en-US" w:eastAsia="zh-CN"/>
        </w:rPr>
        <w:t>各级</w:t>
      </w:r>
      <w:r>
        <w:rPr>
          <w:rFonts w:hint="default" w:ascii="Times New Roman" w:hAnsi="Times New Roman" w:eastAsia="仿宋_GB2312" w:cs="Times New Roman"/>
          <w:b w:val="0"/>
          <w:bCs w:val="0"/>
          <w:color w:val="000000"/>
          <w:sz w:val="32"/>
          <w:szCs w:val="32"/>
        </w:rPr>
        <w:t>农业投资项目建设规划，提出农业投资规模和方向、扶持农业农村发展财政项目的建议。按</w:t>
      </w:r>
      <w:r>
        <w:rPr>
          <w:rFonts w:hint="default" w:ascii="Times New Roman" w:hAnsi="Times New Roman" w:eastAsia="仿宋_GB2312" w:cs="Times New Roman"/>
          <w:b w:val="0"/>
          <w:bCs w:val="0"/>
          <w:color w:val="000000"/>
          <w:sz w:val="32"/>
          <w:szCs w:val="32"/>
          <w:lang w:eastAsia="zh-CN"/>
        </w:rPr>
        <w:t>照</w:t>
      </w:r>
      <w:r>
        <w:rPr>
          <w:rFonts w:hint="default" w:ascii="Times New Roman" w:hAnsi="Times New Roman" w:eastAsia="仿宋_GB2312" w:cs="Times New Roman"/>
          <w:b w:val="0"/>
          <w:bCs w:val="0"/>
          <w:color w:val="000000"/>
          <w:sz w:val="32"/>
          <w:szCs w:val="32"/>
        </w:rPr>
        <w:t>规定权限审批农业投资项目，负责农业投资项目资金安排、监督检查和绩效管理。</w:t>
      </w:r>
    </w:p>
    <w:p w14:paraId="62AE6A62">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13.</w:t>
      </w:r>
      <w:r>
        <w:rPr>
          <w:rFonts w:hint="default" w:ascii="Times New Roman" w:hAnsi="Times New Roman" w:eastAsia="仿宋_GB2312" w:cs="Times New Roman"/>
          <w:b w:val="0"/>
          <w:bCs w:val="0"/>
          <w:color w:val="000000"/>
          <w:sz w:val="32"/>
          <w:szCs w:val="32"/>
        </w:rPr>
        <w:t>制定全</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农业科研、农技推广的规划、计划和有关政策并组织实施，</w:t>
      </w:r>
      <w:r>
        <w:rPr>
          <w:rFonts w:hint="default" w:ascii="Times New Roman" w:hAnsi="Times New Roman" w:eastAsia="仿宋_GB2312" w:cs="Times New Roman"/>
          <w:b w:val="0"/>
          <w:bCs w:val="0"/>
          <w:color w:val="000000"/>
          <w:sz w:val="32"/>
          <w:szCs w:val="32"/>
          <w:lang w:eastAsia="zh-CN"/>
        </w:rPr>
        <w:t>牵头</w:t>
      </w:r>
      <w:r>
        <w:rPr>
          <w:rFonts w:hint="default" w:ascii="Times New Roman" w:hAnsi="Times New Roman" w:eastAsia="仿宋_GB2312" w:cs="Times New Roman"/>
          <w:b w:val="0"/>
          <w:bCs w:val="0"/>
          <w:color w:val="000000"/>
          <w:sz w:val="32"/>
          <w:szCs w:val="32"/>
        </w:rPr>
        <w:t>推动农业科技体制改革和科技创新体系建设。</w:t>
      </w:r>
      <w:r>
        <w:rPr>
          <w:rFonts w:hint="default" w:ascii="Times New Roman" w:hAnsi="Times New Roman" w:eastAsia="仿宋_GB2312" w:cs="Times New Roman"/>
          <w:b w:val="0"/>
          <w:bCs w:val="0"/>
          <w:color w:val="000000"/>
          <w:sz w:val="32"/>
          <w:szCs w:val="32"/>
          <w:lang w:eastAsia="zh-CN"/>
        </w:rPr>
        <w:t>负责</w:t>
      </w:r>
      <w:r>
        <w:rPr>
          <w:rFonts w:hint="default" w:ascii="Times New Roman" w:hAnsi="Times New Roman" w:eastAsia="仿宋_GB2312" w:cs="Times New Roman"/>
          <w:b w:val="0"/>
          <w:bCs w:val="0"/>
          <w:color w:val="000000"/>
          <w:sz w:val="32"/>
          <w:szCs w:val="32"/>
        </w:rPr>
        <w:t>农业产业技术体系和农技推广体系建设。组织农作物、畜禽、水产养殖等新品种育种攻关和农业先进技术引进、试验、转化、示范、推广。负责农业转基因生物安全监督管理和农业植物新品种保护。</w:t>
      </w:r>
    </w:p>
    <w:p w14:paraId="62004E0D">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14.</w:t>
      </w:r>
      <w:r>
        <w:rPr>
          <w:rFonts w:hint="default" w:ascii="Times New Roman" w:hAnsi="Times New Roman" w:eastAsia="仿宋_GB2312" w:cs="Times New Roman"/>
          <w:b w:val="0"/>
          <w:bCs w:val="0"/>
          <w:color w:val="000000"/>
          <w:sz w:val="32"/>
          <w:szCs w:val="32"/>
          <w:lang w:eastAsia="zh-CN"/>
        </w:rPr>
        <w:t>负责</w:t>
      </w:r>
      <w:r>
        <w:rPr>
          <w:rFonts w:hint="default" w:ascii="Times New Roman" w:hAnsi="Times New Roman" w:eastAsia="仿宋_GB2312" w:cs="Times New Roman"/>
          <w:b w:val="0"/>
          <w:bCs w:val="0"/>
          <w:color w:val="000000"/>
          <w:sz w:val="32"/>
          <w:szCs w:val="32"/>
        </w:rPr>
        <w:t>全</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农业农村人才工作。拟订农业农村人才队伍建设规划并组织实施，</w:t>
      </w:r>
      <w:r>
        <w:rPr>
          <w:rFonts w:hint="default" w:ascii="Times New Roman" w:hAnsi="Times New Roman" w:eastAsia="仿宋_GB2312" w:cs="Times New Roman"/>
          <w:b w:val="0"/>
          <w:bCs w:val="0"/>
          <w:color w:val="000000"/>
          <w:sz w:val="32"/>
          <w:szCs w:val="32"/>
          <w:lang w:eastAsia="zh-CN"/>
        </w:rPr>
        <w:t>负责</w:t>
      </w:r>
      <w:r>
        <w:rPr>
          <w:rFonts w:hint="default" w:ascii="Times New Roman" w:hAnsi="Times New Roman" w:eastAsia="仿宋_GB2312" w:cs="Times New Roman"/>
          <w:b w:val="0"/>
          <w:bCs w:val="0"/>
          <w:color w:val="000000"/>
          <w:sz w:val="32"/>
          <w:szCs w:val="32"/>
        </w:rPr>
        <w:t>农业教育和农业职业技能开发，</w:t>
      </w:r>
      <w:r>
        <w:rPr>
          <w:rStyle w:val="7"/>
          <w:rFonts w:hint="default" w:ascii="Times New Roman" w:hAnsi="Times New Roman" w:eastAsia="仿宋_GB2312" w:cs="Times New Roman"/>
          <w:b w:val="0"/>
          <w:bCs w:val="0"/>
          <w:color w:val="000000"/>
          <w:sz w:val="32"/>
          <w:szCs w:val="32"/>
        </w:rPr>
        <w:t>承担</w:t>
      </w:r>
      <w:r>
        <w:rPr>
          <w:rFonts w:hint="default" w:ascii="Times New Roman" w:hAnsi="Times New Roman" w:eastAsia="仿宋_GB2312" w:cs="Times New Roman"/>
          <w:b w:val="0"/>
          <w:bCs w:val="0"/>
          <w:color w:val="000000"/>
          <w:sz w:val="32"/>
          <w:szCs w:val="32"/>
        </w:rPr>
        <w:t>新型职业农民</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lang w:val="en-US" w:eastAsia="zh-CN"/>
        </w:rPr>
        <w:t>高素质农民</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培育、农业科技人才培养和农村实用人才培训工作。</w:t>
      </w:r>
    </w:p>
    <w:p w14:paraId="6CA8D5C0">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15.</w:t>
      </w:r>
      <w:r>
        <w:rPr>
          <w:rFonts w:hint="default" w:ascii="Times New Roman" w:hAnsi="Times New Roman" w:eastAsia="仿宋_GB2312" w:cs="Times New Roman"/>
          <w:b w:val="0"/>
          <w:bCs w:val="0"/>
          <w:color w:val="000000"/>
          <w:sz w:val="32"/>
          <w:szCs w:val="32"/>
          <w:lang w:eastAsia="zh-CN"/>
        </w:rPr>
        <w:t>牵头</w:t>
      </w:r>
      <w:r>
        <w:rPr>
          <w:rFonts w:hint="default" w:ascii="Times New Roman" w:hAnsi="Times New Roman" w:eastAsia="仿宋_GB2312" w:cs="Times New Roman"/>
          <w:b w:val="0"/>
          <w:bCs w:val="0"/>
          <w:color w:val="000000"/>
          <w:sz w:val="32"/>
          <w:szCs w:val="32"/>
        </w:rPr>
        <w:t>开</w:t>
      </w:r>
      <w:r>
        <w:rPr>
          <w:rFonts w:hint="default" w:ascii="Times New Roman" w:hAnsi="Times New Roman" w:eastAsia="仿宋_GB2312" w:cs="Times New Roman"/>
          <w:b w:val="0"/>
          <w:bCs w:val="0"/>
          <w:color w:val="000000"/>
          <w:sz w:val="32"/>
          <w:szCs w:val="32"/>
          <w:lang w:eastAsia="zh-CN"/>
        </w:rPr>
        <w:t>展全区</w:t>
      </w:r>
      <w:r>
        <w:rPr>
          <w:rFonts w:hint="default" w:ascii="Times New Roman" w:hAnsi="Times New Roman" w:eastAsia="仿宋_GB2312" w:cs="Times New Roman"/>
          <w:b w:val="0"/>
          <w:bCs w:val="0"/>
          <w:color w:val="000000"/>
          <w:sz w:val="32"/>
          <w:szCs w:val="32"/>
        </w:rPr>
        <w:t>农业对外合作工作</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承办政府间农业</w:t>
      </w:r>
      <w:r>
        <w:rPr>
          <w:rFonts w:hint="default" w:ascii="Times New Roman" w:hAnsi="Times New Roman" w:eastAsia="仿宋_GB2312" w:cs="Times New Roman"/>
          <w:b w:val="0"/>
          <w:bCs w:val="0"/>
          <w:color w:val="000000"/>
          <w:sz w:val="32"/>
          <w:szCs w:val="32"/>
          <w:lang w:eastAsia="zh-CN"/>
        </w:rPr>
        <w:t>涉</w:t>
      </w:r>
      <w:r>
        <w:rPr>
          <w:rFonts w:hint="default" w:ascii="Times New Roman" w:hAnsi="Times New Roman" w:eastAsia="仿宋_GB2312" w:cs="Times New Roman"/>
          <w:b w:val="0"/>
          <w:bCs w:val="0"/>
          <w:color w:val="000000"/>
          <w:sz w:val="32"/>
          <w:szCs w:val="32"/>
        </w:rPr>
        <w:t>外事务</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参与</w:t>
      </w:r>
      <w:r>
        <w:rPr>
          <w:rFonts w:hint="default" w:ascii="Times New Roman" w:hAnsi="Times New Roman" w:eastAsia="仿宋_GB2312" w:cs="Times New Roman"/>
          <w:b w:val="0"/>
          <w:bCs w:val="0"/>
          <w:color w:val="000000"/>
          <w:sz w:val="32"/>
          <w:szCs w:val="32"/>
          <w:lang w:eastAsia="zh-CN"/>
        </w:rPr>
        <w:t>拟</w:t>
      </w:r>
      <w:r>
        <w:rPr>
          <w:rFonts w:hint="default" w:ascii="Times New Roman" w:hAnsi="Times New Roman" w:eastAsia="仿宋_GB2312" w:cs="Times New Roman"/>
          <w:b w:val="0"/>
          <w:bCs w:val="0"/>
          <w:color w:val="000000"/>
          <w:sz w:val="32"/>
          <w:szCs w:val="32"/>
        </w:rPr>
        <w:t>订农</w:t>
      </w:r>
      <w:r>
        <w:rPr>
          <w:rFonts w:hint="default" w:ascii="Times New Roman" w:hAnsi="Times New Roman" w:eastAsia="仿宋_GB2312" w:cs="Times New Roman"/>
          <w:b w:val="0"/>
          <w:bCs w:val="0"/>
          <w:color w:val="000000"/>
          <w:sz w:val="32"/>
          <w:szCs w:val="32"/>
          <w:lang w:eastAsia="zh-CN"/>
        </w:rPr>
        <w:t>业</w:t>
      </w:r>
      <w:r>
        <w:rPr>
          <w:rFonts w:hint="default" w:ascii="Times New Roman" w:hAnsi="Times New Roman" w:eastAsia="仿宋_GB2312" w:cs="Times New Roman"/>
          <w:b w:val="0"/>
          <w:bCs w:val="0"/>
          <w:color w:val="000000"/>
          <w:sz w:val="32"/>
          <w:szCs w:val="32"/>
        </w:rPr>
        <w:t>对外开放</w:t>
      </w:r>
      <w:r>
        <w:rPr>
          <w:rFonts w:hint="default" w:ascii="Times New Roman" w:hAnsi="Times New Roman" w:eastAsia="仿宋_GB2312" w:cs="Times New Roman"/>
          <w:b w:val="0"/>
          <w:bCs w:val="0"/>
          <w:color w:val="000000"/>
          <w:sz w:val="32"/>
          <w:szCs w:val="32"/>
          <w:lang w:eastAsia="zh-CN"/>
        </w:rPr>
        <w:t>政策</w:t>
      </w:r>
      <w:r>
        <w:rPr>
          <w:rFonts w:hint="default" w:ascii="Times New Roman" w:hAnsi="Times New Roman" w:eastAsia="仿宋_GB2312" w:cs="Times New Roman"/>
          <w:b w:val="0"/>
          <w:bCs w:val="0"/>
          <w:color w:val="000000"/>
          <w:sz w:val="32"/>
          <w:szCs w:val="32"/>
        </w:rPr>
        <w:t>和外向型农业发展</w:t>
      </w:r>
      <w:r>
        <w:rPr>
          <w:rFonts w:hint="default" w:ascii="Times New Roman" w:hAnsi="Times New Roman" w:eastAsia="仿宋_GB2312" w:cs="Times New Roman"/>
          <w:b w:val="0"/>
          <w:bCs w:val="0"/>
          <w:color w:val="000000"/>
          <w:sz w:val="32"/>
          <w:szCs w:val="32"/>
          <w:lang w:eastAsia="zh-CN"/>
        </w:rPr>
        <w:t>规划</w:t>
      </w:r>
      <w:r>
        <w:rPr>
          <w:rFonts w:hint="default" w:ascii="Times New Roman" w:hAnsi="Times New Roman" w:eastAsia="仿宋_GB2312" w:cs="Times New Roman"/>
          <w:b w:val="0"/>
          <w:bCs w:val="0"/>
          <w:color w:val="000000"/>
          <w:sz w:val="32"/>
          <w:szCs w:val="32"/>
        </w:rPr>
        <w:t>，指导外向型农业发展</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组织开展农业贸易促进和有关国际交流合作</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组织开展农业投资促进活动，推动农业开放合作。</w:t>
      </w:r>
    </w:p>
    <w:p w14:paraId="6269750A">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16.</w:t>
      </w:r>
      <w:r>
        <w:rPr>
          <w:rFonts w:hint="default" w:ascii="Times New Roman" w:hAnsi="Times New Roman" w:eastAsia="仿宋_GB2312" w:cs="Times New Roman"/>
          <w:b w:val="0"/>
          <w:bCs w:val="0"/>
          <w:color w:val="000000"/>
          <w:sz w:val="32"/>
          <w:szCs w:val="32"/>
        </w:rPr>
        <w:t>编制全区烟叶种植规划方案，督促检查烟叶种植方案贯彻落实。协调烟草工业、商业做好相关工作。组织实施区级烟草扶持项目。</w:t>
      </w:r>
    </w:p>
    <w:p w14:paraId="61F49ABB">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17.</w:t>
      </w:r>
      <w:r>
        <w:rPr>
          <w:rFonts w:hint="default" w:ascii="Times New Roman" w:hAnsi="Times New Roman" w:eastAsia="仿宋_GB2312" w:cs="Times New Roman"/>
          <w:b w:val="0"/>
          <w:bCs w:val="0"/>
          <w:color w:val="000000"/>
          <w:sz w:val="32"/>
          <w:szCs w:val="32"/>
        </w:rPr>
        <w:t>依法依规负责农业农村安全生产和职业健康监督管理工作。负责农业机械、农</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兽</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药、</w:t>
      </w:r>
      <w:r>
        <w:rPr>
          <w:rFonts w:hint="default" w:ascii="Times New Roman" w:hAnsi="Times New Roman" w:eastAsia="仿宋_GB2312" w:cs="Times New Roman"/>
          <w:b w:val="0"/>
          <w:bCs w:val="0"/>
          <w:color w:val="000000"/>
          <w:sz w:val="32"/>
          <w:szCs w:val="32"/>
          <w:lang w:eastAsia="zh-CN"/>
        </w:rPr>
        <w:t>饲</w:t>
      </w:r>
      <w:r>
        <w:rPr>
          <w:rFonts w:hint="default" w:ascii="Times New Roman" w:hAnsi="Times New Roman" w:eastAsia="仿宋_GB2312" w:cs="Times New Roman"/>
          <w:b w:val="0"/>
          <w:bCs w:val="0"/>
          <w:color w:val="000000"/>
          <w:sz w:val="32"/>
          <w:szCs w:val="32"/>
        </w:rPr>
        <w:t>料、渔业、畜禽屠宰行业安全生产和职业健康的监督管理。负责组织实施农村沼气项目的安全生产和职业健康监督管理。对农业园区的安全生产和职业健康工作实施行业监督管理。负责</w:t>
      </w:r>
      <w:r>
        <w:rPr>
          <w:rFonts w:hint="default" w:ascii="Times New Roman" w:hAnsi="Times New Roman" w:eastAsia="仿宋_GB2312" w:cs="Times New Roman"/>
          <w:b w:val="0"/>
          <w:bCs w:val="0"/>
          <w:color w:val="000000"/>
          <w:sz w:val="32"/>
          <w:szCs w:val="32"/>
          <w:lang w:val="en-US" w:eastAsia="zh-CN"/>
        </w:rPr>
        <w:t>制定</w:t>
      </w:r>
      <w:r>
        <w:rPr>
          <w:rFonts w:hint="default" w:ascii="Times New Roman" w:hAnsi="Times New Roman" w:eastAsia="仿宋_GB2312" w:cs="Times New Roman"/>
          <w:b w:val="0"/>
          <w:bCs w:val="0"/>
          <w:color w:val="000000"/>
          <w:sz w:val="32"/>
          <w:szCs w:val="32"/>
        </w:rPr>
        <w:t>职责范围内的安全生产年度监督检查计划并组织实施。</w:t>
      </w:r>
    </w:p>
    <w:p w14:paraId="4566087E">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18.</w:t>
      </w:r>
      <w:r>
        <w:rPr>
          <w:rFonts w:hint="default" w:ascii="Times New Roman" w:hAnsi="Times New Roman" w:eastAsia="仿宋_GB2312" w:cs="Times New Roman"/>
          <w:b w:val="0"/>
          <w:bCs w:val="0"/>
          <w:color w:val="000000"/>
          <w:sz w:val="32"/>
          <w:szCs w:val="32"/>
          <w:lang w:eastAsia="zh-CN"/>
        </w:rPr>
        <w:t>统筹协调和监督指导全区农业综合执法。负责</w:t>
      </w:r>
      <w:r>
        <w:rPr>
          <w:rFonts w:hint="default" w:ascii="Times New Roman" w:hAnsi="Times New Roman" w:eastAsia="仿宋_GB2312" w:cs="Times New Roman"/>
          <w:b w:val="0"/>
          <w:bCs w:val="0"/>
          <w:color w:val="000000"/>
          <w:sz w:val="32"/>
          <w:szCs w:val="32"/>
          <w:lang w:val="en-US" w:eastAsia="zh-CN"/>
        </w:rPr>
        <w:t>监督指导涉农重大案件查处和跨区域执法的组织协调工作，负责本</w:t>
      </w:r>
      <w:r>
        <w:rPr>
          <w:rFonts w:hint="default" w:ascii="Times New Roman" w:hAnsi="Times New Roman" w:eastAsia="仿宋_GB2312" w:cs="Times New Roman"/>
          <w:b w:val="0"/>
          <w:bCs w:val="0"/>
          <w:color w:val="000000"/>
          <w:sz w:val="32"/>
          <w:szCs w:val="32"/>
          <w:lang w:eastAsia="zh-CN"/>
        </w:rPr>
        <w:t>区涉农违法</w:t>
      </w:r>
      <w:r>
        <w:rPr>
          <w:rFonts w:hint="default" w:ascii="Times New Roman" w:hAnsi="Times New Roman" w:eastAsia="仿宋_GB2312" w:cs="Times New Roman"/>
          <w:b w:val="0"/>
          <w:bCs w:val="0"/>
          <w:color w:val="000000"/>
          <w:sz w:val="32"/>
          <w:szCs w:val="32"/>
        </w:rPr>
        <w:t>案件</w:t>
      </w:r>
      <w:r>
        <w:rPr>
          <w:rFonts w:hint="default" w:ascii="Times New Roman" w:hAnsi="Times New Roman" w:eastAsia="仿宋_GB2312" w:cs="Times New Roman"/>
          <w:b w:val="0"/>
          <w:bCs w:val="0"/>
          <w:color w:val="000000"/>
          <w:sz w:val="32"/>
          <w:szCs w:val="32"/>
          <w:lang w:eastAsia="zh-CN"/>
        </w:rPr>
        <w:t>办理。</w:t>
      </w:r>
      <w:r>
        <w:rPr>
          <w:rFonts w:hint="default" w:ascii="Times New Roman" w:hAnsi="Times New Roman" w:eastAsia="仿宋_GB2312" w:cs="Times New Roman"/>
          <w:b w:val="0"/>
          <w:bCs w:val="0"/>
          <w:color w:val="000000"/>
          <w:sz w:val="32"/>
          <w:szCs w:val="32"/>
        </w:rPr>
        <w:t>推进农业依法行政。</w:t>
      </w:r>
    </w:p>
    <w:p w14:paraId="5B67F291">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19.</w:t>
      </w:r>
      <w:r>
        <w:rPr>
          <w:rFonts w:hint="default" w:ascii="Times New Roman" w:hAnsi="Times New Roman" w:eastAsia="仿宋_GB2312" w:cs="Times New Roman"/>
          <w:b w:val="0"/>
          <w:bCs w:val="0"/>
          <w:color w:val="000000"/>
          <w:sz w:val="32"/>
          <w:szCs w:val="32"/>
        </w:rPr>
        <w:t>负责职责范围内的生态环境保护、审批服务便民化等工作。</w:t>
      </w:r>
    </w:p>
    <w:p w14:paraId="31F4AC56">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olor w:val="000000"/>
          <w:sz w:val="32"/>
          <w:szCs w:val="24"/>
          <w:lang w:val="en-US"/>
        </w:rPr>
      </w:pPr>
      <w:r>
        <w:rPr>
          <w:rFonts w:hint="eastAsia" w:ascii="Times New Roman" w:hAnsi="Times New Roman" w:eastAsia="仿宋_GB2312" w:cs="Times New Roman"/>
          <w:b w:val="0"/>
          <w:bCs w:val="0"/>
          <w:color w:val="000000"/>
          <w:sz w:val="32"/>
          <w:szCs w:val="32"/>
          <w:highlight w:val="none"/>
          <w:lang w:val="en-US" w:eastAsia="zh-CN"/>
        </w:rPr>
        <w:t>20.</w:t>
      </w:r>
      <w:r>
        <w:rPr>
          <w:rFonts w:hint="default" w:ascii="Times New Roman" w:hAnsi="Times New Roman" w:eastAsia="仿宋_GB2312" w:cs="Times New Roman"/>
          <w:b w:val="0"/>
          <w:bCs w:val="0"/>
          <w:color w:val="000000"/>
          <w:sz w:val="32"/>
          <w:szCs w:val="32"/>
          <w:highlight w:val="none"/>
        </w:rPr>
        <w:t>完成</w:t>
      </w:r>
      <w:r>
        <w:rPr>
          <w:rFonts w:hint="default" w:ascii="Times New Roman" w:hAnsi="Times New Roman" w:eastAsia="仿宋_GB2312" w:cs="Times New Roman"/>
          <w:b w:val="0"/>
          <w:bCs w:val="0"/>
          <w:color w:val="000000"/>
          <w:sz w:val="32"/>
          <w:szCs w:val="32"/>
          <w:highlight w:val="none"/>
          <w:lang w:eastAsia="zh-CN"/>
        </w:rPr>
        <w:t>区</w:t>
      </w:r>
      <w:r>
        <w:rPr>
          <w:rFonts w:hint="default" w:ascii="Times New Roman" w:hAnsi="Times New Roman" w:eastAsia="仿宋_GB2312" w:cs="Times New Roman"/>
          <w:b w:val="0"/>
          <w:bCs w:val="0"/>
          <w:color w:val="000000"/>
          <w:sz w:val="32"/>
          <w:szCs w:val="32"/>
          <w:highlight w:val="none"/>
        </w:rPr>
        <w:t>委、</w:t>
      </w:r>
      <w:r>
        <w:rPr>
          <w:rFonts w:hint="default" w:ascii="Times New Roman" w:hAnsi="Times New Roman" w:eastAsia="仿宋_GB2312" w:cs="Times New Roman"/>
          <w:b w:val="0"/>
          <w:bCs w:val="0"/>
          <w:color w:val="000000"/>
          <w:sz w:val="32"/>
          <w:szCs w:val="32"/>
          <w:highlight w:val="none"/>
          <w:lang w:eastAsia="zh-CN"/>
        </w:rPr>
        <w:t>区</w:t>
      </w:r>
      <w:r>
        <w:rPr>
          <w:rFonts w:hint="default" w:ascii="Times New Roman" w:hAnsi="Times New Roman" w:eastAsia="仿宋_GB2312" w:cs="Times New Roman"/>
          <w:b w:val="0"/>
          <w:bCs w:val="0"/>
          <w:color w:val="000000"/>
          <w:sz w:val="32"/>
          <w:szCs w:val="32"/>
          <w:highlight w:val="none"/>
        </w:rPr>
        <w:t>政府交办的其他任务。</w:t>
      </w:r>
    </w:p>
    <w:p w14:paraId="2FB4472A">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（二）202</w:t>
      </w:r>
      <w:r>
        <w:rPr>
          <w:rFonts w:hint="eastAsia" w:ascii="仿宋_GB2312" w:hAnsi="仿宋_GB2312" w:eastAsia="仿宋_GB2312"/>
          <w:color w:val="000000"/>
          <w:sz w:val="32"/>
          <w:szCs w:val="24"/>
          <w:lang w:val="en-US" w:eastAsia="zh-CN"/>
        </w:rPr>
        <w:t>4</w:t>
      </w:r>
      <w:r>
        <w:rPr>
          <w:rFonts w:hint="eastAsia" w:ascii="仿宋_GB2312" w:hAnsi="仿宋_GB2312" w:eastAsia="仿宋_GB2312"/>
          <w:color w:val="000000"/>
          <w:sz w:val="32"/>
          <w:szCs w:val="24"/>
          <w:lang w:val="en-US"/>
        </w:rPr>
        <w:t>年重点工作完成情况。</w:t>
      </w:r>
    </w:p>
    <w:p w14:paraId="5266A03C">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eastAsia="zh-CN"/>
        </w:rPr>
        <w:t>1.</w:t>
      </w:r>
      <w:r>
        <w:rPr>
          <w:rFonts w:hint="eastAsia" w:ascii="仿宋_GB2312" w:hAnsi="仿宋_GB2312" w:eastAsia="仿宋_GB2312"/>
          <w:color w:val="000000"/>
          <w:sz w:val="32"/>
          <w:szCs w:val="24"/>
          <w:highlight w:val="none"/>
          <w:lang w:val="en-US"/>
        </w:rPr>
        <w:t>抓好稳产保供，打造更高水平“天府粮仓”。一是优质粮油稳产扩面。严格落实粮食安全党政同责，2024年，粮食总播面39.2万亩，产量13.51万吨，分别完成目标任务的102.8%和103.4%，其</w:t>
      </w:r>
      <w:bookmarkStart w:id="30" w:name="_GoBack"/>
      <w:bookmarkEnd w:id="30"/>
      <w:r>
        <w:rPr>
          <w:rFonts w:hint="eastAsia" w:ascii="仿宋_GB2312" w:hAnsi="仿宋_GB2312" w:eastAsia="仿宋_GB2312"/>
          <w:color w:val="000000"/>
          <w:sz w:val="32"/>
          <w:szCs w:val="24"/>
          <w:highlight w:val="none"/>
          <w:lang w:val="en-US"/>
        </w:rPr>
        <w:t>中：水稻12.38万亩、玉米11.43万亩、小麦5.5万亩、大豆4.33万亩，产量分别是6.24万吨、4.11万吨、1.1万吨、0.61万吨。完成油料作物总播面20.14万亩，圆满完成市下目标任务。完成大豆种植面积4.33万亩，大豆玉米带状复合种植4.5万亩，建果豆间套作示范片5万亩。推广发展王家贡米优质水稻2.83万亩。扎实推动“百县千片”粮油高产示范创建，建成虎跳、磨滩小麦千亩展示片2个和卫子、王家、昭化油菜千亩展示片3个，在清水现代粮油园区规划建设水稻千亩高产展示片1个、百亩超高产攻关片1个，落实高产竞赛规模经营主体2个。昭化粮食现代农业园区建设工作入选全省现代农业园区建设学习案例。二是生态畜禽稳定发展。按照全市项目“四新一盘活”要求，先后赴巴中、成都、贵州等地开展肉牛羊投资促进考察9次，加快推进市农发集团华西牛繁育基地、鹄坤农牧1000头肉牛养殖基地（二期）等重点项目建设。累计新洽谈产业项目29个，新签约7个，新开工20个，新竣工60个。华西牛繁育、信德农牧30万只非笼养蛋鸡供港基地、5万头肉牛屠宰加工、土鸡屠宰加工及冷链物流等重大项目顺利落地。全区现有规模养殖场294家，其中生猪147家、肉牛67家、肉羊35家、家禽42家。现存栏生猪37.64万头、肉牛2.7万头、肉羊4.5万只、土鸡385.3万只，1-3季度累计出栏生猪44.67万头、肉牛0.7万头、肉羊4.6万只、土鸡243.5万只。预计全年可出栏生猪62万头、肉牛1.2万头、肉羊7.5万只、土鸡450万只。创新试点推行“肉牛成本价格保险”“土鸡完全成本保险”，助力肉牛羊、土鸡产业稳步发展。广元市昭化区以销促养促进肉牛产业稳定发展先进经验在省委农办、省农业农村厅每周要情刊发。9月24日—9月26日第六届“中国创翼”创业大赛全国选拔赛和总决赛在山西省大同市举行，四川信德农牧有限公司</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野迹鸣</w:t>
      </w:r>
      <w:r>
        <w:rPr>
          <w:rFonts w:hint="eastAsia" w:ascii="仿宋_GB2312" w:hAnsi="仿宋_GB2312" w:eastAsia="仿宋_GB2312"/>
          <w:color w:val="000000"/>
          <w:sz w:val="32"/>
          <w:szCs w:val="24"/>
          <w:highlight w:val="none"/>
          <w:lang w:val="en-US" w:eastAsia="zh-CN"/>
        </w:rPr>
        <w:t>”产品</w:t>
      </w:r>
      <w:r>
        <w:rPr>
          <w:rFonts w:hint="eastAsia" w:ascii="仿宋_GB2312" w:hAnsi="仿宋_GB2312" w:eastAsia="仿宋_GB2312"/>
          <w:color w:val="000000"/>
          <w:sz w:val="32"/>
          <w:szCs w:val="24"/>
          <w:highlight w:val="none"/>
          <w:lang w:val="en-US"/>
        </w:rPr>
        <w:t>荣获全国“创翼之星”奖。三是特色经作巩固提升。坚持“一园一策”，按照优化提升一批、补短巩固一批、改造盘活一批、退出转产一批“四个一批”思路，改造盘活猕猴桃低产低效园3000亩，巩固提升以猕猴桃、桃为主导特色水果产业园1.3万亩，维修加固避雨大棚800余亩，2024年全区特色水果面积总面积5.63万亩、总产量2.38万吨，其中猕猴桃种植面积4.25万亩、产量1.29万吨。稳量提质发展蔬菜种植，优化茬口衔接，加强产销对接，全年蔬菜种植总面积17.54万亩、总产量46.3万吨。四是农田水利基础设施不断完善。大力实施藏粮于地、藏粮于技，2024年高标准农田改造提升1.1万亩任务全面开工，农机提灌站建设项目10个全面完成（新建6个，技术改造维修4个），107口山坪塘全面建设完成。新建成高标准农田机械通达率95%以上，产量每亩提高100公斤，人力成本降低200元以上。全区建设现代化育秧工厂2栋，培育区域农机服务中心3个。及时组织人员参加2024年度全市农机化工作暨大春机收减损技术培训会议。</w:t>
      </w:r>
    </w:p>
    <w:p w14:paraId="57BFBC22">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eastAsia="zh-CN"/>
        </w:rPr>
        <w:t>2.</w:t>
      </w:r>
      <w:r>
        <w:rPr>
          <w:rFonts w:hint="eastAsia" w:ascii="仿宋_GB2312" w:hAnsi="仿宋_GB2312" w:eastAsia="仿宋_GB2312"/>
          <w:color w:val="000000"/>
          <w:sz w:val="32"/>
          <w:szCs w:val="24"/>
          <w:highlight w:val="none"/>
          <w:lang w:val="en-US"/>
        </w:rPr>
        <w:t>坚持多点发力，促进现代农业转型升级。一是抓好项目向上争取。累计谋划储备农业项目52个，入库金额84.15亿元，完成全年目标任务的99%。成功申报市重点项目3个，总投资12.05亿元，分别为天雄村宜居宜业和美乡村建设项目，昭化区土鸡冷链物流产业园项目，昭化区现代粮油农业园区建设项目。争取到中省预算内项目1个，总投资600万元，渔政执法能力综合提升项目。二是加快科技育种攻关。深化与中国水稻研究所、省农科院、川农大等科研院所合作，深入实施重大农业科技项目攻关和现代种业提升工程。引进优质抗病种质资源150份，委托开展育种材料检测分析30余份，完成材料品种繁育3115个，建成稻瘟病</w:t>
      </w:r>
      <w:r>
        <w:rPr>
          <w:rFonts w:hint="eastAsia" w:ascii="仿宋_GB2312" w:hAnsi="仿宋_GB2312" w:eastAsia="仿宋_GB2312"/>
          <w:color w:val="000000"/>
          <w:sz w:val="32"/>
          <w:szCs w:val="24"/>
          <w:highlight w:val="none"/>
          <w:lang w:val="en-US" w:eastAsia="zh-CN"/>
        </w:rPr>
        <w:t>抗性鉴定</w:t>
      </w:r>
      <w:r>
        <w:rPr>
          <w:rFonts w:hint="eastAsia" w:ascii="仿宋_GB2312" w:hAnsi="仿宋_GB2312" w:eastAsia="仿宋_GB2312"/>
          <w:color w:val="000000"/>
          <w:sz w:val="32"/>
          <w:szCs w:val="24"/>
          <w:highlight w:val="none"/>
          <w:lang w:val="en-US"/>
        </w:rPr>
        <w:t>实验田8亩，开展水稻机械化育秧和水稻旱育秧1500次。建立“自主研发品种+引进优质品种”“常规品种+杂交品种”的多元品种推广体系，建成标准化水稻科研育种试验示范基地100亩。通过省市区种子经销商广泛征集符合王家贡米产品特性的优质水稻新品种64个，按熟期分别布局在磨滩、卫子、清水等不同海拔区域进行试验示范，成功遴选出8个王家贡米优质新品种，为2025年王家贡米发展储备种子资源。深入实施“周末工程师”柔性引才计划和“剪刀干部”培育行动，创新组建“葭萌英才”产业服务团队，创新推广抗性砧木、果园生草、水肥一体等绿色高质高效栽培技术。成功入选2024年省级农业科技现代化先行县共建名单。三是强化农产品品质提升。扎实推进检验检测机构“双认证”，着力提升检测能力水平。积极开展农业生产技能“大比武”活动，举行农产品农药残留快检比赛。农产品质量合格率稳步提升，全区监督抽查农产品样品合格率达98.94%，省级农产品质量安全例行监测合格率稳定保持在98%以上。推广有机生产，累计认证“两品一标”有效期内农产品42个，其中绿色农产品7个、有机农产品31个、地理标志4个；累计认证有机露地蔬菜667亩、有机猕猴桃5616亩。成功举办“紫云猕猴桃”产业高质量发展暨招商引资会议。四是强化联农带农机制。大力实施家庭农场、专合社培育提升行动，结合产业发展及经营主体运营实际，积极引导推广“订单收购+按产分红”契约生产、“托管代养+产品分成”就业带动等多种合作方式和利益联结机制，通过“主体带动稳收、延展链条增收、产业融合创收、就地就业保收”联农带农模式，带动80%以上的农户聚在产业园、富在产业链，带动农民增收年均增长5%以上。引导推进辐射带动。坚持全面推行“大园区+小农户（业主）”“示范基地+小园区”发展模式，着力打通产业地域之间的堵点、断带，推动产业规模化、集约化连片发展，辐射带动发展猕猴桃、脆桃等特色产业面积1.15万亩，带动发展王家贡米、油菜等粮油产业面积12万亩。</w:t>
      </w:r>
    </w:p>
    <w:p w14:paraId="6DFB9E1C">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eastAsia="zh-CN"/>
        </w:rPr>
        <w:t>3.</w:t>
      </w:r>
      <w:r>
        <w:rPr>
          <w:rFonts w:hint="eastAsia" w:ascii="仿宋_GB2312" w:hAnsi="仿宋_GB2312" w:eastAsia="仿宋_GB2312"/>
          <w:color w:val="000000"/>
          <w:sz w:val="32"/>
          <w:szCs w:val="24"/>
          <w:highlight w:val="none"/>
          <w:lang w:val="en-US"/>
        </w:rPr>
        <w:t>聚焦有效衔接，持续巩固脱贫攻坚成果。一是常态化抓好防返贫监测。机构改革后，按照“退一进一”的工作要求，及时调整区级监管员1人，乡级网格长2人，乡级监管员5人，选优配强工作力量，健全完善防止返贫常态化监测帮扶体系，累计推送风险线索5564条，重点关注新申请整户低保、新增C、D级危房农户、医疗自付支出较大、新增1-2级重度残疾等四类群体，经全面核实并参考2024年监测标准8100元，将符合条件的按程序识别为监测对象，累计新识别监测对象128户397人，做到“应纳尽纳”。坚持优先实施开发式帮扶措施，分层分类实施综合性帮扶措施，做到“应帮尽帮”。按照风险消除4项条件，逐户进行分析研判，及时启动风险消除程序，完成消除109户，预计年底全区风险消除率可达60%左右。二是重点抓紧“三保障”和饮水安全保障。认真落实“635”联控联保责任机制，建立“一人一案”和学业辅导、家校沟通、健康监测、物质资助台账“四本台账”。资助家庭经济困难学生8090人626.71万元，财政支出253.74万元为农村义务教育学生提供营养餐，累计惠及学生5464名。建立住房安全监测机制和农户住房安全日常巡查机制，全面开展住房安全动态监测，全力做好农村危房改造工作，省下达2023年度危房改造任务20户，目前已全部竣工入住。持续实施基本医疗保险、大病保险、医疗救助“三重保障”，2024年度完成医保征缴17.64万人，参保率达99.21%，其中脱贫（监测）户参保率100%。累计救助各类特殊人员1.51万人次，拨付救助资金465.14万元。建立家庭医生签约服务团队134个，签约服务9.13万人，签约率100%，四类重点慢病规范管理率达100%。创新构建新时代乡村水务新模式，农村自来水普及率达97.59%，动态监测农村饮水安全情况，“一区一网”“城乡融合一体”供水格局基本形成。2024年，落实农村饮水安全项目18个、资金2074万元，有效解决农村安全饮水相关问题，全区农村饮水安全总体平稳。三是持续提升驻村帮扶质效。严格按照省委组织部优化调整要求，深入开展驻村帮扶轮换调整摸排调研、摸清需求，优化调整驻村帮扶人员19人，切实做到“脱产驻村、吃住在村”。严格落实驻村干部生活补助、交通补贴等6大方面保障政策，确保驻村干部驻得下、干得好、抓得实。常态化落实“周抽查+月暗访”督导机制，通过电话抽查、实地走访、查阅资料等方式对全区驻村帮扶力量开展暗访督导7次，累计约谈提醒21人次，通报驻村干部27人、派员单位2个。四是用好用活东西部协作资源。先后召开东西部协作工作领导小组会议2次。8月12日至14日，区委主要负责同志率昭化党政代表团前往杭州市拱墅区开展互访并召开东西部协作联席会议，持续拓展协作帮扶领域，为昭化高质量发展注入了强劲动力。今年以来，拱墅区累计投入东西部协作财政帮扶资金3900万元，实施产业合作、劳务协作、人才交流、消费协作、改善民生和其他方面共6类10个项目。广元市昭化区深化东西部协作持续助农增收先进经验在省委农办三农要情刊发。</w:t>
      </w:r>
    </w:p>
    <w:p w14:paraId="7C31A406">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eastAsia="zh-CN"/>
        </w:rPr>
        <w:t>4.</w:t>
      </w:r>
      <w:r>
        <w:rPr>
          <w:rFonts w:hint="eastAsia" w:ascii="仿宋_GB2312" w:hAnsi="仿宋_GB2312" w:eastAsia="仿宋_GB2312"/>
          <w:color w:val="000000"/>
          <w:sz w:val="32"/>
          <w:szCs w:val="24"/>
          <w:highlight w:val="none"/>
          <w:lang w:val="en-US"/>
        </w:rPr>
        <w:t>学习“千万工程”，全力建设宜居宜业和美乡村。一是统筹推进项目。根据《广元市昭化区天雄村宜居宜业和美乡村建设实施方案的通知（广农领办〔2024〕2号）》文件精神，组织规划团队开展规划编制，后根据总体规划方案，现场推进组每周集中调度审议，围绕宜居、宜业、和美三个方面，形成基础设施补短、人居环境提升、农业产业结构调整、文旅新兴产业培育等建设项目28个，计划总投资12200万元。截至目前，24个项目完工，4个项目加紧推进，预计12月底所有项目可全面完工。二是全面实施农村人居环境整治。实施东西部协作乡村振兴示范村建设项目，补齐村建设短板，村容村貌得到大幅度改变。实施村道、破损路面提升改造，同步推进电线、水管等上改下、明改暗工程，优化群众出行环境。规范完善生活垃圾分类收集点、垃圾箱、清运工具等。在天雄村建设“污水一体式”集中收集处理利用设施1处，三级化粪池3处，污水管网300米，打造“前庭后院、瓜果蔬菜、鸡犬相闻、鸟语花香”的生态微田园（果、菜、花）35户，打造村口、街心等文化小品3处。全区改造农村户用卫生厕所1307户。广元市昭化区建立完善“四大体系”打造厕所管护昭化模式成功入选四川省农村厕所管护典型范例。三是强化公共服务能力。坚持党建引领，在政府主导下，积极引导社会资源进入乡村公共服务领域，通过集约化、规范化、数字化，围绕教育、医疗、养老、农事服务、办事服务等重点领域，全面构建天雄村公共服务体系，打通基层服务“最后一公里”。聚焦乡村文化提升，稳固和美乡村乡风文明本色。结合天雄村实际，推动移风易俗、成风化俗，打造新时代文明乡村。四是扎实推进乡村振兴。全面完成2023年度省、市级乡村振兴先进镇、示范村创建工作，创成省级乡村振兴示范村3个（昭化镇牛头村、卫子镇新荣村、王家镇晋贤村），创成市级乡村振兴先进镇1个（卫子镇），示范村4个（磨滩镇桂花村、清水镇龙凤村、王家镇安平村、虎跳镇青龙村）；完成2023年度省级乡村振兴奖补项目验收和资金拨付，奖补资金拨付进度100%。荣获2024年全国和美乡村“村舞”交流展示活动二等奖。</w:t>
      </w:r>
    </w:p>
    <w:p w14:paraId="2F5CD98F">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eastAsia="zh-CN"/>
        </w:rPr>
        <w:t>5.</w:t>
      </w:r>
      <w:r>
        <w:rPr>
          <w:rFonts w:hint="eastAsia" w:ascii="仿宋_GB2312" w:hAnsi="仿宋_GB2312" w:eastAsia="仿宋_GB2312"/>
          <w:color w:val="000000"/>
          <w:sz w:val="32"/>
          <w:szCs w:val="24"/>
          <w:highlight w:val="none"/>
          <w:lang w:val="en-US"/>
        </w:rPr>
        <w:t>坚持依法行政，营造安全稳定发展环境。一是加强执法监督。对我局重大行政处罚决定开展法制审核，2024年审核案件4件。按照《广元市昭化区2024年市场监管领域部门联合“双随机、一公开”监管工作计划》同区市场监管局、区应急管理局开展联合抽查8次，抽取检查对象25家，已完成检查结果系统公示25家，公示率达到100%。修订我局《分类检查事项目录》《不予处罚、免予处罚、从轻处罚、减轻处罚、从重处罚清单》。公示2024年行政许可366件、行政处罚案件3件。二是持续抓好“十年禁渔”工作。结合“12·4法制宣传日”“水生野生动物保护月”等专题活动，以嘉陵江禁捕区域、水生生物保护区、退捕渔民等为重点，广泛宣传“十年禁渔”政策和法律法规，发放各类宣传资料3000余份、更换宣传标识标牌40余处、出动宣传车30余车次；严格落实执法监管，与相邻区建立相邻水域协作执法机制，开展区交界水域联合执法行动2次，落实开展“渔政亮剑、打非断链、护渔百日”等联合专项执法行动20余次，累计出动执法人员300余人次，水上巡逻里程500余公里，劝离规范违规垂钓人员200余人，暂扣钓竿30余根，办理各类涉渔案件5件；牵头完成全区水上平台集中清理整治工作，共拆除上岸水上平台50户370个14190.45平方米。三是开展重点农资产品专项整治行动。严查无证生产经营、套牌侵权、制售假劣种子等违法行为，大力整顿和规范种子市场经营秩序，加强对禁限用农药的监督管理，出动执法人员260余人次，执法车辆83台次，检查农资经营门店452个（次），抽检农资、农产品等样品（样本）68个，查处超范围使用农药案件1起，结案1起；开展农资打假暨放心农资下乡进村宣传活动，共发放假劣农资典型案例等宣传手册300余本，禁限用农药名录、春耕生产技术要点等宣传资料400余份，接受群众咨询105人次，展示各类放心农资产品20余个。四是扎实开展动物疫病预防控制。全区发放各类疫苗315万头份（万毫升），共免疫生猪77万头次，牛羊5.9万头次，家禽531万羽次，口蹄疫、高致病性禽流感、小反刍兽疫、猪瘟等重大疫病免疫应免畜禽免疫密度达到100%，做到应免尽免，不留空档。突出抓好人畜共患病防控，持续抓好非洲猪瘟防控，大力开展“大消毒、大宣传、大培训”三大行动，全面消毒灭源。持续推进“先打后补”，落实好强制免疫措施，经过自主申报、现场复核和资料审核，对符合规定的养殖场在核准补助金额后，及时兑现资金到养殖场，共计拨付补助资金99余万元。</w:t>
      </w:r>
    </w:p>
    <w:p w14:paraId="48EEA8EA">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eastAsia="zh-CN"/>
        </w:rPr>
        <w:t>6.</w:t>
      </w:r>
      <w:r>
        <w:rPr>
          <w:rFonts w:hint="eastAsia" w:ascii="仿宋_GB2312" w:hAnsi="仿宋_GB2312" w:eastAsia="仿宋_GB2312"/>
          <w:color w:val="000000"/>
          <w:sz w:val="32"/>
          <w:szCs w:val="24"/>
          <w:highlight w:val="none"/>
          <w:lang w:val="en-US"/>
        </w:rPr>
        <w:t>突出改革创新，激发农村发展内生动力。一是有力促进农民增收。争取到新一轮中省扶持村集体经济扶持6个，到位资金900万元，全面启动项目建设。截至第三季度，全区集体经济经营性收入达到1109余万元。常态化开展记账户走访、慰问、指导工作，梳理总结农民增收季度分析报告4份，制作农民增收季度成果展示画册4份。产业促进农民增收典型案例《广元市昭化区聚焦“王家贡米”特色产业 铺就群众致富康庄“稻”路》被四川省农业农村厅采纳发布。“三农”领域拼经济比发展考评昭化区一季度综合排名第二、二季度排名第一，第一产业增加值昭化区一、二季度全市排名均为第三，农村居民人均可支配收入增速昭化区一季度居第二、二季度居第三。二季度，现代农（林）业园区建设、人居环境整治提升、和美乡村建设、基础设施补短等乡村振兴重点工作昭化区 29.89 分，排名第一。经预测，2024年四季度全区农村居民人均可支配收入18707元，同比增长8.5%。二是扎实推进新型经营主体培育。累计培育家庭农场804家，其中2024年新增40家。巩固提升区级以上示范家庭农场233家。累计培育农民专业合作社417家，其中2024年新增8家。巩固提升区级以上示范社107家。累计培育龙头企业29家，其中2024年新增2家。新建联合社1个、蔬菜农业产业化联合体1个，巩固提升联合社2个、农业产业化联合体4个（猕猴桃、土鸡、粮油、小水果）。对7家省级农民专业合作社示范社、6家省级龙头企业开展了监测工作。更新完善家庭农场、农民专合社名录库。完成家庭农场“随手记”和“一码通”使用率示范家庭农场100%、非示范场使用率80%。开展新型农业经营主体高质量发展培训12场次。三是有效推进社会化服务。2024年新培育社会化服务组织15个，累计达到153家，其中全程托管服务组织32家。新建社会化服务中心3个，巩固提升社会化服务中心3个。健全农业社会化服务三级体系，指导区农业社会化服务中心、镇农业社会化服务站建立运行机制管理制度，村农业社会化服务协办员开展业务培训12场次。完成粮油服务9.42万亩。四是持续规范宅基地管理。完成全区12个镇农村土地经营权确权登记纸质档案的收集整理，加强宅基地审批管理和日常巡查，建立宅基地审批台账，及时进行农村土地流转合同录入备案工作，截至第三季度，审批农村建房433宗138.89亩。五是惠农政策落实有力。汇编印发《昭化区惠农富民政策简明读本》，在“昭化发布”发布《广元市昭化区惠农富民政策汇编》9期，详细转载发布农业相关政策解读、项目规划详情、资金分配方案、审计整改等内容，方便民众随时查阅了解和接受群众监督；在昭化门户网站公开信息80余条，在“昭化农业农村”微信公众号发布《昭化农业这一周》45期，推送信息130余条，定期推送决策动态信息，在各乡镇村的政务公开栏张贴重要决策公告300余次。严格按照惠农补贴资金的申报和兑付程序，认真开展数据统计和核查，完成全区耕地面积和水稻、玉米、小麦、大豆玉米带状复合种植面积核实，拨付耕地地力保护补贴2702万元，稻谷补贴352.25万元，种粮大户补贴323.65万元（待资金到位后立即拨付）。</w:t>
      </w:r>
    </w:p>
    <w:p w14:paraId="5D1D6E90">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highlight w:val="none"/>
          <w:lang w:val="en-US" w:eastAsia="zh-CN"/>
        </w:rPr>
        <w:t>7.</w:t>
      </w:r>
      <w:r>
        <w:rPr>
          <w:rFonts w:hint="eastAsia" w:ascii="仿宋_GB2312" w:hAnsi="仿宋_GB2312" w:eastAsia="仿宋_GB2312"/>
          <w:color w:val="000000"/>
          <w:sz w:val="32"/>
          <w:szCs w:val="24"/>
          <w:highlight w:val="none"/>
          <w:lang w:val="en-US"/>
        </w:rPr>
        <w:t>强化党建引领，凝聚“三农”工作强大合力。一是推动理论学习走深走实。始终把学习贯彻新思想摆在首位，严格落实“第一议题”制度，深入学习党的二十届三中全会精神和习近平新时代中国特色社会主义思想，结合党纪学习教育，全年累计开展理论学习中心组学习10次，专题研讨4次，组织全体干部职工开展警示教育5次，观看警示教育片4次，通报违纪违法典型案件4次，组织全体党员干部分批次到广元监狱、旺苍红军城、川北家风馆开展廉政教育和现场法纪教育3次，进一步提高了党员干部的理想信念和廉洁从政的意识。二是强化责任落实。先后召开2次专题讨论党组履行从严治党主体责任和风险防控措施，印发《2024年度全面从严治党主体责任清单》《2024年重点权力风险防控清单》，明确党组班子主体责任21项，党组书记第一责任人责任22项，班子成员“一岗双责”责任20项，重点岗位风险防控责任清单4项，风险点位16个，制定切实可行的防控措施20个。认真落实“三重一大”和民主集中制，全面完成巡视巡察各项任务整改，主持召开4次专题会议常态化推进党风廉政建设，听取班子成员履行“一岗双责”责任汇报2次。三是深入开展系统治理。认真贯彻落实中央、省、市、区关于健全农村集体资产监管体系，整治农村集体“三资”（资金、资源、资产）管理领域不正之风和腐败问题等工作的系列安排部署，紧紧围绕管党治党、干部纪律作风、高标准农田建设、农业补贴、农村集体“三资”管理突出问题扎实开展专项治理，及时成立3个专项整治工作专班和3个集中整治督导工作组，先后召开党组（扩大）会议5次，组织各镇及局机关相关干部开展集中整治工作启动会和培训会15次。紧盯重点领域、聚焦问题，全面查找问题473个，全面梳理、修订、完善制度，印发干部管理、农业补贴等相关制度文件25部，开展约谈9次23人，责令检讨5人，干部职工大会通报批评3人，提醒谈话7人，移交区纪检监察机关问题线索25个，诫勉谈话1人，警告处分1人。扎实开展纠“四风”转作风树新风专项整治，加强机关干部“八小时”外的监督管理和自我约束，持续开展会风会纪、上下班纪律整顿。四是抓实人才队伍建设。按时完成机构改革，乡村振兴局职能划入农业农村局，进行局领导班子分工优化调整，干部职工岗位调整54人次，持续优化人员结构布局。聚焦引育结合，建设新型农业人才队伍，计划再引进高学历、高素质2人。建立健全人才岗位权力风险“联防联控”责任清单，针对人才专项经费拨付、技术职称评定、技术服务等制定详细的防控措施和监督体系。实施“剪刀干部”培养提能，开展农业产业人才助力乡村振兴“大比武”活动，落实科技特派员制度，组织基层农技人员参加培训，实现在岗、新进农技推广人员知识更新率100%。倾力培育农村实用人才，采取全产业周期“集中培训+实训实习+生产实践+参观考察+自修研讨”多模块相结合的方式，培育高素质农民148名，培训农村示范带头人、农民专业合作社骨干100余人，培训剪刀干部和剪刀村民3000余名。</w:t>
      </w:r>
    </w:p>
    <w:p w14:paraId="45583794">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default" w:ascii="黑体" w:hAnsi="黑体" w:eastAsia="黑体" w:cs="Times New Roman"/>
          <w:color w:val="000000"/>
          <w:kern w:val="2"/>
          <w:sz w:val="32"/>
          <w:szCs w:val="24"/>
          <w:lang w:val="en-US"/>
        </w:rPr>
      </w:pPr>
      <w:bookmarkStart w:id="2" w:name="_Toc25368"/>
      <w:r>
        <w:rPr>
          <w:rFonts w:hint="eastAsia" w:ascii="黑体" w:hAnsi="黑体" w:eastAsia="黑体" w:cs="Times New Roman"/>
          <w:color w:val="000000"/>
          <w:kern w:val="2"/>
          <w:sz w:val="32"/>
          <w:szCs w:val="24"/>
          <w:lang w:val="en-US"/>
        </w:rPr>
        <w:t>二、机构设置</w:t>
      </w:r>
      <w:bookmarkEnd w:id="2"/>
    </w:p>
    <w:p w14:paraId="1470B941">
      <w:pPr>
        <w:overflowPunct w:val="0"/>
        <w:topLinePunct/>
        <w:spacing w:beforeLines="0" w:afterLines="0" w:line="576" w:lineRule="exact"/>
        <w:ind w:firstLine="640" w:firstLineChars="200"/>
        <w:jc w:val="both"/>
        <w:rPr>
          <w:rFonts w:hint="default"/>
          <w:sz w:val="24"/>
          <w:szCs w:val="24"/>
          <w:lang w:val="en-US"/>
        </w:rPr>
      </w:pPr>
      <w:r>
        <w:rPr>
          <w:rFonts w:hint="eastAsia" w:ascii="仿宋_GB2312" w:hAnsi="仿宋_GB2312" w:eastAsia="仿宋_GB2312"/>
          <w:color w:val="auto"/>
          <w:kern w:val="2"/>
          <w:sz w:val="32"/>
          <w:szCs w:val="24"/>
          <w:lang w:val="en-US" w:eastAsia="zh-CN"/>
        </w:rPr>
        <w:t>广元市昭化区农业农村局</w:t>
      </w:r>
      <w:r>
        <w:rPr>
          <w:rFonts w:hint="eastAsia" w:ascii="仿宋_GB2312" w:hAnsi="仿宋_GB2312" w:eastAsia="仿宋_GB2312"/>
          <w:color w:val="auto"/>
          <w:kern w:val="2"/>
          <w:sz w:val="32"/>
          <w:szCs w:val="24"/>
          <w:lang w:val="en-US"/>
        </w:rPr>
        <w:t>属于广元市昭化区农业农村局下属</w:t>
      </w:r>
      <w:r>
        <w:rPr>
          <w:rFonts w:hint="eastAsia" w:ascii="仿宋_GB2312" w:hAnsi="仿宋_GB2312" w:eastAsia="仿宋_GB2312"/>
          <w:color w:val="auto"/>
          <w:kern w:val="2"/>
          <w:sz w:val="32"/>
          <w:szCs w:val="24"/>
          <w:lang w:val="en-US" w:eastAsia="zh-CN"/>
        </w:rPr>
        <w:t>一</w:t>
      </w:r>
      <w:r>
        <w:rPr>
          <w:rFonts w:hint="eastAsia" w:ascii="仿宋_GB2312" w:hAnsi="仿宋_GB2312" w:eastAsia="仿宋_GB2312"/>
          <w:color w:val="auto"/>
          <w:kern w:val="2"/>
          <w:sz w:val="32"/>
          <w:szCs w:val="24"/>
          <w:lang w:val="en-US"/>
        </w:rPr>
        <w:t>级预算单位，下设独立编制机构</w:t>
      </w:r>
      <w:r>
        <w:rPr>
          <w:rFonts w:hint="eastAsia" w:ascii="仿宋_GB2312" w:hAnsi="仿宋_GB2312" w:eastAsia="仿宋_GB2312"/>
          <w:color w:val="auto"/>
          <w:kern w:val="2"/>
          <w:sz w:val="32"/>
          <w:szCs w:val="24"/>
          <w:lang w:val="en-US" w:eastAsia="zh-CN"/>
        </w:rPr>
        <w:t>1</w:t>
      </w:r>
      <w:r>
        <w:rPr>
          <w:rFonts w:hint="eastAsia" w:ascii="仿宋_GB2312" w:hAnsi="仿宋_GB2312" w:eastAsia="仿宋_GB2312"/>
          <w:color w:val="auto"/>
          <w:kern w:val="2"/>
          <w:sz w:val="32"/>
          <w:szCs w:val="24"/>
          <w:lang w:val="en-US"/>
        </w:rPr>
        <w:t>个，其中行政机构</w:t>
      </w:r>
      <w:r>
        <w:rPr>
          <w:rFonts w:hint="eastAsia" w:ascii="仿宋_GB2312" w:hAnsi="仿宋_GB2312" w:eastAsia="仿宋_GB2312"/>
          <w:color w:val="auto"/>
          <w:kern w:val="2"/>
          <w:sz w:val="32"/>
          <w:szCs w:val="24"/>
          <w:lang w:val="en-US" w:eastAsia="zh-CN"/>
        </w:rPr>
        <w:t>1</w:t>
      </w:r>
      <w:r>
        <w:rPr>
          <w:rFonts w:hint="eastAsia" w:ascii="仿宋_GB2312" w:hAnsi="仿宋_GB2312" w:eastAsia="仿宋_GB2312"/>
          <w:color w:val="auto"/>
          <w:kern w:val="2"/>
          <w:sz w:val="32"/>
          <w:szCs w:val="24"/>
          <w:lang w:val="en-US"/>
        </w:rPr>
        <w:t>个，参照公务员法管理的事业机构</w:t>
      </w:r>
      <w:r>
        <w:rPr>
          <w:rFonts w:hint="eastAsia" w:ascii="仿宋_GB2312" w:hAnsi="仿宋_GB2312" w:eastAsia="仿宋_GB2312"/>
          <w:color w:val="auto"/>
          <w:kern w:val="2"/>
          <w:sz w:val="32"/>
          <w:szCs w:val="24"/>
          <w:lang w:val="en-US" w:eastAsia="zh-CN"/>
        </w:rPr>
        <w:t>0</w:t>
      </w:r>
      <w:r>
        <w:rPr>
          <w:rFonts w:hint="eastAsia" w:ascii="仿宋_GB2312" w:hAnsi="仿宋_GB2312" w:eastAsia="仿宋_GB2312"/>
          <w:color w:val="auto"/>
          <w:kern w:val="2"/>
          <w:sz w:val="32"/>
          <w:szCs w:val="24"/>
          <w:lang w:val="en-US"/>
        </w:rPr>
        <w:t>个，其他事业机构</w:t>
      </w:r>
      <w:r>
        <w:rPr>
          <w:rFonts w:hint="eastAsia" w:ascii="仿宋_GB2312" w:hAnsi="仿宋_GB2312" w:eastAsia="仿宋_GB2312"/>
          <w:color w:val="auto"/>
          <w:kern w:val="2"/>
          <w:sz w:val="32"/>
          <w:szCs w:val="24"/>
          <w:lang w:val="en-US" w:eastAsia="zh-CN"/>
        </w:rPr>
        <w:t>0</w:t>
      </w:r>
      <w:r>
        <w:rPr>
          <w:rFonts w:hint="eastAsia" w:ascii="仿宋_GB2312" w:hAnsi="仿宋_GB2312" w:eastAsia="仿宋_GB2312"/>
          <w:color w:val="auto"/>
          <w:kern w:val="2"/>
          <w:sz w:val="32"/>
          <w:szCs w:val="24"/>
          <w:lang w:val="en-US"/>
        </w:rPr>
        <w:t>个。</w:t>
      </w:r>
    </w:p>
    <w:p w14:paraId="09D522DA">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纳入202</w:t>
      </w:r>
      <w:r>
        <w:rPr>
          <w:rFonts w:hint="eastAsia" w:ascii="仿宋_GB2312" w:hAnsi="仿宋_GB2312" w:eastAsia="仿宋_GB2312"/>
          <w:color w:val="000000"/>
          <w:sz w:val="32"/>
          <w:szCs w:val="24"/>
          <w:lang w:val="en-US" w:eastAsia="zh-CN"/>
        </w:rPr>
        <w:t>4</w:t>
      </w:r>
      <w:r>
        <w:rPr>
          <w:rFonts w:hint="eastAsia" w:ascii="仿宋_GB2312" w:hAnsi="仿宋_GB2312" w:eastAsia="仿宋_GB2312"/>
          <w:color w:val="000000"/>
          <w:sz w:val="32"/>
          <w:szCs w:val="24"/>
          <w:lang w:val="en-US"/>
        </w:rPr>
        <w:t>年度单位决算编制范围的独立编制机构包括：</w:t>
      </w:r>
    </w:p>
    <w:p w14:paraId="2FEF7928">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white"/>
          <w:lang w:val="en-US"/>
        </w:rPr>
      </w:pPr>
      <w:r>
        <w:rPr>
          <w:rFonts w:hint="eastAsia" w:ascii="仿宋_GB2312" w:hAnsi="仿宋_GB2312" w:eastAsia="仿宋_GB2312"/>
          <w:color w:val="000000"/>
          <w:sz w:val="32"/>
          <w:szCs w:val="24"/>
          <w:lang w:val="en-US"/>
        </w:rPr>
        <w:t>1.广元市昭化区农业农村局</w:t>
      </w:r>
    </w:p>
    <w:p w14:paraId="2C18DFAD">
      <w:pPr>
        <w:overflowPunct w:val="0"/>
        <w:topLinePunct/>
        <w:spacing w:beforeLines="0" w:afterLines="0" w:line="576" w:lineRule="exact"/>
        <w:ind w:firstLine="640" w:firstLineChars="200"/>
        <w:jc w:val="center"/>
        <w:rPr>
          <w:rFonts w:hint="eastAsia" w:ascii="仿宋_GB2312" w:hAnsi="仿宋_GB2312" w:eastAsia="仿宋_GB2312"/>
          <w:color w:val="000000"/>
          <w:sz w:val="32"/>
          <w:szCs w:val="24"/>
          <w:lang w:val="en-US"/>
        </w:rPr>
      </w:pPr>
    </w:p>
    <w:p w14:paraId="516063ED">
      <w:pPr>
        <w:overflowPunct w:val="0"/>
        <w:topLinePunct/>
        <w:spacing w:beforeLines="0" w:afterLines="0" w:line="576" w:lineRule="exact"/>
        <w:jc w:val="center"/>
        <w:outlineLvl w:val="0"/>
        <w:rPr>
          <w:rFonts w:hint="eastAsia" w:ascii="方正小标宋简体" w:hAnsi="方正小标宋简体" w:eastAsia="方正小标宋简体" w:cs="方正小标宋简体"/>
          <w:color w:val="auto"/>
          <w:kern w:val="44"/>
          <w:sz w:val="44"/>
          <w:szCs w:val="24"/>
          <w:lang w:val="en-US"/>
        </w:rPr>
      </w:pPr>
      <w:r>
        <w:br w:type="page"/>
      </w:r>
      <w:bookmarkStart w:id="3" w:name="_Toc17703"/>
      <w:r>
        <w:rPr>
          <w:rFonts w:hint="eastAsia" w:ascii="方正小标宋简体" w:hAnsi="方正小标宋简体" w:eastAsia="方正小标宋简体" w:cs="方正小标宋简体"/>
          <w:color w:val="auto"/>
          <w:kern w:val="44"/>
          <w:sz w:val="44"/>
          <w:szCs w:val="24"/>
          <w:lang w:val="en-US"/>
        </w:rPr>
        <w:t>第二部分</w:t>
      </w:r>
      <w:r>
        <w:rPr>
          <w:rFonts w:hint="eastAsia" w:ascii="方正小标宋简体" w:hAnsi="方正小标宋简体" w:eastAsia="方正小标宋简体" w:cs="方正小标宋简体"/>
          <w:color w:val="auto"/>
          <w:kern w:val="44"/>
          <w:sz w:val="44"/>
          <w:szCs w:val="24"/>
          <w:lang w:val="en-US" w:eastAsia="zh-CN"/>
        </w:rPr>
        <w:t xml:space="preserve">  </w:t>
      </w:r>
      <w:r>
        <w:rPr>
          <w:rFonts w:hint="eastAsia" w:ascii="方正小标宋简体" w:hAnsi="方正小标宋简体" w:eastAsia="方正小标宋简体" w:cs="方正小标宋简体"/>
          <w:color w:val="auto"/>
          <w:kern w:val="44"/>
          <w:sz w:val="44"/>
          <w:szCs w:val="24"/>
          <w:lang w:val="en-US"/>
        </w:rPr>
        <w:t>202</w:t>
      </w:r>
      <w:r>
        <w:rPr>
          <w:rFonts w:hint="eastAsia" w:ascii="方正小标宋简体" w:hAnsi="方正小标宋简体" w:eastAsia="方正小标宋简体" w:cs="方正小标宋简体"/>
          <w:color w:val="auto"/>
          <w:kern w:val="44"/>
          <w:sz w:val="44"/>
          <w:szCs w:val="24"/>
          <w:lang w:val="en-US" w:eastAsia="zh-CN"/>
        </w:rPr>
        <w:t>4</w:t>
      </w:r>
      <w:r>
        <w:rPr>
          <w:rFonts w:hint="eastAsia" w:ascii="方正小标宋简体" w:hAnsi="方正小标宋简体" w:eastAsia="方正小标宋简体" w:cs="方正小标宋简体"/>
          <w:color w:val="auto"/>
          <w:kern w:val="44"/>
          <w:sz w:val="44"/>
          <w:szCs w:val="24"/>
          <w:lang w:val="en-US"/>
        </w:rPr>
        <w:t>年度单位决算情况说明</w:t>
      </w:r>
      <w:bookmarkEnd w:id="3"/>
    </w:p>
    <w:p w14:paraId="0F5E8261">
      <w:pPr>
        <w:pStyle w:val="9"/>
        <w:overflowPunct w:val="0"/>
        <w:topLinePunct/>
        <w:spacing w:afterLines="0"/>
        <w:rPr>
          <w:rFonts w:hint="eastAsia"/>
          <w:sz w:val="30"/>
          <w:szCs w:val="24"/>
          <w:lang w:val="en-US"/>
        </w:rPr>
      </w:pPr>
    </w:p>
    <w:p w14:paraId="7297336D">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黑体" w:hAnsi="黑体" w:eastAsia="黑体"/>
          <w:color w:val="auto"/>
          <w:kern w:val="2"/>
          <w:sz w:val="32"/>
          <w:szCs w:val="24"/>
          <w:lang w:val="en-US"/>
        </w:rPr>
      </w:pPr>
      <w:bookmarkStart w:id="4" w:name="_Toc18721"/>
      <w:r>
        <w:rPr>
          <w:rFonts w:hint="eastAsia" w:ascii="黑体" w:hAnsi="黑体" w:eastAsia="黑体"/>
          <w:color w:val="000000"/>
          <w:kern w:val="2"/>
          <w:sz w:val="32"/>
          <w:szCs w:val="24"/>
          <w:lang w:val="en-US"/>
        </w:rPr>
        <w:t>一、收</w:t>
      </w:r>
      <w:r>
        <w:rPr>
          <w:rFonts w:hint="eastAsia" w:ascii="黑体" w:hAnsi="黑体" w:eastAsia="黑体"/>
          <w:color w:val="auto"/>
          <w:kern w:val="2"/>
          <w:sz w:val="32"/>
          <w:szCs w:val="24"/>
          <w:lang w:val="en-US"/>
        </w:rPr>
        <w:t>入支出决算总体情况说明</w:t>
      </w:r>
      <w:bookmarkEnd w:id="4"/>
    </w:p>
    <w:p w14:paraId="510E9BA2">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年度收、支总计均为</w:t>
      </w:r>
      <w:r>
        <w:rPr>
          <w:rFonts w:hint="eastAsia" w:ascii="仿宋_GB2312" w:hAnsi="仿宋_GB2312" w:eastAsia="仿宋_GB2312" w:cs="仿宋_GB2312"/>
          <w:sz w:val="32"/>
          <w:szCs w:val="32"/>
        </w:rPr>
        <w:t>34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546.86</w:t>
      </w:r>
      <w:r>
        <w:rPr>
          <w:rFonts w:hint="eastAsia" w:ascii="仿宋_GB2312" w:hAnsi="仿宋_GB2312" w:eastAsia="仿宋_GB2312"/>
          <w:color w:val="000000"/>
          <w:kern w:val="2"/>
          <w:sz w:val="32"/>
          <w:szCs w:val="24"/>
          <w:lang w:val="en-US"/>
        </w:rPr>
        <w:t>万元。与202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相比，收、支总计各减少</w:t>
      </w:r>
      <w:r>
        <w:rPr>
          <w:rFonts w:hint="eastAsia" w:ascii="仿宋_GB2312" w:hAnsi="仿宋_GB2312" w:eastAsia="仿宋_GB2312"/>
          <w:color w:val="000000"/>
          <w:kern w:val="2"/>
          <w:sz w:val="32"/>
          <w:szCs w:val="24"/>
          <w:lang w:val="en-US" w:eastAsia="zh-CN"/>
        </w:rPr>
        <w:t>6,167.12</w:t>
      </w:r>
      <w:r>
        <w:rPr>
          <w:rFonts w:hint="eastAsia" w:ascii="仿宋_GB2312" w:hAnsi="仿宋_GB2312" w:eastAsia="仿宋_GB2312"/>
          <w:color w:val="000000"/>
          <w:kern w:val="2"/>
          <w:sz w:val="32"/>
          <w:szCs w:val="24"/>
          <w:lang w:val="en-US"/>
        </w:rPr>
        <w:t>万元，下降</w:t>
      </w:r>
      <w:r>
        <w:rPr>
          <w:rFonts w:hint="eastAsia" w:ascii="仿宋_GB2312" w:hAnsi="仿宋_GB2312" w:eastAsia="仿宋_GB2312"/>
          <w:color w:val="000000"/>
          <w:kern w:val="2"/>
          <w:sz w:val="32"/>
          <w:szCs w:val="24"/>
          <w:lang w:val="en-US" w:eastAsia="zh-CN"/>
        </w:rPr>
        <w:t>15.2</w:t>
      </w:r>
      <w:r>
        <w:rPr>
          <w:rFonts w:hint="eastAsia" w:ascii="仿宋_GB2312" w:hAnsi="仿宋_GB2312" w:eastAsia="仿宋_GB2312"/>
          <w:color w:val="000000"/>
          <w:kern w:val="2"/>
          <w:sz w:val="32"/>
          <w:szCs w:val="24"/>
          <w:lang w:val="en-US"/>
        </w:rPr>
        <w:t>%。主要变动原因是</w:t>
      </w:r>
      <w:r>
        <w:rPr>
          <w:rFonts w:hint="eastAsia" w:ascii="仿宋_GB2312" w:hAnsi="仿宋" w:eastAsia="仿宋_GB2312" w:cs="Times New Roman"/>
          <w:kern w:val="2"/>
          <w:sz w:val="32"/>
          <w:szCs w:val="32"/>
          <w:highlight w:val="none"/>
          <w:lang w:val="en-US" w:eastAsia="zh-CN" w:bidi="ar-SA"/>
        </w:rPr>
        <w:t>2024年项目资金预算减少</w:t>
      </w:r>
      <w:r>
        <w:rPr>
          <w:rFonts w:hint="eastAsia" w:ascii="仿宋_GB2312" w:hAnsi="仿宋_GB2312" w:eastAsia="仿宋_GB2312"/>
          <w:color w:val="000000"/>
          <w:kern w:val="2"/>
          <w:sz w:val="32"/>
          <w:szCs w:val="24"/>
          <w:lang w:val="en-US"/>
        </w:rPr>
        <w:t>。</w:t>
      </w:r>
    </w:p>
    <w:p w14:paraId="1D36F509">
      <w:pPr>
        <w:overflowPunct w:val="0"/>
        <w:topLinePunct/>
        <w:spacing w:beforeLines="0" w:afterLines="0" w:line="240" w:lineRule="auto"/>
        <w:jc w:val="center"/>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pict>
          <v:shape id="_x0000_i1025" o:spt="75" alt="图片1" type="#_x0000_t75" style="height:196.3pt;width:366.7pt;" filled="f" o:preferrelative="t" stroked="f" coordsize="21600,21600">
            <v:path/>
            <v:fill on="f" focussize="0,0"/>
            <v:stroke on="f"/>
            <v:imagedata r:id="rId6" o:title="图片1"/>
            <o:lock v:ext="edit" aspectratio="t"/>
            <w10:wrap type="none"/>
            <w10:anchorlock/>
          </v:shape>
        </w:pict>
      </w:r>
    </w:p>
    <w:p w14:paraId="7CC6D2F4">
      <w:pPr>
        <w:overflowPunct w:val="0"/>
        <w:topLinePunct/>
        <w:spacing w:beforeLines="0" w:afterLines="0" w:line="576" w:lineRule="exact"/>
        <w:jc w:val="center"/>
        <w:rPr>
          <w:rFonts w:hint="eastAsia" w:ascii="仿宋_GB2312" w:hAnsi="仿宋_GB2312" w:eastAsia="仿宋_GB2312"/>
          <w:color w:val="000000"/>
          <w:kern w:val="2"/>
          <w:sz w:val="32"/>
          <w:szCs w:val="24"/>
          <w:highlight w:val="none"/>
          <w:lang w:val="en-US"/>
        </w:rPr>
      </w:pPr>
      <w:r>
        <w:rPr>
          <w:rFonts w:hint="eastAsia" w:ascii="仿宋_GB2312" w:hAnsi="仿宋_GB2312" w:eastAsia="仿宋_GB2312"/>
          <w:color w:val="000000"/>
          <w:kern w:val="2"/>
          <w:sz w:val="32"/>
          <w:szCs w:val="24"/>
          <w:highlight w:val="none"/>
          <w:lang w:val="en-US"/>
        </w:rPr>
        <w:t>（图1：收、支决算总计变动情况图）</w:t>
      </w:r>
    </w:p>
    <w:p w14:paraId="2227DCF9">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黑体" w:hAnsi="黑体" w:eastAsia="黑体" w:cs="Times New Roman"/>
          <w:color w:val="000000"/>
          <w:kern w:val="2"/>
          <w:sz w:val="32"/>
          <w:szCs w:val="24"/>
          <w:lang w:val="en-US"/>
        </w:rPr>
      </w:pPr>
      <w:bookmarkStart w:id="5" w:name="_Toc5489"/>
      <w:r>
        <w:rPr>
          <w:rFonts w:hint="eastAsia" w:ascii="黑体" w:hAnsi="黑体" w:eastAsia="黑体" w:cs="Times New Roman"/>
          <w:color w:val="000000"/>
          <w:kern w:val="2"/>
          <w:sz w:val="32"/>
          <w:szCs w:val="24"/>
          <w:lang w:val="en-US"/>
        </w:rPr>
        <w:t>二、收入决算情况说明</w:t>
      </w:r>
      <w:bookmarkEnd w:id="5"/>
    </w:p>
    <w:p w14:paraId="0B5AB598">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年本年收入合计</w:t>
      </w:r>
      <w:r>
        <w:rPr>
          <w:rFonts w:hint="eastAsia" w:ascii="仿宋_GB2312" w:hAnsi="仿宋_GB2312" w:eastAsia="仿宋_GB2312" w:cs="仿宋_GB2312"/>
          <w:sz w:val="32"/>
          <w:szCs w:val="32"/>
        </w:rPr>
        <w:t>34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546.86</w:t>
      </w:r>
      <w:r>
        <w:rPr>
          <w:rFonts w:hint="eastAsia" w:ascii="仿宋_GB2312" w:hAnsi="仿宋_GB2312" w:eastAsia="仿宋_GB2312"/>
          <w:color w:val="000000"/>
          <w:kern w:val="2"/>
          <w:sz w:val="32"/>
          <w:szCs w:val="24"/>
          <w:lang w:val="en-US"/>
        </w:rPr>
        <w:t>万元，其中：一般公共预算财政拨款收入</w:t>
      </w:r>
      <w:r>
        <w:rPr>
          <w:rFonts w:hint="eastAsia" w:ascii="仿宋_GB2312" w:hAnsi="仿宋_GB2312" w:eastAsia="仿宋_GB2312" w:cs="仿宋_GB2312"/>
          <w:sz w:val="32"/>
          <w:szCs w:val="32"/>
        </w:rPr>
        <w:t>30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546.86</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s="仿宋_GB2312"/>
          <w:sz w:val="32"/>
          <w:szCs w:val="32"/>
        </w:rPr>
        <w:t>88.4</w:t>
      </w:r>
      <w:r>
        <w:rPr>
          <w:rFonts w:hint="eastAsia" w:ascii="仿宋_GB2312" w:hAnsi="仿宋_GB2312" w:eastAsia="仿宋_GB2312"/>
          <w:color w:val="000000"/>
          <w:kern w:val="2"/>
          <w:sz w:val="32"/>
          <w:szCs w:val="24"/>
          <w:lang w:val="en-US"/>
        </w:rPr>
        <w:t>%；政府性基金预算财政拨款收入</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000</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val="en-US" w:eastAsia="zh-CN"/>
        </w:rPr>
        <w:t>6</w:t>
      </w:r>
      <w:r>
        <w:rPr>
          <w:rFonts w:hint="eastAsia" w:ascii="仿宋_GB2312" w:hAnsi="仿宋_GB2312" w:eastAsia="仿宋_GB2312"/>
          <w:color w:val="000000"/>
          <w:kern w:val="2"/>
          <w:sz w:val="32"/>
          <w:szCs w:val="24"/>
          <w:lang w:val="en-US"/>
        </w:rPr>
        <w:t>%。</w:t>
      </w:r>
    </w:p>
    <w:p w14:paraId="185FCC04">
      <w:pPr>
        <w:overflowPunct w:val="0"/>
        <w:topLinePunct/>
        <w:spacing w:beforeLines="0" w:afterLines="0" w:line="240" w:lineRule="auto"/>
        <w:jc w:val="center"/>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pict>
          <v:shape id="_x0000_i1026" o:spt="75" alt="图片2" type="#_x0000_t75" style="height:216.3pt;width:407.2pt;" filled="f" o:preferrelative="t" stroked="f" coordsize="21600,21600">
            <v:path/>
            <v:fill on="f" focussize="0,0"/>
            <v:stroke on="f"/>
            <v:imagedata r:id="rId7" o:title="图片2"/>
            <o:lock v:ext="edit" aspectratio="t"/>
            <w10:wrap type="none"/>
            <w10:anchorlock/>
          </v:shape>
        </w:pict>
      </w:r>
    </w:p>
    <w:p w14:paraId="76DC8235">
      <w:pPr>
        <w:overflowPunct w:val="0"/>
        <w:topLinePunct/>
        <w:spacing w:beforeLines="0" w:afterLines="0" w:line="576" w:lineRule="exact"/>
        <w:jc w:val="center"/>
        <w:rPr>
          <w:rFonts w:hint="eastAsia" w:ascii="仿宋_GB2312" w:hAnsi="仿宋_GB2312" w:eastAsia="仿宋_GB2312"/>
          <w:color w:val="FF0000"/>
          <w:kern w:val="2"/>
          <w:sz w:val="32"/>
          <w:szCs w:val="24"/>
          <w:lang w:val="en-US"/>
        </w:rPr>
      </w:pPr>
      <w:r>
        <w:rPr>
          <w:rFonts w:hint="eastAsia" w:ascii="仿宋_GB2312" w:hAnsi="仿宋_GB2312" w:eastAsia="仿宋_GB2312"/>
          <w:color w:val="000000"/>
          <w:kern w:val="2"/>
          <w:sz w:val="32"/>
          <w:szCs w:val="24"/>
          <w:highlight w:val="none"/>
          <w:lang w:val="en-US"/>
        </w:rPr>
        <w:t>（图2：收入决算结构图）</w:t>
      </w:r>
    </w:p>
    <w:p w14:paraId="183118A4">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黑体" w:hAnsi="黑体" w:eastAsia="黑体" w:cs="Times New Roman"/>
          <w:color w:val="000000"/>
          <w:kern w:val="2"/>
          <w:sz w:val="32"/>
          <w:szCs w:val="24"/>
          <w:lang w:val="en-US"/>
        </w:rPr>
      </w:pPr>
      <w:bookmarkStart w:id="6" w:name="_Toc25527"/>
      <w:r>
        <w:rPr>
          <w:rFonts w:hint="eastAsia" w:ascii="黑体" w:hAnsi="黑体" w:eastAsia="黑体" w:cs="Times New Roman"/>
          <w:color w:val="000000"/>
          <w:kern w:val="2"/>
          <w:sz w:val="32"/>
          <w:szCs w:val="24"/>
          <w:lang w:val="en-US"/>
        </w:rPr>
        <w:t>三、支出决算情况说明</w:t>
      </w:r>
      <w:bookmarkEnd w:id="6"/>
    </w:p>
    <w:p w14:paraId="0C5CC6C8">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年本年支出合计</w:t>
      </w:r>
      <w:r>
        <w:rPr>
          <w:rFonts w:hint="eastAsia" w:ascii="仿宋_GB2312" w:hAnsi="仿宋_GB2312" w:eastAsia="仿宋_GB2312" w:cs="仿宋_GB2312"/>
          <w:sz w:val="32"/>
          <w:szCs w:val="32"/>
        </w:rPr>
        <w:t>34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546.86</w:t>
      </w:r>
      <w:r>
        <w:rPr>
          <w:rFonts w:hint="eastAsia" w:ascii="仿宋_GB2312" w:hAnsi="仿宋_GB2312" w:eastAsia="仿宋_GB2312"/>
          <w:color w:val="000000"/>
          <w:kern w:val="2"/>
          <w:sz w:val="32"/>
          <w:szCs w:val="24"/>
          <w:lang w:val="en-US"/>
        </w:rPr>
        <w:t>万元，其中：基本支出</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199.23</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4</w:t>
      </w:r>
      <w:r>
        <w:rPr>
          <w:rFonts w:hint="eastAsia" w:ascii="仿宋_GB2312" w:hAnsi="仿宋_GB2312" w:eastAsia="仿宋_GB2312"/>
          <w:color w:val="000000"/>
          <w:kern w:val="2"/>
          <w:sz w:val="32"/>
          <w:szCs w:val="24"/>
          <w:lang w:val="en-US"/>
        </w:rPr>
        <w:t>%；项目支出</w:t>
      </w:r>
      <w:r>
        <w:rPr>
          <w:rFonts w:hint="eastAsia" w:ascii="仿宋_GB2312" w:hAnsi="仿宋_GB2312" w:eastAsia="仿宋_GB2312" w:cs="仿宋_GB2312"/>
          <w:sz w:val="32"/>
          <w:szCs w:val="32"/>
        </w:rPr>
        <w:t>32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347.63</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s="仿宋_GB2312"/>
          <w:sz w:val="32"/>
          <w:szCs w:val="32"/>
        </w:rPr>
        <w:t>93.6</w:t>
      </w:r>
      <w:r>
        <w:rPr>
          <w:rFonts w:hint="eastAsia" w:ascii="仿宋_GB2312" w:hAnsi="仿宋_GB2312" w:eastAsia="仿宋_GB2312"/>
          <w:color w:val="000000"/>
          <w:kern w:val="2"/>
          <w:sz w:val="32"/>
          <w:szCs w:val="24"/>
          <w:lang w:val="en-US"/>
        </w:rPr>
        <w:t>%。</w:t>
      </w:r>
    </w:p>
    <w:p w14:paraId="510B4383">
      <w:pPr>
        <w:overflowPunct w:val="0"/>
        <w:topLinePunct/>
        <w:spacing w:beforeLines="0" w:afterLines="0" w:line="240" w:lineRule="auto"/>
        <w:jc w:val="center"/>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pict>
          <v:shape id="_x0000_i1027" o:spt="75" alt="图片3" type="#_x0000_t75" style="height:228.15pt;width:397.95pt;" filled="f" o:preferrelative="t" stroked="f" coordsize="21600,21600">
            <v:path/>
            <v:fill on="f" focussize="0,0"/>
            <v:stroke on="f"/>
            <v:imagedata r:id="rId8" o:title="图片3"/>
            <o:lock v:ext="edit" aspectratio="t"/>
            <w10:wrap type="none"/>
            <w10:anchorlock/>
          </v:shape>
        </w:pict>
      </w:r>
    </w:p>
    <w:p w14:paraId="2AA39C67">
      <w:pPr>
        <w:overflowPunct w:val="0"/>
        <w:topLinePunct/>
        <w:spacing w:beforeLines="0" w:afterLines="0" w:line="576" w:lineRule="exact"/>
        <w:jc w:val="center"/>
        <w:rPr>
          <w:rFonts w:hint="eastAsia" w:ascii="仿宋_GB2312" w:hAnsi="仿宋_GB2312" w:eastAsia="仿宋_GB2312"/>
          <w:color w:val="FF0000"/>
          <w:kern w:val="2"/>
          <w:sz w:val="32"/>
          <w:szCs w:val="24"/>
          <w:highlight w:val="none"/>
          <w:lang w:val="en-US"/>
        </w:rPr>
      </w:pPr>
      <w:r>
        <w:rPr>
          <w:rFonts w:hint="eastAsia" w:ascii="仿宋_GB2312" w:hAnsi="仿宋_GB2312" w:eastAsia="仿宋_GB2312"/>
          <w:color w:val="000000"/>
          <w:kern w:val="2"/>
          <w:sz w:val="32"/>
          <w:szCs w:val="24"/>
          <w:highlight w:val="none"/>
          <w:lang w:val="en-US"/>
        </w:rPr>
        <w:t>（图3：支出决算结构图）</w:t>
      </w:r>
    </w:p>
    <w:p w14:paraId="64C2B71F">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480" w:firstLineChars="200"/>
        <w:jc w:val="both"/>
        <w:textAlignment w:val="auto"/>
        <w:outlineLvl w:val="1"/>
        <w:rPr>
          <w:rFonts w:hint="eastAsia" w:ascii="黑体" w:hAnsi="黑体" w:eastAsia="黑体" w:cs="Times New Roman"/>
          <w:color w:val="000000"/>
          <w:kern w:val="2"/>
          <w:sz w:val="32"/>
          <w:szCs w:val="24"/>
          <w:lang w:val="en-US"/>
        </w:rPr>
      </w:pPr>
      <w:r>
        <w:br w:type="page"/>
      </w:r>
      <w:bookmarkStart w:id="7" w:name="_Toc27510"/>
      <w:r>
        <w:rPr>
          <w:rFonts w:hint="eastAsia" w:ascii="黑体" w:hAnsi="黑体" w:eastAsia="黑体" w:cs="Times New Roman"/>
          <w:color w:val="000000"/>
          <w:kern w:val="2"/>
          <w:sz w:val="32"/>
          <w:szCs w:val="24"/>
          <w:lang w:val="en-US"/>
        </w:rPr>
        <w:t>四、财政拨款收入支出决算总体情况说明</w:t>
      </w:r>
      <w:bookmarkEnd w:id="7"/>
    </w:p>
    <w:p w14:paraId="2D0206F5">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财政拨款收、支总计均为</w:t>
      </w:r>
      <w:r>
        <w:rPr>
          <w:rFonts w:hint="eastAsia" w:ascii="仿宋_GB2312" w:hAnsi="仿宋_GB2312" w:eastAsia="仿宋_GB2312" w:cs="仿宋_GB2312"/>
          <w:sz w:val="32"/>
          <w:szCs w:val="32"/>
        </w:rPr>
        <w:t>34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546.86</w:t>
      </w:r>
      <w:r>
        <w:rPr>
          <w:rFonts w:hint="eastAsia" w:ascii="仿宋_GB2312" w:hAnsi="仿宋_GB2312" w:eastAsia="仿宋_GB2312"/>
          <w:color w:val="000000"/>
          <w:kern w:val="2"/>
          <w:sz w:val="32"/>
          <w:szCs w:val="24"/>
          <w:lang w:val="en-US"/>
        </w:rPr>
        <w:t>万元。与202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相比，财政拨款收、支总计各减少</w:t>
      </w:r>
      <w:r>
        <w:rPr>
          <w:rFonts w:hint="eastAsia" w:ascii="仿宋_GB2312" w:hAnsi="仿宋_GB2312" w:eastAsia="仿宋_GB2312"/>
          <w:color w:val="000000"/>
          <w:kern w:val="2"/>
          <w:sz w:val="32"/>
          <w:szCs w:val="24"/>
          <w:lang w:val="en-US" w:eastAsia="zh-CN"/>
        </w:rPr>
        <w:t>6,167.12</w:t>
      </w:r>
      <w:r>
        <w:rPr>
          <w:rFonts w:hint="eastAsia" w:ascii="仿宋_GB2312" w:hAnsi="仿宋_GB2312" w:eastAsia="仿宋_GB2312"/>
          <w:color w:val="000000"/>
          <w:kern w:val="2"/>
          <w:sz w:val="32"/>
          <w:szCs w:val="24"/>
          <w:lang w:val="en-US"/>
        </w:rPr>
        <w:t>万元，下降</w:t>
      </w:r>
      <w:r>
        <w:rPr>
          <w:rFonts w:hint="eastAsia" w:ascii="仿宋_GB2312" w:hAnsi="仿宋_GB2312" w:eastAsia="仿宋_GB2312"/>
          <w:color w:val="000000"/>
          <w:kern w:val="2"/>
          <w:sz w:val="32"/>
          <w:szCs w:val="24"/>
          <w:lang w:val="en-US" w:eastAsia="zh-CN"/>
        </w:rPr>
        <w:t>15.2</w:t>
      </w:r>
      <w:r>
        <w:rPr>
          <w:rFonts w:hint="eastAsia" w:ascii="仿宋_GB2312" w:hAnsi="仿宋_GB2312" w:eastAsia="仿宋_GB2312"/>
          <w:color w:val="000000"/>
          <w:kern w:val="2"/>
          <w:sz w:val="32"/>
          <w:szCs w:val="24"/>
          <w:lang w:val="en-US"/>
        </w:rPr>
        <w:t>%。主要变动原因是</w:t>
      </w:r>
      <w:r>
        <w:rPr>
          <w:rFonts w:hint="eastAsia" w:ascii="仿宋_GB2312" w:hAnsi="仿宋" w:eastAsia="仿宋_GB2312" w:cs="Times New Roman"/>
          <w:kern w:val="2"/>
          <w:sz w:val="32"/>
          <w:szCs w:val="32"/>
          <w:highlight w:val="none"/>
          <w:lang w:val="en-US" w:eastAsia="zh-CN" w:bidi="ar-SA"/>
        </w:rPr>
        <w:t>2024年项目资金预算减少。</w:t>
      </w:r>
    </w:p>
    <w:p w14:paraId="1CE70BF5">
      <w:pPr>
        <w:overflowPunct w:val="0"/>
        <w:topLinePunct/>
        <w:spacing w:beforeLines="0" w:afterLines="0" w:line="240" w:lineRule="auto"/>
        <w:jc w:val="center"/>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pict>
          <v:shape id="_x0000_i1028" o:spt="75" alt="图片1" type="#_x0000_t75" style="height:196.3pt;width:366.7pt;" filled="f" o:preferrelative="t" stroked="f" coordsize="21600,21600">
            <v:path/>
            <v:fill on="f" focussize="0,0"/>
            <v:stroke on="f"/>
            <v:imagedata r:id="rId6" o:title="图片1"/>
            <o:lock v:ext="edit" aspectratio="t"/>
            <w10:wrap type="none"/>
            <w10:anchorlock/>
          </v:shape>
        </w:pict>
      </w:r>
    </w:p>
    <w:p w14:paraId="5BBCC9C9">
      <w:pPr>
        <w:overflowPunct w:val="0"/>
        <w:topLinePunct/>
        <w:spacing w:beforeLines="0" w:afterLines="0" w:line="576" w:lineRule="exact"/>
        <w:jc w:val="center"/>
        <w:rPr>
          <w:rFonts w:hint="eastAsia" w:ascii="仿宋_GB2312" w:hAnsi="仿宋_GB2312" w:eastAsia="仿宋_GB2312"/>
          <w:i/>
          <w:color w:val="000000"/>
          <w:kern w:val="2"/>
          <w:sz w:val="32"/>
          <w:szCs w:val="24"/>
          <w:highlight w:val="none"/>
          <w:lang w:val="en-US"/>
        </w:rPr>
      </w:pPr>
      <w:r>
        <w:rPr>
          <w:rFonts w:hint="eastAsia" w:ascii="仿宋_GB2312" w:hAnsi="仿宋_GB2312" w:eastAsia="仿宋_GB2312"/>
          <w:color w:val="000000"/>
          <w:kern w:val="2"/>
          <w:sz w:val="32"/>
          <w:szCs w:val="24"/>
          <w:highlight w:val="none"/>
          <w:lang w:val="en-US"/>
        </w:rPr>
        <w:t>（图4：财政拨款收、支决算总计变动情况）</w:t>
      </w:r>
    </w:p>
    <w:p w14:paraId="2EDAEDD4">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黑体" w:hAnsi="黑体" w:eastAsia="黑体" w:cs="Times New Roman"/>
          <w:color w:val="000000"/>
          <w:kern w:val="2"/>
          <w:sz w:val="32"/>
          <w:szCs w:val="24"/>
          <w:lang w:val="en-US"/>
        </w:rPr>
      </w:pPr>
      <w:bookmarkStart w:id="8" w:name="_Toc6137"/>
      <w:r>
        <w:rPr>
          <w:rFonts w:hint="eastAsia" w:ascii="黑体" w:hAnsi="黑体" w:eastAsia="黑体" w:cs="Times New Roman"/>
          <w:color w:val="000000"/>
          <w:kern w:val="2"/>
          <w:sz w:val="32"/>
          <w:szCs w:val="24"/>
          <w:lang w:val="en-US"/>
        </w:rPr>
        <w:t>五、一般公共预算财政拨款支出决算情况说明</w:t>
      </w:r>
      <w:bookmarkEnd w:id="8"/>
    </w:p>
    <w:p w14:paraId="4E6DEA2B">
      <w:pPr>
        <w:overflowPunct w:val="0"/>
        <w:topLinePunct/>
        <w:spacing w:beforeLines="0" w:afterLines="0" w:line="576" w:lineRule="exact"/>
        <w:ind w:firstLine="641" w:firstLineChars="200"/>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b/>
          <w:color w:val="000000"/>
          <w:kern w:val="2"/>
          <w:sz w:val="32"/>
          <w:szCs w:val="24"/>
          <w:lang w:val="en-US"/>
        </w:rPr>
        <w:t>（一）一般公共预算财政拨款支出决算总体情况</w:t>
      </w:r>
    </w:p>
    <w:p w14:paraId="7B05FE1E">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一般公共预算财政拨款支出</w:t>
      </w:r>
      <w:r>
        <w:rPr>
          <w:rFonts w:hint="eastAsia" w:ascii="仿宋_GB2312" w:hAnsi="仿宋_GB2312" w:eastAsia="仿宋_GB2312" w:cs="仿宋_GB2312"/>
          <w:sz w:val="32"/>
          <w:szCs w:val="32"/>
        </w:rPr>
        <w:t>30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546.86</w:t>
      </w:r>
      <w:r>
        <w:rPr>
          <w:rFonts w:hint="eastAsia" w:ascii="仿宋_GB2312" w:hAnsi="仿宋_GB2312" w:eastAsia="仿宋_GB2312"/>
          <w:color w:val="000000"/>
          <w:kern w:val="2"/>
          <w:sz w:val="32"/>
          <w:szCs w:val="24"/>
          <w:lang w:val="en-US"/>
        </w:rPr>
        <w:t>万元，占本年支出合计的</w:t>
      </w:r>
      <w:r>
        <w:rPr>
          <w:rFonts w:hint="eastAsia" w:ascii="仿宋_GB2312" w:hAnsi="仿宋_GB2312" w:eastAsia="仿宋_GB2312" w:cs="仿宋_GB2312"/>
          <w:sz w:val="32"/>
          <w:szCs w:val="32"/>
        </w:rPr>
        <w:t>88.4</w:t>
      </w:r>
      <w:r>
        <w:rPr>
          <w:rFonts w:hint="eastAsia" w:ascii="仿宋_GB2312" w:hAnsi="仿宋_GB2312" w:eastAsia="仿宋_GB2312"/>
          <w:color w:val="000000"/>
          <w:kern w:val="2"/>
          <w:sz w:val="32"/>
          <w:szCs w:val="24"/>
          <w:lang w:val="en-US"/>
        </w:rPr>
        <w:t>%。与202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相比，一般公共预算财政拨款支出增加386.1万元，增长1.</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en-US"/>
        </w:rPr>
        <w:t>%。主要变动原因是</w:t>
      </w:r>
      <w:r>
        <w:rPr>
          <w:rFonts w:hint="eastAsia" w:ascii="仿宋_GB2312" w:hAnsi="仿宋_GB2312" w:eastAsia="仿宋_GB2312"/>
          <w:color w:val="000000"/>
          <w:kern w:val="2"/>
          <w:sz w:val="32"/>
          <w:szCs w:val="24"/>
          <w:lang w:val="en-US" w:eastAsia="zh-CN"/>
        </w:rPr>
        <w:t>2024年度粮油物资储备项目和节能环保项目增加</w:t>
      </w:r>
      <w:r>
        <w:rPr>
          <w:rFonts w:hint="eastAsia" w:ascii="仿宋_GB2312" w:hAnsi="仿宋_GB2312" w:eastAsia="仿宋_GB2312"/>
          <w:color w:val="000000"/>
          <w:kern w:val="2"/>
          <w:sz w:val="32"/>
          <w:szCs w:val="24"/>
          <w:lang w:val="en-US"/>
        </w:rPr>
        <w:t>。</w:t>
      </w:r>
    </w:p>
    <w:p w14:paraId="05217A6C">
      <w:pPr>
        <w:overflowPunct w:val="0"/>
        <w:topLinePunct/>
        <w:spacing w:beforeLines="0" w:afterLines="0" w:line="240" w:lineRule="auto"/>
        <w:jc w:val="center"/>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pict>
          <v:shape id="_x0000_i1029" o:spt="75" alt="图片4" type="#_x0000_t75" style="height:196.3pt;width:382.1pt;" filled="f" o:preferrelative="t" stroked="f" coordsize="21600,21600">
            <v:path/>
            <v:fill on="f" focussize="0,0"/>
            <v:stroke on="f"/>
            <v:imagedata r:id="rId9" o:title="图片4"/>
            <o:lock v:ext="edit" aspectratio="t"/>
            <w10:wrap type="none"/>
            <w10:anchorlock/>
          </v:shape>
        </w:pict>
      </w:r>
    </w:p>
    <w:p w14:paraId="2EB04330">
      <w:pPr>
        <w:overflowPunct w:val="0"/>
        <w:topLinePunct/>
        <w:spacing w:beforeLines="0" w:afterLines="0" w:line="576" w:lineRule="exact"/>
        <w:jc w:val="center"/>
        <w:rPr>
          <w:rFonts w:hint="eastAsia" w:ascii="仿宋_GB2312" w:hAnsi="仿宋_GB2312" w:eastAsia="仿宋_GB2312"/>
          <w:i/>
          <w:color w:val="000000"/>
          <w:kern w:val="2"/>
          <w:sz w:val="32"/>
          <w:szCs w:val="24"/>
          <w:highlight w:val="none"/>
          <w:lang w:val="en-US"/>
        </w:rPr>
      </w:pPr>
      <w:r>
        <w:rPr>
          <w:rFonts w:hint="eastAsia" w:ascii="仿宋_GB2312" w:hAnsi="仿宋_GB2312" w:eastAsia="仿宋_GB2312"/>
          <w:color w:val="000000"/>
          <w:kern w:val="2"/>
          <w:sz w:val="32"/>
          <w:szCs w:val="24"/>
          <w:highlight w:val="none"/>
          <w:lang w:val="en-US"/>
        </w:rPr>
        <w:t>（图5：一般公共预算财政拨款支出决算变动情况）</w:t>
      </w:r>
    </w:p>
    <w:p w14:paraId="104109F5">
      <w:pPr>
        <w:overflowPunct w:val="0"/>
        <w:topLinePunct/>
        <w:spacing w:beforeLines="0" w:afterLines="0" w:line="576" w:lineRule="exact"/>
        <w:ind w:firstLine="641" w:firstLineChars="200"/>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b/>
          <w:color w:val="000000"/>
          <w:kern w:val="2"/>
          <w:sz w:val="32"/>
          <w:szCs w:val="24"/>
          <w:lang w:val="en-US"/>
        </w:rPr>
        <w:t>（二）一般公共预算财政拨款支出决算结构情况</w:t>
      </w:r>
    </w:p>
    <w:p w14:paraId="601ADAB2">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一般公共预算财政拨款支出</w:t>
      </w:r>
      <w:r>
        <w:rPr>
          <w:rFonts w:hint="eastAsia" w:ascii="仿宋_GB2312" w:hAnsi="仿宋_GB2312" w:eastAsia="仿宋_GB2312" w:cs="仿宋_GB2312"/>
          <w:sz w:val="32"/>
          <w:szCs w:val="32"/>
        </w:rPr>
        <w:t>30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546.86</w:t>
      </w:r>
      <w:r>
        <w:rPr>
          <w:rFonts w:hint="eastAsia" w:ascii="仿宋_GB2312" w:hAnsi="仿宋_GB2312" w:eastAsia="仿宋_GB2312"/>
          <w:color w:val="000000"/>
          <w:kern w:val="2"/>
          <w:sz w:val="32"/>
          <w:szCs w:val="24"/>
          <w:lang w:val="en-US"/>
        </w:rPr>
        <w:t>万元，主要用于以下方面: 一般公共服务支出</w:t>
      </w:r>
      <w:r>
        <w:rPr>
          <w:rFonts w:hint="eastAsia" w:ascii="仿宋_GB2312" w:hAnsi="仿宋_GB2312" w:eastAsia="仿宋_GB2312"/>
          <w:color w:val="000000"/>
          <w:kern w:val="2"/>
          <w:sz w:val="32"/>
          <w:szCs w:val="24"/>
          <w:lang w:val="en-US" w:eastAsia="zh-CN"/>
        </w:rPr>
        <w:t>22</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0.1</w:t>
      </w:r>
      <w:r>
        <w:rPr>
          <w:rFonts w:hint="eastAsia" w:ascii="仿宋_GB2312" w:hAnsi="仿宋_GB2312" w:eastAsia="仿宋_GB2312"/>
          <w:color w:val="000000"/>
          <w:kern w:val="2"/>
          <w:sz w:val="32"/>
          <w:szCs w:val="24"/>
          <w:lang w:val="en-US"/>
        </w:rPr>
        <w:t>%；社会保障和就业支出</w:t>
      </w:r>
      <w:r>
        <w:rPr>
          <w:rFonts w:hint="eastAsia" w:ascii="仿宋_GB2312" w:hAnsi="仿宋_GB2312" w:eastAsia="仿宋_GB2312"/>
          <w:color w:val="000000"/>
          <w:kern w:val="2"/>
          <w:sz w:val="32"/>
          <w:szCs w:val="24"/>
          <w:lang w:val="en-US" w:eastAsia="zh-CN"/>
        </w:rPr>
        <w:t>464.24</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1.5</w:t>
      </w:r>
      <w:r>
        <w:rPr>
          <w:rFonts w:hint="eastAsia" w:ascii="仿宋_GB2312" w:hAnsi="仿宋_GB2312" w:eastAsia="仿宋_GB2312"/>
          <w:color w:val="000000"/>
          <w:kern w:val="2"/>
          <w:sz w:val="32"/>
          <w:szCs w:val="24"/>
          <w:lang w:val="en-US"/>
        </w:rPr>
        <w:t>%；卫生健康支出</w:t>
      </w:r>
      <w:r>
        <w:rPr>
          <w:rFonts w:hint="eastAsia" w:ascii="仿宋_GB2312" w:hAnsi="仿宋_GB2312" w:eastAsia="仿宋_GB2312"/>
          <w:color w:val="000000"/>
          <w:kern w:val="2"/>
          <w:sz w:val="32"/>
          <w:szCs w:val="24"/>
          <w:lang w:val="en-US" w:eastAsia="zh-CN"/>
        </w:rPr>
        <w:t>88.24</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0.3</w:t>
      </w:r>
      <w:r>
        <w:rPr>
          <w:rFonts w:hint="eastAsia" w:ascii="仿宋_GB2312" w:hAnsi="仿宋_GB2312" w:eastAsia="仿宋_GB2312"/>
          <w:color w:val="000000"/>
          <w:kern w:val="2"/>
          <w:sz w:val="32"/>
          <w:szCs w:val="24"/>
          <w:lang w:val="en-US"/>
        </w:rPr>
        <w:t>%；节能环保支出</w:t>
      </w:r>
      <w:r>
        <w:rPr>
          <w:rFonts w:hint="eastAsia" w:ascii="仿宋_GB2312" w:hAnsi="仿宋_GB2312" w:eastAsia="仿宋_GB2312"/>
          <w:color w:val="000000"/>
          <w:kern w:val="2"/>
          <w:sz w:val="32"/>
          <w:szCs w:val="24"/>
          <w:lang w:val="en-US" w:eastAsia="zh-CN"/>
        </w:rPr>
        <w:t>360</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1.2</w:t>
      </w:r>
      <w:r>
        <w:rPr>
          <w:rFonts w:hint="eastAsia" w:ascii="仿宋_GB2312" w:hAnsi="仿宋_GB2312" w:eastAsia="仿宋_GB2312"/>
          <w:color w:val="000000"/>
          <w:kern w:val="2"/>
          <w:sz w:val="32"/>
          <w:szCs w:val="24"/>
          <w:lang w:val="en-US"/>
        </w:rPr>
        <w:t>%；农林水支出</w:t>
      </w:r>
      <w:r>
        <w:rPr>
          <w:rFonts w:hint="eastAsia" w:ascii="仿宋_GB2312" w:hAnsi="仿宋_GB2312" w:eastAsia="仿宋_GB2312"/>
          <w:color w:val="000000"/>
          <w:kern w:val="2"/>
          <w:sz w:val="32"/>
          <w:szCs w:val="24"/>
          <w:lang w:val="en-US" w:eastAsia="zh-CN"/>
        </w:rPr>
        <w:t>28,004.87</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91.7</w:t>
      </w:r>
      <w:r>
        <w:rPr>
          <w:rFonts w:hint="eastAsia" w:ascii="仿宋_GB2312" w:hAnsi="仿宋_GB2312" w:eastAsia="仿宋_GB2312"/>
          <w:color w:val="000000"/>
          <w:kern w:val="2"/>
          <w:sz w:val="32"/>
          <w:szCs w:val="24"/>
          <w:lang w:val="en-US"/>
        </w:rPr>
        <w:t>%；商业服务业等支出</w:t>
      </w:r>
      <w:r>
        <w:rPr>
          <w:rFonts w:hint="eastAsia" w:ascii="仿宋_GB2312" w:hAnsi="仿宋_GB2312" w:eastAsia="仿宋_GB2312"/>
          <w:color w:val="000000"/>
          <w:kern w:val="2"/>
          <w:sz w:val="32"/>
          <w:szCs w:val="24"/>
          <w:lang w:val="en-US" w:eastAsia="zh-CN"/>
        </w:rPr>
        <w:t>529</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1.7</w:t>
      </w:r>
      <w:r>
        <w:rPr>
          <w:rFonts w:hint="eastAsia" w:ascii="仿宋_GB2312" w:hAnsi="仿宋_GB2312" w:eastAsia="仿宋_GB2312"/>
          <w:color w:val="000000"/>
          <w:kern w:val="2"/>
          <w:sz w:val="32"/>
          <w:szCs w:val="24"/>
          <w:lang w:val="en-US"/>
        </w:rPr>
        <w:t>%；住房保障支出</w:t>
      </w:r>
      <w:r>
        <w:rPr>
          <w:rFonts w:hint="eastAsia" w:ascii="仿宋_GB2312" w:hAnsi="仿宋_GB2312" w:eastAsia="仿宋_GB2312"/>
          <w:color w:val="000000"/>
          <w:kern w:val="2"/>
          <w:sz w:val="32"/>
          <w:szCs w:val="24"/>
          <w:lang w:val="en-US" w:eastAsia="zh-CN"/>
        </w:rPr>
        <w:t>162.6</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0.5</w:t>
      </w:r>
      <w:r>
        <w:rPr>
          <w:rFonts w:hint="eastAsia" w:ascii="仿宋_GB2312" w:hAnsi="仿宋_GB2312" w:eastAsia="仿宋_GB2312"/>
          <w:color w:val="000000"/>
          <w:kern w:val="2"/>
          <w:sz w:val="32"/>
          <w:szCs w:val="24"/>
          <w:lang w:val="en-US"/>
        </w:rPr>
        <w:t>%；粮油物资储备支出</w:t>
      </w:r>
      <w:r>
        <w:rPr>
          <w:rFonts w:hint="eastAsia" w:ascii="仿宋_GB2312" w:hAnsi="仿宋_GB2312" w:eastAsia="仿宋_GB2312"/>
          <w:color w:val="000000"/>
          <w:kern w:val="2"/>
          <w:sz w:val="32"/>
          <w:szCs w:val="24"/>
          <w:lang w:val="en-US" w:eastAsia="zh-CN"/>
        </w:rPr>
        <w:t>915.91</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en-US"/>
        </w:rPr>
        <w:t>%。</w:t>
      </w:r>
    </w:p>
    <w:p w14:paraId="4E7999DA">
      <w:pPr>
        <w:overflowPunct w:val="0"/>
        <w:topLinePunct/>
        <w:spacing w:beforeLines="0" w:afterLines="0" w:line="240" w:lineRule="auto"/>
        <w:jc w:val="center"/>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pict>
          <v:shape id="_x0000_i1030" o:spt="75" alt="图片5" type="#_x0000_t75" style="height:179.9pt;width:418.95pt;" filled="f" o:preferrelative="t" stroked="f" coordsize="21600,21600">
            <v:path/>
            <v:fill on="f" focussize="0,0"/>
            <v:stroke on="f"/>
            <v:imagedata r:id="rId10" o:title="图片5"/>
            <o:lock v:ext="edit" aspectratio="t"/>
            <w10:wrap type="none"/>
            <w10:anchorlock/>
          </v:shape>
        </w:pict>
      </w:r>
    </w:p>
    <w:p w14:paraId="0CB0476A">
      <w:pPr>
        <w:overflowPunct w:val="0"/>
        <w:topLinePunct/>
        <w:spacing w:beforeLines="0" w:afterLines="0" w:line="576" w:lineRule="exact"/>
        <w:jc w:val="center"/>
        <w:rPr>
          <w:rFonts w:hint="eastAsia" w:ascii="仿宋_GB2312" w:hAnsi="仿宋_GB2312" w:eastAsia="仿宋_GB2312"/>
          <w:i/>
          <w:color w:val="000000"/>
          <w:kern w:val="2"/>
          <w:sz w:val="32"/>
          <w:szCs w:val="24"/>
          <w:highlight w:val="none"/>
          <w:lang w:val="en-US"/>
        </w:rPr>
      </w:pPr>
      <w:r>
        <w:rPr>
          <w:rFonts w:hint="eastAsia" w:ascii="仿宋_GB2312" w:hAnsi="仿宋_GB2312" w:eastAsia="仿宋_GB2312"/>
          <w:color w:val="000000"/>
          <w:kern w:val="2"/>
          <w:sz w:val="32"/>
          <w:szCs w:val="24"/>
          <w:highlight w:val="none"/>
          <w:lang w:val="en-US"/>
        </w:rPr>
        <w:t>（图6：一般公共预算财政拨款支出决算结构）</w:t>
      </w:r>
    </w:p>
    <w:p w14:paraId="20130B7A">
      <w:pPr>
        <w:overflowPunct w:val="0"/>
        <w:topLinePunct/>
        <w:spacing w:beforeLines="0" w:afterLines="0" w:line="576" w:lineRule="exact"/>
        <w:ind w:firstLine="641" w:firstLineChars="200"/>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b/>
          <w:color w:val="000000"/>
          <w:kern w:val="2"/>
          <w:sz w:val="32"/>
          <w:szCs w:val="24"/>
          <w:lang w:val="en-US"/>
        </w:rPr>
        <w:t>（三）一般公共预算财政拨款支出决算具体情况</w:t>
      </w:r>
    </w:p>
    <w:p w14:paraId="2A53F264">
      <w:pPr>
        <w:overflowPunct w:val="0"/>
        <w:topLinePunct/>
        <w:spacing w:beforeLines="0" w:afterLines="0" w:line="576" w:lineRule="exact"/>
        <w:ind w:firstLine="640" w:firstLineChars="200"/>
        <w:jc w:val="both"/>
        <w:rPr>
          <w:rFonts w:hint="eastAsia" w:ascii="仿宋_GB2312" w:hAnsi="仿宋_GB2312" w:eastAsia="仿宋_GB2312" w:cs="Times New Roman"/>
          <w:color w:val="000000"/>
          <w:kern w:val="2"/>
          <w:sz w:val="32"/>
          <w:szCs w:val="24"/>
          <w:lang w:val="en-US"/>
        </w:rPr>
      </w:pPr>
      <w:r>
        <w:rPr>
          <w:rFonts w:hint="eastAsia" w:ascii="仿宋_GB2312" w:hAnsi="仿宋_GB2312" w:eastAsia="仿宋_GB2312" w:cs="Times New Roman"/>
          <w:color w:val="000000"/>
          <w:kern w:val="2"/>
          <w:sz w:val="32"/>
          <w:szCs w:val="24"/>
          <w:lang w:val="en-US"/>
        </w:rPr>
        <w:t>202</w:t>
      </w:r>
      <w:r>
        <w:rPr>
          <w:rFonts w:hint="eastAsia" w:ascii="仿宋_GB2312" w:hAnsi="仿宋_GB2312" w:eastAsia="仿宋_GB2312" w:cs="Times New Roman"/>
          <w:color w:val="000000"/>
          <w:kern w:val="2"/>
          <w:sz w:val="32"/>
          <w:szCs w:val="24"/>
          <w:lang w:val="en-US" w:eastAsia="zh-CN"/>
        </w:rPr>
        <w:t>4</w:t>
      </w:r>
      <w:r>
        <w:rPr>
          <w:rFonts w:hint="eastAsia" w:ascii="仿宋_GB2312" w:hAnsi="仿宋_GB2312" w:eastAsia="仿宋_GB2312" w:cs="Times New Roman"/>
          <w:color w:val="000000"/>
          <w:kern w:val="2"/>
          <w:sz w:val="32"/>
          <w:szCs w:val="24"/>
          <w:lang w:val="en-US"/>
        </w:rPr>
        <w:t>年</w:t>
      </w:r>
      <w:r>
        <w:rPr>
          <w:rFonts w:hint="eastAsia" w:ascii="仿宋_GB2312" w:hAnsi="仿宋_GB2312" w:eastAsia="仿宋_GB2312" w:cs="Times New Roman"/>
          <w:color w:val="000000"/>
          <w:kern w:val="2"/>
          <w:sz w:val="32"/>
          <w:szCs w:val="24"/>
          <w:lang w:val="en-US" w:eastAsia="zh-CN"/>
        </w:rPr>
        <w:t>度</w:t>
      </w:r>
      <w:r>
        <w:rPr>
          <w:rFonts w:hint="eastAsia" w:ascii="仿宋_GB2312" w:hAnsi="仿宋_GB2312" w:eastAsia="仿宋_GB2312" w:cs="Times New Roman"/>
          <w:color w:val="000000"/>
          <w:kern w:val="2"/>
          <w:sz w:val="32"/>
          <w:szCs w:val="24"/>
          <w:lang w:val="en-US"/>
        </w:rPr>
        <w:t>一般公共预算支出全年预算数为</w:t>
      </w:r>
      <w:r>
        <w:rPr>
          <w:rFonts w:hint="eastAsia" w:ascii="仿宋_GB2312" w:hAnsi="仿宋_GB2312" w:eastAsia="仿宋_GB2312" w:cs="仿宋_GB2312"/>
          <w:sz w:val="32"/>
          <w:szCs w:val="32"/>
        </w:rPr>
        <w:t>30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546.86</w:t>
      </w:r>
      <w:r>
        <w:rPr>
          <w:rFonts w:hint="eastAsia" w:ascii="仿宋_GB2312" w:hAnsi="仿宋_GB2312" w:eastAsia="仿宋_GB2312" w:cs="Times New Roman"/>
          <w:color w:val="000000"/>
          <w:kern w:val="2"/>
          <w:sz w:val="32"/>
          <w:szCs w:val="24"/>
          <w:lang w:val="en-US"/>
        </w:rPr>
        <w:t>万元，支出决算数为</w:t>
      </w:r>
      <w:r>
        <w:rPr>
          <w:rFonts w:hint="eastAsia" w:ascii="仿宋_GB2312" w:hAnsi="仿宋_GB2312" w:eastAsia="仿宋_GB2312" w:cs="仿宋_GB2312"/>
          <w:sz w:val="32"/>
          <w:szCs w:val="32"/>
        </w:rPr>
        <w:t>30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546.86</w:t>
      </w:r>
      <w:r>
        <w:rPr>
          <w:rFonts w:hint="eastAsia" w:ascii="仿宋_GB2312" w:hAnsi="仿宋_GB2312" w:eastAsia="仿宋_GB2312" w:cs="Times New Roman"/>
          <w:color w:val="000000"/>
          <w:kern w:val="2"/>
          <w:sz w:val="32"/>
          <w:szCs w:val="24"/>
          <w:lang w:val="en-US"/>
        </w:rPr>
        <w:t>万元，完成全年预算数的</w:t>
      </w:r>
      <w:r>
        <w:rPr>
          <w:rFonts w:hint="eastAsia" w:ascii="仿宋_GB2312" w:hAnsi="仿宋_GB2312" w:eastAsia="仿宋_GB2312" w:cs="Times New Roman"/>
          <w:color w:val="000000"/>
          <w:kern w:val="2"/>
          <w:sz w:val="32"/>
          <w:szCs w:val="24"/>
          <w:lang w:val="en-US" w:eastAsia="zh-CN"/>
        </w:rPr>
        <w:t>100</w:t>
      </w:r>
      <w:r>
        <w:rPr>
          <w:rFonts w:hint="eastAsia" w:ascii="仿宋_GB2312" w:hAnsi="仿宋_GB2312" w:eastAsia="仿宋_GB2312" w:cs="Times New Roman"/>
          <w:color w:val="000000"/>
          <w:kern w:val="2"/>
          <w:sz w:val="32"/>
          <w:szCs w:val="24"/>
          <w:lang w:val="en-US"/>
        </w:rPr>
        <w:t>%。其中：</w:t>
      </w:r>
    </w:p>
    <w:p w14:paraId="0077E0A3">
      <w:pPr>
        <w:overflowPunct w:val="0"/>
        <w:topLinePunct/>
        <w:spacing w:beforeLines="0" w:afterLines="0" w:line="576" w:lineRule="exact"/>
        <w:ind w:firstLine="641" w:firstLineChars="200"/>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b/>
          <w:color w:val="000000"/>
          <w:kern w:val="2"/>
          <w:sz w:val="32"/>
          <w:szCs w:val="24"/>
          <w:lang w:val="en-US"/>
        </w:rPr>
        <w:t>1.一般公共服务支出（类）组织事务（款）其他组织事务支出（项）:</w:t>
      </w:r>
      <w:r>
        <w:rPr>
          <w:rFonts w:hint="eastAsia" w:ascii="仿宋_GB2312" w:hAnsi="仿宋_GB2312" w:eastAsia="仿宋_GB2312"/>
          <w:color w:val="000000"/>
          <w:kern w:val="2"/>
          <w:sz w:val="32"/>
          <w:szCs w:val="24"/>
          <w:lang w:val="en-US"/>
        </w:rPr>
        <w:t>全年预算为22万元，支出决算为22万元，完成全年预算的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lang w:val="en-US"/>
        </w:rPr>
        <w:t>%。</w:t>
      </w:r>
    </w:p>
    <w:p w14:paraId="57361040">
      <w:pPr>
        <w:overflowPunct w:val="0"/>
        <w:topLinePunct/>
        <w:spacing w:beforeLines="0" w:afterLines="0" w:line="576" w:lineRule="exact"/>
        <w:ind w:firstLine="641" w:firstLineChars="200"/>
        <w:jc w:val="both"/>
        <w:rPr>
          <w:rFonts w:hint="eastAsia" w:ascii="仿宋_GB2312" w:hAnsi="仿宋_GB2312" w:eastAsia="仿宋_GB2312"/>
          <w:b/>
          <w:color w:val="000000"/>
          <w:kern w:val="2"/>
          <w:sz w:val="32"/>
          <w:szCs w:val="24"/>
          <w:lang w:val="en-US" w:eastAsia="zh-CN"/>
        </w:rPr>
      </w:pPr>
      <w:r>
        <w:rPr>
          <w:rFonts w:hint="eastAsia" w:ascii="仿宋_GB2312" w:hAnsi="仿宋_GB2312" w:eastAsia="仿宋_GB2312"/>
          <w:b/>
          <w:color w:val="000000"/>
          <w:kern w:val="2"/>
          <w:sz w:val="32"/>
          <w:szCs w:val="24"/>
          <w:lang w:val="en-US" w:eastAsia="zh-CN"/>
        </w:rPr>
        <w:t>2</w:t>
      </w:r>
      <w:r>
        <w:rPr>
          <w:rFonts w:hint="eastAsia" w:ascii="仿宋_GB2312" w:hAnsi="仿宋_GB2312" w:eastAsia="仿宋_GB2312"/>
          <w:b/>
          <w:color w:val="000000"/>
          <w:kern w:val="2"/>
          <w:sz w:val="32"/>
          <w:szCs w:val="24"/>
          <w:lang w:val="en-US"/>
        </w:rPr>
        <w:t>.社会保障和就业支出（类）行政事业单位养老支出（款）机关事业单位基本养老保险缴费支出（项）:</w:t>
      </w:r>
      <w:r>
        <w:rPr>
          <w:rFonts w:hint="eastAsia" w:ascii="仿宋_GB2312" w:hAnsi="仿宋_GB2312" w:eastAsia="仿宋_GB2312"/>
          <w:color w:val="000000"/>
          <w:kern w:val="2"/>
          <w:sz w:val="32"/>
          <w:szCs w:val="24"/>
          <w:lang w:val="en-US"/>
        </w:rPr>
        <w:t>全年预算为196.68万元，支出决算为196.68万元，</w:t>
      </w:r>
      <w:r>
        <w:rPr>
          <w:rFonts w:hint="eastAsia" w:ascii="仿宋_GB2312" w:hAnsi="仿宋_GB2312" w:eastAsia="仿宋_GB2312"/>
          <w:color w:val="000000"/>
          <w:kern w:val="2"/>
          <w:sz w:val="32"/>
          <w:szCs w:val="24"/>
          <w:lang w:val="en-US" w:eastAsia="zh-CN"/>
        </w:rPr>
        <w:t>完成全年预算的100%。</w:t>
      </w:r>
    </w:p>
    <w:p w14:paraId="5D74FAC9">
      <w:pPr>
        <w:overflowPunct w:val="0"/>
        <w:topLinePunct/>
        <w:spacing w:beforeLines="0" w:afterLines="0" w:line="576" w:lineRule="exact"/>
        <w:ind w:firstLine="641" w:firstLineChars="200"/>
        <w:jc w:val="both"/>
        <w:rPr>
          <w:rFonts w:hint="eastAsia" w:ascii="仿宋_GB2312" w:hAnsi="仿宋_GB2312" w:eastAsia="仿宋_GB2312"/>
          <w:b/>
          <w:color w:val="000000"/>
          <w:kern w:val="2"/>
          <w:sz w:val="32"/>
          <w:szCs w:val="24"/>
          <w:lang w:val="en-US" w:eastAsia="zh-CN"/>
        </w:rPr>
      </w:pPr>
      <w:r>
        <w:rPr>
          <w:rFonts w:hint="eastAsia" w:ascii="仿宋_GB2312" w:hAnsi="仿宋_GB2312" w:eastAsia="仿宋_GB2312"/>
          <w:b/>
          <w:color w:val="000000"/>
          <w:kern w:val="2"/>
          <w:sz w:val="32"/>
          <w:szCs w:val="24"/>
          <w:lang w:val="en-US" w:eastAsia="zh-CN"/>
        </w:rPr>
        <w:t>3</w:t>
      </w:r>
      <w:r>
        <w:rPr>
          <w:rFonts w:hint="eastAsia" w:ascii="仿宋_GB2312" w:hAnsi="仿宋_GB2312" w:eastAsia="仿宋_GB2312"/>
          <w:b/>
          <w:color w:val="000000"/>
          <w:kern w:val="2"/>
          <w:sz w:val="32"/>
          <w:szCs w:val="24"/>
          <w:lang w:val="en-US"/>
        </w:rPr>
        <w:t>.社会保障和就业支出（类）行政事业单位养老支出（款）机关事业单位职业年金缴费支出（项）:</w:t>
      </w:r>
      <w:r>
        <w:rPr>
          <w:rFonts w:hint="eastAsia" w:ascii="仿宋_GB2312" w:hAnsi="仿宋_GB2312" w:eastAsia="仿宋_GB2312"/>
          <w:color w:val="000000"/>
          <w:kern w:val="2"/>
          <w:sz w:val="32"/>
          <w:szCs w:val="24"/>
          <w:lang w:val="en-US"/>
        </w:rPr>
        <w:t>全年预算为29.34万元，支出决算为29.34万元，</w:t>
      </w:r>
      <w:r>
        <w:rPr>
          <w:rFonts w:hint="eastAsia" w:ascii="仿宋_GB2312" w:hAnsi="仿宋_GB2312" w:eastAsia="仿宋_GB2312"/>
          <w:color w:val="000000"/>
          <w:kern w:val="2"/>
          <w:sz w:val="32"/>
          <w:szCs w:val="24"/>
          <w:lang w:val="en-US" w:eastAsia="zh-CN"/>
        </w:rPr>
        <w:t>完成全年预算的100%。</w:t>
      </w:r>
    </w:p>
    <w:p w14:paraId="641ECFAE">
      <w:pPr>
        <w:overflowPunct w:val="0"/>
        <w:topLinePunct/>
        <w:spacing w:beforeLines="0" w:afterLines="0" w:line="576" w:lineRule="exact"/>
        <w:ind w:firstLine="641" w:firstLineChars="200"/>
        <w:jc w:val="both"/>
        <w:rPr>
          <w:rFonts w:hint="eastAsia" w:ascii="仿宋_GB2312" w:hAnsi="仿宋_GB2312" w:eastAsia="仿宋_GB2312"/>
          <w:b/>
          <w:color w:val="000000"/>
          <w:kern w:val="2"/>
          <w:sz w:val="32"/>
          <w:szCs w:val="24"/>
          <w:lang w:val="en-US" w:eastAsia="zh-CN"/>
        </w:rPr>
      </w:pPr>
      <w:r>
        <w:rPr>
          <w:rFonts w:hint="eastAsia" w:ascii="仿宋_GB2312" w:hAnsi="仿宋_GB2312" w:eastAsia="仿宋_GB2312"/>
          <w:b/>
          <w:color w:val="000000"/>
          <w:kern w:val="2"/>
          <w:sz w:val="32"/>
          <w:szCs w:val="24"/>
          <w:lang w:val="en-US" w:eastAsia="zh-CN"/>
        </w:rPr>
        <w:t>4</w:t>
      </w:r>
      <w:r>
        <w:rPr>
          <w:rFonts w:hint="eastAsia" w:ascii="仿宋_GB2312" w:hAnsi="仿宋_GB2312" w:eastAsia="仿宋_GB2312"/>
          <w:b/>
          <w:color w:val="000000"/>
          <w:kern w:val="2"/>
          <w:sz w:val="32"/>
          <w:szCs w:val="24"/>
          <w:lang w:val="en-US"/>
        </w:rPr>
        <w:t>.社会保障和就业支出（类）其他社会保障和就业支出（款）其他社会保障和就业支出（项）:</w:t>
      </w:r>
      <w:r>
        <w:rPr>
          <w:rFonts w:hint="eastAsia" w:ascii="仿宋_GB2312" w:hAnsi="仿宋_GB2312" w:eastAsia="仿宋_GB2312"/>
          <w:color w:val="000000"/>
          <w:kern w:val="2"/>
          <w:sz w:val="32"/>
          <w:szCs w:val="24"/>
          <w:lang w:val="en-US"/>
        </w:rPr>
        <w:t>全年预算为238.22万元，支出决算为238.22万元，</w:t>
      </w:r>
      <w:r>
        <w:rPr>
          <w:rFonts w:hint="eastAsia" w:ascii="仿宋_GB2312" w:hAnsi="仿宋_GB2312" w:eastAsia="仿宋_GB2312"/>
          <w:color w:val="000000"/>
          <w:kern w:val="2"/>
          <w:sz w:val="32"/>
          <w:szCs w:val="24"/>
          <w:lang w:val="en-US" w:eastAsia="zh-CN"/>
        </w:rPr>
        <w:t>完成全年预算的100%。</w:t>
      </w:r>
    </w:p>
    <w:p w14:paraId="3C5C31DC">
      <w:pPr>
        <w:overflowPunct w:val="0"/>
        <w:topLinePunct/>
        <w:spacing w:beforeLines="0" w:afterLines="0" w:line="576" w:lineRule="exact"/>
        <w:ind w:firstLine="641" w:firstLineChars="200"/>
        <w:jc w:val="both"/>
        <w:rPr>
          <w:rFonts w:hint="eastAsia" w:ascii="仿宋_GB2312" w:hAnsi="仿宋_GB2312" w:eastAsia="仿宋_GB2312"/>
          <w:b/>
          <w:color w:val="000000"/>
          <w:kern w:val="2"/>
          <w:sz w:val="32"/>
          <w:szCs w:val="24"/>
          <w:lang w:val="en-US" w:eastAsia="zh-CN"/>
        </w:rPr>
      </w:pPr>
      <w:r>
        <w:rPr>
          <w:rFonts w:hint="eastAsia" w:ascii="仿宋_GB2312" w:hAnsi="仿宋_GB2312" w:eastAsia="仿宋_GB2312"/>
          <w:b/>
          <w:color w:val="000000"/>
          <w:kern w:val="2"/>
          <w:sz w:val="32"/>
          <w:szCs w:val="24"/>
          <w:lang w:val="en-US" w:eastAsia="zh-CN"/>
        </w:rPr>
        <w:t>5</w:t>
      </w:r>
      <w:r>
        <w:rPr>
          <w:rFonts w:hint="eastAsia" w:ascii="仿宋_GB2312" w:hAnsi="仿宋_GB2312" w:eastAsia="仿宋_GB2312"/>
          <w:b/>
          <w:color w:val="000000"/>
          <w:kern w:val="2"/>
          <w:sz w:val="32"/>
          <w:szCs w:val="24"/>
          <w:lang w:val="en-US"/>
        </w:rPr>
        <w:t>.卫生健康支出（类）行政事业单位医疗（款）行政单位医疗（项）:</w:t>
      </w:r>
      <w:r>
        <w:rPr>
          <w:rFonts w:hint="eastAsia" w:ascii="仿宋_GB2312" w:hAnsi="仿宋_GB2312" w:eastAsia="仿宋_GB2312"/>
          <w:color w:val="000000"/>
          <w:kern w:val="2"/>
          <w:sz w:val="32"/>
          <w:szCs w:val="24"/>
          <w:lang w:val="en-US"/>
        </w:rPr>
        <w:t>全年预算为43.93万元，支出决算为43.93万元，</w:t>
      </w:r>
      <w:r>
        <w:rPr>
          <w:rFonts w:hint="eastAsia" w:ascii="仿宋_GB2312" w:hAnsi="仿宋_GB2312" w:eastAsia="仿宋_GB2312"/>
          <w:color w:val="000000"/>
          <w:kern w:val="2"/>
          <w:sz w:val="32"/>
          <w:szCs w:val="24"/>
          <w:lang w:val="en-US" w:eastAsia="zh-CN"/>
        </w:rPr>
        <w:t>完成全年预算的100%。</w:t>
      </w:r>
    </w:p>
    <w:p w14:paraId="6B511A5B">
      <w:pPr>
        <w:overflowPunct w:val="0"/>
        <w:topLinePunct/>
        <w:spacing w:beforeLines="0" w:afterLines="0" w:line="576" w:lineRule="exact"/>
        <w:ind w:firstLine="641"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b/>
          <w:color w:val="000000"/>
          <w:kern w:val="2"/>
          <w:sz w:val="32"/>
          <w:szCs w:val="24"/>
          <w:lang w:val="en-US" w:eastAsia="zh-CN"/>
        </w:rPr>
        <w:t>6</w:t>
      </w:r>
      <w:r>
        <w:rPr>
          <w:rFonts w:hint="eastAsia" w:ascii="仿宋_GB2312" w:hAnsi="仿宋_GB2312" w:eastAsia="仿宋_GB2312"/>
          <w:b/>
          <w:color w:val="000000"/>
          <w:kern w:val="2"/>
          <w:sz w:val="32"/>
          <w:szCs w:val="24"/>
          <w:lang w:val="en-US"/>
        </w:rPr>
        <w:t>.卫生健康支出（类）行政事业单位医疗（款）事业单位医疗（项）:</w:t>
      </w:r>
      <w:r>
        <w:rPr>
          <w:rFonts w:hint="eastAsia" w:ascii="仿宋_GB2312" w:hAnsi="仿宋_GB2312" w:eastAsia="仿宋_GB2312"/>
          <w:color w:val="000000"/>
          <w:kern w:val="2"/>
          <w:sz w:val="32"/>
          <w:szCs w:val="24"/>
          <w:lang w:val="en-US"/>
        </w:rPr>
        <w:t>全年预算为44.32万元，支出决算为44.32万元，</w:t>
      </w:r>
      <w:r>
        <w:rPr>
          <w:rFonts w:hint="eastAsia" w:ascii="仿宋_GB2312" w:hAnsi="仿宋_GB2312" w:eastAsia="仿宋_GB2312"/>
          <w:color w:val="000000"/>
          <w:kern w:val="2"/>
          <w:sz w:val="32"/>
          <w:szCs w:val="24"/>
          <w:lang w:val="en-US" w:eastAsia="zh-CN"/>
        </w:rPr>
        <w:t>完成全年预算的100%。</w:t>
      </w:r>
    </w:p>
    <w:p w14:paraId="6F348279">
      <w:pPr>
        <w:overflowPunct w:val="0"/>
        <w:topLinePunct/>
        <w:spacing w:beforeLines="0" w:afterLines="0" w:line="576" w:lineRule="exact"/>
        <w:ind w:firstLine="641"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b/>
          <w:color w:val="000000"/>
          <w:kern w:val="2"/>
          <w:sz w:val="32"/>
          <w:szCs w:val="24"/>
          <w:lang w:val="en-US" w:eastAsia="zh-CN"/>
        </w:rPr>
        <w:t>7</w:t>
      </w:r>
      <w:r>
        <w:rPr>
          <w:rFonts w:hint="eastAsia" w:ascii="仿宋_GB2312" w:hAnsi="仿宋_GB2312" w:eastAsia="仿宋_GB2312"/>
          <w:b/>
          <w:color w:val="000000"/>
          <w:kern w:val="2"/>
          <w:sz w:val="32"/>
          <w:szCs w:val="24"/>
          <w:lang w:val="en-US"/>
        </w:rPr>
        <w:t>.节能环保支出（类）其他节能环保支出（款）其他节能环保支出（项）:</w:t>
      </w:r>
      <w:r>
        <w:rPr>
          <w:rFonts w:hint="eastAsia" w:ascii="仿宋_GB2312" w:hAnsi="仿宋_GB2312" w:eastAsia="仿宋_GB2312"/>
          <w:color w:val="000000"/>
          <w:kern w:val="2"/>
          <w:sz w:val="32"/>
          <w:szCs w:val="24"/>
          <w:lang w:val="en-US"/>
        </w:rPr>
        <w:t>全年预算为360万元，支出决算为360万元，</w:t>
      </w:r>
      <w:r>
        <w:rPr>
          <w:rFonts w:hint="eastAsia" w:ascii="仿宋_GB2312" w:hAnsi="仿宋_GB2312" w:eastAsia="仿宋_GB2312"/>
          <w:color w:val="000000"/>
          <w:kern w:val="2"/>
          <w:sz w:val="32"/>
          <w:szCs w:val="24"/>
          <w:lang w:val="en-US" w:eastAsia="zh-CN"/>
        </w:rPr>
        <w:t>完成全年预算的100%。</w:t>
      </w:r>
    </w:p>
    <w:p w14:paraId="3E536548">
      <w:pPr>
        <w:overflowPunct w:val="0"/>
        <w:topLinePunct/>
        <w:spacing w:beforeLines="0" w:afterLines="0" w:line="576" w:lineRule="exact"/>
        <w:ind w:firstLine="641"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b/>
          <w:color w:val="000000"/>
          <w:kern w:val="2"/>
          <w:sz w:val="32"/>
          <w:szCs w:val="24"/>
          <w:lang w:val="en-US" w:eastAsia="zh-CN"/>
        </w:rPr>
        <w:t>8</w:t>
      </w:r>
      <w:r>
        <w:rPr>
          <w:rFonts w:hint="eastAsia" w:ascii="仿宋_GB2312" w:hAnsi="仿宋_GB2312" w:eastAsia="仿宋_GB2312"/>
          <w:b/>
          <w:color w:val="000000"/>
          <w:kern w:val="2"/>
          <w:sz w:val="32"/>
          <w:szCs w:val="24"/>
          <w:lang w:val="en-US"/>
        </w:rPr>
        <w:t>.农林水支出（类）农业农村（款）行政运行（项）:</w:t>
      </w:r>
      <w:r>
        <w:rPr>
          <w:rFonts w:hint="eastAsia" w:ascii="仿宋_GB2312" w:hAnsi="仿宋_GB2312" w:eastAsia="仿宋_GB2312"/>
          <w:color w:val="000000"/>
          <w:kern w:val="2"/>
          <w:sz w:val="32"/>
          <w:szCs w:val="24"/>
          <w:lang w:val="en-US"/>
        </w:rPr>
        <w:t>全年预算为880.12万元，支出决算为880.12万元，</w:t>
      </w:r>
      <w:r>
        <w:rPr>
          <w:rFonts w:hint="eastAsia" w:ascii="仿宋_GB2312" w:hAnsi="仿宋_GB2312" w:eastAsia="仿宋_GB2312"/>
          <w:color w:val="000000"/>
          <w:kern w:val="2"/>
          <w:sz w:val="32"/>
          <w:szCs w:val="24"/>
          <w:lang w:val="en-US" w:eastAsia="zh-CN"/>
        </w:rPr>
        <w:t>完成全年预算的100%。</w:t>
      </w:r>
    </w:p>
    <w:p w14:paraId="09F74614">
      <w:pPr>
        <w:overflowPunct w:val="0"/>
        <w:topLinePunct/>
        <w:spacing w:beforeLines="0" w:afterLines="0" w:line="576" w:lineRule="exact"/>
        <w:ind w:firstLine="641"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b/>
          <w:color w:val="000000"/>
          <w:kern w:val="2"/>
          <w:sz w:val="32"/>
          <w:szCs w:val="24"/>
          <w:lang w:val="en-US" w:eastAsia="zh-CN"/>
        </w:rPr>
        <w:t>9</w:t>
      </w:r>
      <w:r>
        <w:rPr>
          <w:rFonts w:hint="eastAsia" w:ascii="仿宋_GB2312" w:hAnsi="仿宋_GB2312" w:eastAsia="仿宋_GB2312"/>
          <w:b/>
          <w:color w:val="000000"/>
          <w:kern w:val="2"/>
          <w:sz w:val="32"/>
          <w:szCs w:val="24"/>
          <w:lang w:val="en-US"/>
        </w:rPr>
        <w:t>.农林水支出（类）农业农村（款）事业运行（项）:</w:t>
      </w:r>
      <w:r>
        <w:rPr>
          <w:rFonts w:hint="eastAsia" w:ascii="仿宋_GB2312" w:hAnsi="仿宋_GB2312" w:eastAsia="仿宋_GB2312"/>
          <w:color w:val="000000"/>
          <w:kern w:val="2"/>
          <w:sz w:val="32"/>
          <w:szCs w:val="24"/>
          <w:lang w:val="en-US"/>
        </w:rPr>
        <w:t>全年预算为800.92万元，支出决算为800.92万元，</w:t>
      </w:r>
      <w:r>
        <w:rPr>
          <w:rFonts w:hint="eastAsia" w:ascii="仿宋_GB2312" w:hAnsi="仿宋_GB2312" w:eastAsia="仿宋_GB2312"/>
          <w:color w:val="000000"/>
          <w:kern w:val="2"/>
          <w:sz w:val="32"/>
          <w:szCs w:val="24"/>
          <w:lang w:val="en-US" w:eastAsia="zh-CN"/>
        </w:rPr>
        <w:t>完成全年预算的100%。</w:t>
      </w:r>
    </w:p>
    <w:p w14:paraId="54CC5758">
      <w:pPr>
        <w:overflowPunct w:val="0"/>
        <w:topLinePunct/>
        <w:spacing w:beforeLines="0" w:afterLines="0" w:line="576" w:lineRule="exact"/>
        <w:ind w:firstLine="641"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b/>
          <w:color w:val="000000"/>
          <w:kern w:val="2"/>
          <w:sz w:val="32"/>
          <w:szCs w:val="24"/>
          <w:lang w:val="en-US"/>
        </w:rPr>
        <w:t>1</w:t>
      </w:r>
      <w:r>
        <w:rPr>
          <w:rFonts w:hint="eastAsia" w:ascii="仿宋_GB2312" w:hAnsi="仿宋_GB2312" w:eastAsia="仿宋_GB2312"/>
          <w:b/>
          <w:color w:val="000000"/>
          <w:kern w:val="2"/>
          <w:sz w:val="32"/>
          <w:szCs w:val="24"/>
          <w:lang w:val="en-US" w:eastAsia="zh-CN"/>
        </w:rPr>
        <w:t>0</w:t>
      </w:r>
      <w:r>
        <w:rPr>
          <w:rFonts w:hint="eastAsia" w:ascii="仿宋_GB2312" w:hAnsi="仿宋_GB2312" w:eastAsia="仿宋_GB2312"/>
          <w:b/>
          <w:color w:val="000000"/>
          <w:kern w:val="2"/>
          <w:sz w:val="32"/>
          <w:szCs w:val="24"/>
          <w:lang w:val="en-US"/>
        </w:rPr>
        <w:t>.农林水支出（类）农业农村（款）病虫害控制（项）:</w:t>
      </w:r>
      <w:r>
        <w:rPr>
          <w:rFonts w:hint="eastAsia" w:ascii="仿宋_GB2312" w:hAnsi="仿宋_GB2312" w:eastAsia="仿宋_GB2312"/>
          <w:color w:val="000000"/>
          <w:kern w:val="2"/>
          <w:sz w:val="32"/>
          <w:szCs w:val="24"/>
          <w:lang w:val="en-US"/>
        </w:rPr>
        <w:t>全年预算为108.8万元，支出决算为108.8万元，</w:t>
      </w:r>
      <w:r>
        <w:rPr>
          <w:rFonts w:hint="eastAsia" w:ascii="仿宋_GB2312" w:hAnsi="仿宋_GB2312" w:eastAsia="仿宋_GB2312"/>
          <w:color w:val="000000"/>
          <w:kern w:val="2"/>
          <w:sz w:val="32"/>
          <w:szCs w:val="24"/>
          <w:lang w:val="en-US" w:eastAsia="zh-CN"/>
        </w:rPr>
        <w:t>完成全年预算的100%。</w:t>
      </w:r>
    </w:p>
    <w:p w14:paraId="7F0BFF80">
      <w:pPr>
        <w:overflowPunct w:val="0"/>
        <w:topLinePunct/>
        <w:spacing w:beforeLines="0" w:afterLines="0" w:line="576" w:lineRule="exact"/>
        <w:ind w:firstLine="641"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b/>
          <w:color w:val="000000"/>
          <w:kern w:val="2"/>
          <w:sz w:val="32"/>
          <w:szCs w:val="24"/>
          <w:lang w:val="en-US"/>
        </w:rPr>
        <w:t>1</w:t>
      </w:r>
      <w:r>
        <w:rPr>
          <w:rFonts w:hint="eastAsia" w:ascii="仿宋_GB2312" w:hAnsi="仿宋_GB2312" w:eastAsia="仿宋_GB2312"/>
          <w:b/>
          <w:color w:val="000000"/>
          <w:kern w:val="2"/>
          <w:sz w:val="32"/>
          <w:szCs w:val="24"/>
          <w:lang w:val="en-US" w:eastAsia="zh-CN"/>
        </w:rPr>
        <w:t>1</w:t>
      </w:r>
      <w:r>
        <w:rPr>
          <w:rFonts w:hint="eastAsia" w:ascii="仿宋_GB2312" w:hAnsi="仿宋_GB2312" w:eastAsia="仿宋_GB2312"/>
          <w:b/>
          <w:color w:val="000000"/>
          <w:kern w:val="2"/>
          <w:sz w:val="32"/>
          <w:szCs w:val="24"/>
          <w:lang w:val="en-US"/>
        </w:rPr>
        <w:t>.农林水支出（类）农业农村（款）防灾救灾（项）:</w:t>
      </w:r>
      <w:r>
        <w:rPr>
          <w:rFonts w:hint="eastAsia" w:ascii="仿宋_GB2312" w:hAnsi="仿宋_GB2312" w:eastAsia="仿宋_GB2312"/>
          <w:color w:val="000000"/>
          <w:kern w:val="2"/>
          <w:sz w:val="32"/>
          <w:szCs w:val="24"/>
          <w:lang w:val="en-US"/>
        </w:rPr>
        <w:t>全年预算为219.11万元，支出决算为219.11万元，</w:t>
      </w:r>
      <w:r>
        <w:rPr>
          <w:rFonts w:hint="eastAsia" w:ascii="仿宋_GB2312" w:hAnsi="仿宋_GB2312" w:eastAsia="仿宋_GB2312"/>
          <w:color w:val="000000"/>
          <w:kern w:val="2"/>
          <w:sz w:val="32"/>
          <w:szCs w:val="24"/>
          <w:lang w:val="en-US" w:eastAsia="zh-CN"/>
        </w:rPr>
        <w:t>完成全年预算的100%。</w:t>
      </w:r>
    </w:p>
    <w:p w14:paraId="2342EC94">
      <w:pPr>
        <w:overflowPunct w:val="0"/>
        <w:topLinePunct/>
        <w:spacing w:beforeLines="0" w:afterLines="0" w:line="576" w:lineRule="exact"/>
        <w:ind w:firstLine="641"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b/>
          <w:color w:val="000000"/>
          <w:kern w:val="2"/>
          <w:sz w:val="32"/>
          <w:szCs w:val="24"/>
          <w:lang w:val="en-US"/>
        </w:rPr>
        <w:t>1</w:t>
      </w:r>
      <w:r>
        <w:rPr>
          <w:rFonts w:hint="eastAsia" w:ascii="仿宋_GB2312" w:hAnsi="仿宋_GB2312" w:eastAsia="仿宋_GB2312"/>
          <w:b/>
          <w:color w:val="000000"/>
          <w:kern w:val="2"/>
          <w:sz w:val="32"/>
          <w:szCs w:val="24"/>
          <w:lang w:val="en-US" w:eastAsia="zh-CN"/>
        </w:rPr>
        <w:t>2</w:t>
      </w:r>
      <w:r>
        <w:rPr>
          <w:rFonts w:hint="eastAsia" w:ascii="仿宋_GB2312" w:hAnsi="仿宋_GB2312" w:eastAsia="仿宋_GB2312"/>
          <w:b/>
          <w:color w:val="000000"/>
          <w:kern w:val="2"/>
          <w:sz w:val="32"/>
          <w:szCs w:val="24"/>
          <w:lang w:val="en-US"/>
        </w:rPr>
        <w:t>.农林水支出（类）农业农村（款）稳定农民收入补贴（项）:</w:t>
      </w:r>
      <w:r>
        <w:rPr>
          <w:rFonts w:hint="eastAsia" w:ascii="仿宋_GB2312" w:hAnsi="仿宋_GB2312" w:eastAsia="仿宋_GB2312"/>
          <w:color w:val="000000"/>
          <w:kern w:val="2"/>
          <w:sz w:val="32"/>
          <w:szCs w:val="24"/>
          <w:lang w:val="en-US"/>
        </w:rPr>
        <w:t>全年预算为2,702万元，支出决算为2,702万元，</w:t>
      </w:r>
      <w:r>
        <w:rPr>
          <w:rFonts w:hint="eastAsia" w:ascii="仿宋_GB2312" w:hAnsi="仿宋_GB2312" w:eastAsia="仿宋_GB2312"/>
          <w:color w:val="000000"/>
          <w:kern w:val="2"/>
          <w:sz w:val="32"/>
          <w:szCs w:val="24"/>
          <w:lang w:val="en-US" w:eastAsia="zh-CN"/>
        </w:rPr>
        <w:t>完成全年预算的100%。</w:t>
      </w:r>
    </w:p>
    <w:p w14:paraId="079D90A4">
      <w:pPr>
        <w:overflowPunct w:val="0"/>
        <w:topLinePunct/>
        <w:spacing w:beforeLines="0" w:afterLines="0" w:line="576" w:lineRule="exact"/>
        <w:ind w:firstLine="641"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b/>
          <w:color w:val="000000"/>
          <w:kern w:val="2"/>
          <w:sz w:val="32"/>
          <w:szCs w:val="24"/>
          <w:lang w:val="en-US"/>
        </w:rPr>
        <w:t>1</w:t>
      </w:r>
      <w:r>
        <w:rPr>
          <w:rFonts w:hint="eastAsia" w:ascii="仿宋_GB2312" w:hAnsi="仿宋_GB2312" w:eastAsia="仿宋_GB2312"/>
          <w:b/>
          <w:color w:val="000000"/>
          <w:kern w:val="2"/>
          <w:sz w:val="32"/>
          <w:szCs w:val="24"/>
          <w:lang w:val="en-US" w:eastAsia="zh-CN"/>
        </w:rPr>
        <w:t>3</w:t>
      </w:r>
      <w:r>
        <w:rPr>
          <w:rFonts w:hint="eastAsia" w:ascii="仿宋_GB2312" w:hAnsi="仿宋_GB2312" w:eastAsia="仿宋_GB2312"/>
          <w:b/>
          <w:color w:val="000000"/>
          <w:kern w:val="2"/>
          <w:sz w:val="32"/>
          <w:szCs w:val="24"/>
          <w:lang w:val="en-US"/>
        </w:rPr>
        <w:t>.农林水支出（类）农业农村（款）农业生产发展（项）:</w:t>
      </w:r>
      <w:r>
        <w:rPr>
          <w:rFonts w:hint="eastAsia" w:ascii="仿宋_GB2312" w:hAnsi="仿宋_GB2312" w:eastAsia="仿宋_GB2312"/>
          <w:color w:val="000000"/>
          <w:kern w:val="2"/>
          <w:sz w:val="32"/>
          <w:szCs w:val="24"/>
          <w:lang w:val="en-US"/>
        </w:rPr>
        <w:t>全年预算为200.93万元，支出决算为200.93万元，</w:t>
      </w:r>
      <w:r>
        <w:rPr>
          <w:rFonts w:hint="eastAsia" w:ascii="仿宋_GB2312" w:hAnsi="仿宋_GB2312" w:eastAsia="仿宋_GB2312"/>
          <w:color w:val="000000"/>
          <w:kern w:val="2"/>
          <w:sz w:val="32"/>
          <w:szCs w:val="24"/>
          <w:lang w:val="en-US" w:eastAsia="zh-CN"/>
        </w:rPr>
        <w:t>完成全年预算的100%。</w:t>
      </w:r>
    </w:p>
    <w:p w14:paraId="52CCFA7B">
      <w:pPr>
        <w:overflowPunct w:val="0"/>
        <w:topLinePunct/>
        <w:spacing w:beforeLines="0" w:afterLines="0" w:line="576" w:lineRule="exact"/>
        <w:ind w:firstLine="641"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b/>
          <w:color w:val="000000"/>
          <w:kern w:val="2"/>
          <w:sz w:val="32"/>
          <w:szCs w:val="24"/>
          <w:lang w:val="en-US"/>
        </w:rPr>
        <w:t>1</w:t>
      </w:r>
      <w:r>
        <w:rPr>
          <w:rFonts w:hint="eastAsia" w:ascii="仿宋_GB2312" w:hAnsi="仿宋_GB2312" w:eastAsia="仿宋_GB2312"/>
          <w:b/>
          <w:color w:val="000000"/>
          <w:kern w:val="2"/>
          <w:sz w:val="32"/>
          <w:szCs w:val="24"/>
          <w:lang w:val="en-US" w:eastAsia="zh-CN"/>
        </w:rPr>
        <w:t>4</w:t>
      </w:r>
      <w:r>
        <w:rPr>
          <w:rFonts w:hint="eastAsia" w:ascii="仿宋_GB2312" w:hAnsi="仿宋_GB2312" w:eastAsia="仿宋_GB2312"/>
          <w:b/>
          <w:color w:val="000000"/>
          <w:kern w:val="2"/>
          <w:sz w:val="32"/>
          <w:szCs w:val="24"/>
          <w:lang w:val="en-US"/>
        </w:rPr>
        <w:t>.农林水支出（类）农业农村（款）耕地建设与利用（项）:</w:t>
      </w:r>
      <w:r>
        <w:rPr>
          <w:rFonts w:hint="eastAsia" w:ascii="仿宋_GB2312" w:hAnsi="仿宋_GB2312" w:eastAsia="仿宋_GB2312"/>
          <w:color w:val="000000"/>
          <w:kern w:val="2"/>
          <w:sz w:val="32"/>
          <w:szCs w:val="24"/>
          <w:lang w:val="en-US"/>
        </w:rPr>
        <w:t>全年预算为209万元，支出决算为209万元，</w:t>
      </w:r>
      <w:r>
        <w:rPr>
          <w:rFonts w:hint="eastAsia" w:ascii="仿宋_GB2312" w:hAnsi="仿宋_GB2312" w:eastAsia="仿宋_GB2312"/>
          <w:color w:val="000000"/>
          <w:kern w:val="2"/>
          <w:sz w:val="32"/>
          <w:szCs w:val="24"/>
          <w:lang w:val="en-US" w:eastAsia="zh-CN"/>
        </w:rPr>
        <w:t>完成全年预算的100%。</w:t>
      </w:r>
    </w:p>
    <w:p w14:paraId="6F7A875B">
      <w:pPr>
        <w:overflowPunct w:val="0"/>
        <w:topLinePunct/>
        <w:spacing w:beforeLines="0" w:afterLines="0" w:line="576" w:lineRule="exact"/>
        <w:ind w:firstLine="641"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b/>
          <w:color w:val="000000"/>
          <w:kern w:val="2"/>
          <w:sz w:val="32"/>
          <w:szCs w:val="24"/>
          <w:lang w:val="en-US"/>
        </w:rPr>
        <w:t>1</w:t>
      </w:r>
      <w:r>
        <w:rPr>
          <w:rFonts w:hint="eastAsia" w:ascii="仿宋_GB2312" w:hAnsi="仿宋_GB2312" w:eastAsia="仿宋_GB2312"/>
          <w:b/>
          <w:color w:val="000000"/>
          <w:kern w:val="2"/>
          <w:sz w:val="32"/>
          <w:szCs w:val="24"/>
          <w:lang w:val="en-US" w:eastAsia="zh-CN"/>
        </w:rPr>
        <w:t>5</w:t>
      </w:r>
      <w:r>
        <w:rPr>
          <w:rFonts w:hint="eastAsia" w:ascii="仿宋_GB2312" w:hAnsi="仿宋_GB2312" w:eastAsia="仿宋_GB2312"/>
          <w:b/>
          <w:color w:val="000000"/>
          <w:kern w:val="2"/>
          <w:sz w:val="32"/>
          <w:szCs w:val="24"/>
          <w:lang w:val="en-US"/>
        </w:rPr>
        <w:t>.农林水支出（类）农业农村（款）其他农业农村支出（项）:</w:t>
      </w:r>
      <w:r>
        <w:rPr>
          <w:rFonts w:hint="eastAsia" w:ascii="仿宋_GB2312" w:hAnsi="仿宋_GB2312" w:eastAsia="仿宋_GB2312"/>
          <w:color w:val="000000"/>
          <w:kern w:val="2"/>
          <w:sz w:val="32"/>
          <w:szCs w:val="24"/>
          <w:lang w:val="en-US"/>
        </w:rPr>
        <w:t>全年预算为7,763.39万元，支出决算为7,763.39万元，</w:t>
      </w:r>
      <w:r>
        <w:rPr>
          <w:rFonts w:hint="eastAsia" w:ascii="仿宋_GB2312" w:hAnsi="仿宋_GB2312" w:eastAsia="仿宋_GB2312"/>
          <w:color w:val="000000"/>
          <w:kern w:val="2"/>
          <w:sz w:val="32"/>
          <w:szCs w:val="24"/>
          <w:lang w:val="en-US" w:eastAsia="zh-CN"/>
        </w:rPr>
        <w:t>完成全年预算的100%。</w:t>
      </w:r>
    </w:p>
    <w:p w14:paraId="0F5CFFD8">
      <w:pPr>
        <w:overflowPunct w:val="0"/>
        <w:topLinePunct/>
        <w:spacing w:beforeLines="0" w:afterLines="0" w:line="576" w:lineRule="exact"/>
        <w:ind w:firstLine="641"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b/>
          <w:color w:val="000000"/>
          <w:kern w:val="2"/>
          <w:sz w:val="32"/>
          <w:szCs w:val="24"/>
          <w:lang w:val="en-US"/>
        </w:rPr>
        <w:t>1</w:t>
      </w:r>
      <w:r>
        <w:rPr>
          <w:rFonts w:hint="eastAsia" w:ascii="仿宋_GB2312" w:hAnsi="仿宋_GB2312" w:eastAsia="仿宋_GB2312"/>
          <w:b/>
          <w:color w:val="000000"/>
          <w:kern w:val="2"/>
          <w:sz w:val="32"/>
          <w:szCs w:val="24"/>
          <w:lang w:val="en-US" w:eastAsia="zh-CN"/>
        </w:rPr>
        <w:t>6</w:t>
      </w:r>
      <w:r>
        <w:rPr>
          <w:rFonts w:hint="eastAsia" w:ascii="仿宋_GB2312" w:hAnsi="仿宋_GB2312" w:eastAsia="仿宋_GB2312"/>
          <w:b/>
          <w:color w:val="000000"/>
          <w:kern w:val="2"/>
          <w:sz w:val="32"/>
          <w:szCs w:val="24"/>
          <w:lang w:val="en-US"/>
        </w:rPr>
        <w:t>.农林水支出（类）巩固脱贫攻坚成果衔接乡村振兴（款）其他巩固脱贫攻坚成果衔接乡村振兴支出（项）:</w:t>
      </w:r>
      <w:r>
        <w:rPr>
          <w:rFonts w:hint="eastAsia" w:ascii="仿宋_GB2312" w:hAnsi="仿宋_GB2312" w:eastAsia="仿宋_GB2312"/>
          <w:color w:val="000000"/>
          <w:kern w:val="2"/>
          <w:sz w:val="32"/>
          <w:szCs w:val="24"/>
          <w:lang w:val="en-US"/>
        </w:rPr>
        <w:t>全年预算为7,422.67万元，支出决算为7,422.67万元，</w:t>
      </w:r>
      <w:r>
        <w:rPr>
          <w:rFonts w:hint="eastAsia" w:ascii="仿宋_GB2312" w:hAnsi="仿宋_GB2312" w:eastAsia="仿宋_GB2312"/>
          <w:color w:val="000000"/>
          <w:kern w:val="2"/>
          <w:sz w:val="32"/>
          <w:szCs w:val="24"/>
          <w:lang w:val="en-US" w:eastAsia="zh-CN"/>
        </w:rPr>
        <w:t>完成全年预算的100%。</w:t>
      </w:r>
    </w:p>
    <w:p w14:paraId="3DCCA40A">
      <w:pPr>
        <w:overflowPunct w:val="0"/>
        <w:topLinePunct/>
        <w:spacing w:beforeLines="0" w:afterLines="0" w:line="576" w:lineRule="exact"/>
        <w:ind w:firstLine="641"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b/>
          <w:color w:val="000000"/>
          <w:kern w:val="2"/>
          <w:sz w:val="32"/>
          <w:szCs w:val="24"/>
          <w:lang w:val="en-US"/>
        </w:rPr>
        <w:t>1</w:t>
      </w:r>
      <w:r>
        <w:rPr>
          <w:rFonts w:hint="eastAsia" w:ascii="仿宋_GB2312" w:hAnsi="仿宋_GB2312" w:eastAsia="仿宋_GB2312"/>
          <w:b/>
          <w:color w:val="000000"/>
          <w:kern w:val="2"/>
          <w:sz w:val="32"/>
          <w:szCs w:val="24"/>
          <w:lang w:val="en-US" w:eastAsia="zh-CN"/>
        </w:rPr>
        <w:t>7</w:t>
      </w:r>
      <w:r>
        <w:rPr>
          <w:rFonts w:hint="eastAsia" w:ascii="仿宋_GB2312" w:hAnsi="仿宋_GB2312" w:eastAsia="仿宋_GB2312"/>
          <w:b/>
          <w:color w:val="000000"/>
          <w:kern w:val="2"/>
          <w:sz w:val="32"/>
          <w:szCs w:val="24"/>
          <w:lang w:val="en-US"/>
        </w:rPr>
        <w:t>.农林水支出（类）农村综合改革（款）对村级公益事业建设的补助（项）:</w:t>
      </w:r>
      <w:r>
        <w:rPr>
          <w:rFonts w:hint="eastAsia" w:ascii="仿宋_GB2312" w:hAnsi="仿宋_GB2312" w:eastAsia="仿宋_GB2312"/>
          <w:color w:val="000000"/>
          <w:kern w:val="2"/>
          <w:sz w:val="32"/>
          <w:szCs w:val="24"/>
          <w:lang w:val="en-US"/>
        </w:rPr>
        <w:t>全年预算为547万元，支出决算为547万元，</w:t>
      </w:r>
      <w:r>
        <w:rPr>
          <w:rFonts w:hint="eastAsia" w:ascii="仿宋_GB2312" w:hAnsi="仿宋_GB2312" w:eastAsia="仿宋_GB2312"/>
          <w:color w:val="000000"/>
          <w:kern w:val="2"/>
          <w:sz w:val="32"/>
          <w:szCs w:val="24"/>
          <w:lang w:val="en-US" w:eastAsia="zh-CN"/>
        </w:rPr>
        <w:t>完成全年预算的100%。</w:t>
      </w:r>
    </w:p>
    <w:p w14:paraId="5CDD39C0">
      <w:pPr>
        <w:overflowPunct w:val="0"/>
        <w:topLinePunct/>
        <w:spacing w:beforeLines="0" w:afterLines="0" w:line="576" w:lineRule="exact"/>
        <w:ind w:firstLine="641"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b/>
          <w:color w:val="000000"/>
          <w:kern w:val="2"/>
          <w:sz w:val="32"/>
          <w:szCs w:val="24"/>
          <w:lang w:val="en-US"/>
        </w:rPr>
        <w:t>1</w:t>
      </w:r>
      <w:r>
        <w:rPr>
          <w:rFonts w:hint="eastAsia" w:ascii="仿宋_GB2312" w:hAnsi="仿宋_GB2312" w:eastAsia="仿宋_GB2312"/>
          <w:b/>
          <w:color w:val="000000"/>
          <w:kern w:val="2"/>
          <w:sz w:val="32"/>
          <w:szCs w:val="24"/>
          <w:lang w:val="en-US" w:eastAsia="zh-CN"/>
        </w:rPr>
        <w:t>8</w:t>
      </w:r>
      <w:r>
        <w:rPr>
          <w:rFonts w:hint="eastAsia" w:ascii="仿宋_GB2312" w:hAnsi="仿宋_GB2312" w:eastAsia="仿宋_GB2312"/>
          <w:b/>
          <w:color w:val="000000"/>
          <w:kern w:val="2"/>
          <w:sz w:val="32"/>
          <w:szCs w:val="24"/>
          <w:lang w:val="en-US"/>
        </w:rPr>
        <w:t>.农林水支出（类）农村综合改革（款）对村集体经济组织的补助（项）:</w:t>
      </w:r>
      <w:r>
        <w:rPr>
          <w:rFonts w:hint="eastAsia" w:ascii="仿宋_GB2312" w:hAnsi="仿宋_GB2312" w:eastAsia="仿宋_GB2312"/>
          <w:color w:val="000000"/>
          <w:kern w:val="2"/>
          <w:sz w:val="32"/>
          <w:szCs w:val="24"/>
          <w:lang w:val="en-US"/>
        </w:rPr>
        <w:t>全年预算为310万元，支出决算为310万元，</w:t>
      </w:r>
      <w:r>
        <w:rPr>
          <w:rFonts w:hint="eastAsia" w:ascii="仿宋_GB2312" w:hAnsi="仿宋_GB2312" w:eastAsia="仿宋_GB2312"/>
          <w:color w:val="000000"/>
          <w:kern w:val="2"/>
          <w:sz w:val="32"/>
          <w:szCs w:val="24"/>
          <w:lang w:val="en-US" w:eastAsia="zh-CN"/>
        </w:rPr>
        <w:t>完成全年预算的100%。</w:t>
      </w:r>
    </w:p>
    <w:p w14:paraId="04FFD63A">
      <w:pPr>
        <w:overflowPunct w:val="0"/>
        <w:topLinePunct/>
        <w:spacing w:beforeLines="0" w:afterLines="0" w:line="576" w:lineRule="exact"/>
        <w:ind w:firstLine="641"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b/>
          <w:color w:val="000000"/>
          <w:kern w:val="2"/>
          <w:sz w:val="32"/>
          <w:szCs w:val="24"/>
          <w:lang w:val="en-US"/>
        </w:rPr>
        <w:t>1</w:t>
      </w:r>
      <w:r>
        <w:rPr>
          <w:rFonts w:hint="eastAsia" w:ascii="仿宋_GB2312" w:hAnsi="仿宋_GB2312" w:eastAsia="仿宋_GB2312"/>
          <w:b/>
          <w:color w:val="000000"/>
          <w:kern w:val="2"/>
          <w:sz w:val="32"/>
          <w:szCs w:val="24"/>
          <w:lang w:val="en-US" w:eastAsia="zh-CN"/>
        </w:rPr>
        <w:t>9</w:t>
      </w:r>
      <w:r>
        <w:rPr>
          <w:rFonts w:hint="eastAsia" w:ascii="仿宋_GB2312" w:hAnsi="仿宋_GB2312" w:eastAsia="仿宋_GB2312"/>
          <w:b/>
          <w:color w:val="000000"/>
          <w:kern w:val="2"/>
          <w:sz w:val="32"/>
          <w:szCs w:val="24"/>
          <w:lang w:val="en-US"/>
        </w:rPr>
        <w:t>.农林水支出（类）农村综合改革（款）农村综合改革示范试点补助（项）:</w:t>
      </w:r>
      <w:r>
        <w:rPr>
          <w:rFonts w:hint="eastAsia" w:ascii="仿宋_GB2312" w:hAnsi="仿宋_GB2312" w:eastAsia="仿宋_GB2312"/>
          <w:color w:val="000000"/>
          <w:kern w:val="2"/>
          <w:sz w:val="32"/>
          <w:szCs w:val="24"/>
          <w:lang w:val="en-US"/>
        </w:rPr>
        <w:t>全年预算为2,000万元，支出决算为2,000万元，</w:t>
      </w:r>
      <w:r>
        <w:rPr>
          <w:rFonts w:hint="eastAsia" w:ascii="仿宋_GB2312" w:hAnsi="仿宋_GB2312" w:eastAsia="仿宋_GB2312"/>
          <w:color w:val="000000"/>
          <w:kern w:val="2"/>
          <w:sz w:val="32"/>
          <w:szCs w:val="24"/>
          <w:lang w:val="en-US" w:eastAsia="zh-CN"/>
        </w:rPr>
        <w:t>完成全年预算的100%。</w:t>
      </w:r>
    </w:p>
    <w:p w14:paraId="1148C0C5">
      <w:pPr>
        <w:overflowPunct w:val="0"/>
        <w:topLinePunct/>
        <w:spacing w:beforeLines="0" w:afterLines="0" w:line="576" w:lineRule="exact"/>
        <w:ind w:firstLine="641"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b/>
          <w:color w:val="000000"/>
          <w:kern w:val="2"/>
          <w:sz w:val="32"/>
          <w:szCs w:val="24"/>
          <w:lang w:val="en-US" w:eastAsia="zh-CN"/>
        </w:rPr>
        <w:t>20</w:t>
      </w:r>
      <w:r>
        <w:rPr>
          <w:rFonts w:hint="eastAsia" w:ascii="仿宋_GB2312" w:hAnsi="仿宋_GB2312" w:eastAsia="仿宋_GB2312"/>
          <w:b/>
          <w:color w:val="000000"/>
          <w:kern w:val="2"/>
          <w:sz w:val="32"/>
          <w:szCs w:val="24"/>
          <w:lang w:val="en-US"/>
        </w:rPr>
        <w:t>.农林水支出（类）普惠金融发展支出（款）农业保险保费补贴（项）:</w:t>
      </w:r>
      <w:r>
        <w:rPr>
          <w:rFonts w:hint="eastAsia" w:ascii="仿宋_GB2312" w:hAnsi="仿宋_GB2312" w:eastAsia="仿宋_GB2312"/>
          <w:color w:val="000000"/>
          <w:kern w:val="2"/>
          <w:sz w:val="32"/>
          <w:szCs w:val="24"/>
          <w:lang w:val="en-US"/>
        </w:rPr>
        <w:t>全年预算为3,409.92万元，支出决算为3,409.92万元，</w:t>
      </w:r>
      <w:r>
        <w:rPr>
          <w:rFonts w:hint="eastAsia" w:ascii="仿宋_GB2312" w:hAnsi="仿宋_GB2312" w:eastAsia="仿宋_GB2312"/>
          <w:color w:val="000000"/>
          <w:kern w:val="2"/>
          <w:sz w:val="32"/>
          <w:szCs w:val="24"/>
          <w:lang w:val="en-US" w:eastAsia="zh-CN"/>
        </w:rPr>
        <w:t>完成全年预算的100%。</w:t>
      </w:r>
    </w:p>
    <w:p w14:paraId="2F8AD742">
      <w:pPr>
        <w:overflowPunct w:val="0"/>
        <w:topLinePunct/>
        <w:spacing w:beforeLines="0" w:afterLines="0" w:line="576" w:lineRule="exact"/>
        <w:ind w:firstLine="641"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b/>
          <w:color w:val="000000"/>
          <w:kern w:val="2"/>
          <w:sz w:val="32"/>
          <w:szCs w:val="24"/>
          <w:lang w:val="en-US" w:eastAsia="zh-CN"/>
        </w:rPr>
        <w:t>2</w:t>
      </w:r>
      <w:r>
        <w:rPr>
          <w:rFonts w:hint="eastAsia" w:ascii="仿宋_GB2312" w:hAnsi="仿宋_GB2312" w:eastAsia="仿宋_GB2312"/>
          <w:b/>
          <w:color w:val="000000"/>
          <w:kern w:val="2"/>
          <w:sz w:val="32"/>
          <w:szCs w:val="24"/>
          <w:lang w:val="en-US"/>
        </w:rPr>
        <w:t>1.农林水支出（类）目标价格补贴（款）其他目标价格补贴（项）:</w:t>
      </w:r>
      <w:r>
        <w:rPr>
          <w:rFonts w:hint="eastAsia" w:ascii="仿宋_GB2312" w:hAnsi="仿宋_GB2312" w:eastAsia="仿宋_GB2312"/>
          <w:color w:val="000000"/>
          <w:kern w:val="2"/>
          <w:sz w:val="32"/>
          <w:szCs w:val="24"/>
          <w:lang w:val="en-US"/>
        </w:rPr>
        <w:t>全年预算为352.26万元，支出决算为352.26万元，</w:t>
      </w:r>
      <w:r>
        <w:rPr>
          <w:rFonts w:hint="eastAsia" w:ascii="仿宋_GB2312" w:hAnsi="仿宋_GB2312" w:eastAsia="仿宋_GB2312"/>
          <w:color w:val="000000"/>
          <w:kern w:val="2"/>
          <w:sz w:val="32"/>
          <w:szCs w:val="24"/>
          <w:lang w:val="en-US" w:eastAsia="zh-CN"/>
        </w:rPr>
        <w:t>完成全年预算的100%。</w:t>
      </w:r>
    </w:p>
    <w:p w14:paraId="1896DF23">
      <w:pPr>
        <w:overflowPunct w:val="0"/>
        <w:topLinePunct/>
        <w:spacing w:beforeLines="0" w:afterLines="0" w:line="576" w:lineRule="exact"/>
        <w:ind w:firstLine="641"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b/>
          <w:color w:val="000000"/>
          <w:kern w:val="2"/>
          <w:sz w:val="32"/>
          <w:szCs w:val="24"/>
          <w:lang w:val="en-US" w:eastAsia="zh-CN"/>
        </w:rPr>
        <w:t>22</w:t>
      </w:r>
      <w:r>
        <w:rPr>
          <w:rFonts w:hint="eastAsia" w:ascii="仿宋_GB2312" w:hAnsi="仿宋_GB2312" w:eastAsia="仿宋_GB2312"/>
          <w:b/>
          <w:color w:val="000000"/>
          <w:kern w:val="2"/>
          <w:sz w:val="32"/>
          <w:szCs w:val="24"/>
          <w:lang w:val="en-US"/>
        </w:rPr>
        <w:t>.农林水支出（类）其他农林水支出（款）其他农林水支出（项）:</w:t>
      </w:r>
      <w:r>
        <w:rPr>
          <w:rFonts w:hint="eastAsia" w:ascii="仿宋_GB2312" w:hAnsi="仿宋_GB2312" w:eastAsia="仿宋_GB2312"/>
          <w:color w:val="000000"/>
          <w:kern w:val="2"/>
          <w:sz w:val="32"/>
          <w:szCs w:val="24"/>
          <w:lang w:val="en-US"/>
        </w:rPr>
        <w:t>全年预算为1,078.74万元，支出决算为1,078.74万元，</w:t>
      </w:r>
      <w:r>
        <w:rPr>
          <w:rFonts w:hint="eastAsia" w:ascii="仿宋_GB2312" w:hAnsi="仿宋_GB2312" w:eastAsia="仿宋_GB2312"/>
          <w:color w:val="000000"/>
          <w:kern w:val="2"/>
          <w:sz w:val="32"/>
          <w:szCs w:val="24"/>
          <w:lang w:val="en-US" w:eastAsia="zh-CN"/>
        </w:rPr>
        <w:t>完成全年预算的100%。</w:t>
      </w:r>
    </w:p>
    <w:p w14:paraId="499902AC">
      <w:pPr>
        <w:overflowPunct w:val="0"/>
        <w:topLinePunct/>
        <w:spacing w:beforeLines="0" w:afterLines="0" w:line="576" w:lineRule="exact"/>
        <w:ind w:firstLine="641"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b/>
          <w:color w:val="000000"/>
          <w:kern w:val="2"/>
          <w:sz w:val="32"/>
          <w:szCs w:val="24"/>
          <w:lang w:val="en-US" w:eastAsia="zh-CN"/>
        </w:rPr>
        <w:t>23</w:t>
      </w:r>
      <w:r>
        <w:rPr>
          <w:rFonts w:hint="eastAsia" w:ascii="仿宋_GB2312" w:hAnsi="仿宋_GB2312" w:eastAsia="仿宋_GB2312"/>
          <w:b/>
          <w:color w:val="000000"/>
          <w:kern w:val="2"/>
          <w:sz w:val="32"/>
          <w:szCs w:val="24"/>
          <w:lang w:val="en-US"/>
        </w:rPr>
        <w:t>.商业服务业等支出（类）商业流通事务（款）其他商业流通事务支出（项）:</w:t>
      </w:r>
      <w:r>
        <w:rPr>
          <w:rFonts w:hint="eastAsia" w:ascii="仿宋_GB2312" w:hAnsi="仿宋_GB2312" w:eastAsia="仿宋_GB2312"/>
          <w:color w:val="000000"/>
          <w:kern w:val="2"/>
          <w:sz w:val="32"/>
          <w:szCs w:val="24"/>
          <w:lang w:val="en-US"/>
        </w:rPr>
        <w:t>全年预算为529万元，支出决算为529万元，</w:t>
      </w:r>
      <w:r>
        <w:rPr>
          <w:rFonts w:hint="eastAsia" w:ascii="仿宋_GB2312" w:hAnsi="仿宋_GB2312" w:eastAsia="仿宋_GB2312"/>
          <w:color w:val="000000"/>
          <w:kern w:val="2"/>
          <w:sz w:val="32"/>
          <w:szCs w:val="24"/>
          <w:lang w:val="en-US" w:eastAsia="zh-CN"/>
        </w:rPr>
        <w:t>完成全年预算的100%。</w:t>
      </w:r>
    </w:p>
    <w:p w14:paraId="4A751B5F">
      <w:pPr>
        <w:overflowPunct w:val="0"/>
        <w:topLinePunct/>
        <w:spacing w:beforeLines="0" w:afterLines="0" w:line="576" w:lineRule="exact"/>
        <w:ind w:firstLine="641"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b/>
          <w:color w:val="000000"/>
          <w:kern w:val="2"/>
          <w:sz w:val="32"/>
          <w:szCs w:val="24"/>
          <w:lang w:val="en-US" w:eastAsia="zh-CN"/>
        </w:rPr>
        <w:t>24</w:t>
      </w:r>
      <w:r>
        <w:rPr>
          <w:rFonts w:hint="eastAsia" w:ascii="仿宋_GB2312" w:hAnsi="仿宋_GB2312" w:eastAsia="仿宋_GB2312"/>
          <w:b/>
          <w:color w:val="000000"/>
          <w:kern w:val="2"/>
          <w:sz w:val="32"/>
          <w:szCs w:val="24"/>
          <w:lang w:val="en-US"/>
        </w:rPr>
        <w:t>.住房保障支出（类）住房改革支出（款）住房公积金（项）:</w:t>
      </w:r>
      <w:r>
        <w:rPr>
          <w:rFonts w:hint="eastAsia" w:ascii="仿宋_GB2312" w:hAnsi="仿宋_GB2312" w:eastAsia="仿宋_GB2312"/>
          <w:color w:val="000000"/>
          <w:kern w:val="2"/>
          <w:sz w:val="32"/>
          <w:szCs w:val="24"/>
          <w:lang w:val="en-US"/>
        </w:rPr>
        <w:t>全年预算为162.6万元，支出决算为162.6万元，</w:t>
      </w:r>
      <w:r>
        <w:rPr>
          <w:rFonts w:hint="eastAsia" w:ascii="仿宋_GB2312" w:hAnsi="仿宋_GB2312" w:eastAsia="仿宋_GB2312"/>
          <w:color w:val="000000"/>
          <w:kern w:val="2"/>
          <w:sz w:val="32"/>
          <w:szCs w:val="24"/>
          <w:lang w:val="en-US" w:eastAsia="zh-CN"/>
        </w:rPr>
        <w:t>完成全年预算的100%。</w:t>
      </w:r>
    </w:p>
    <w:p w14:paraId="0F29607D">
      <w:pPr>
        <w:overflowPunct w:val="0"/>
        <w:topLinePunct/>
        <w:spacing w:beforeLines="0" w:afterLines="0" w:line="576" w:lineRule="exact"/>
        <w:ind w:firstLine="641"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b/>
          <w:color w:val="000000"/>
          <w:kern w:val="2"/>
          <w:sz w:val="32"/>
          <w:szCs w:val="24"/>
          <w:lang w:val="en-US" w:eastAsia="zh-CN"/>
        </w:rPr>
        <w:t>25</w:t>
      </w:r>
      <w:r>
        <w:rPr>
          <w:rFonts w:hint="eastAsia" w:ascii="仿宋_GB2312" w:hAnsi="仿宋_GB2312" w:eastAsia="仿宋_GB2312"/>
          <w:b/>
          <w:color w:val="000000"/>
          <w:kern w:val="2"/>
          <w:sz w:val="32"/>
          <w:szCs w:val="24"/>
          <w:lang w:val="en-US"/>
        </w:rPr>
        <w:t>.粮油物资储备支出（类）粮油物资事务（款）其他粮油物资事务支出（项）:</w:t>
      </w:r>
      <w:r>
        <w:rPr>
          <w:rFonts w:hint="eastAsia" w:ascii="仿宋_GB2312" w:hAnsi="仿宋_GB2312" w:eastAsia="仿宋_GB2312"/>
          <w:color w:val="000000"/>
          <w:kern w:val="2"/>
          <w:sz w:val="32"/>
          <w:szCs w:val="24"/>
          <w:lang w:val="en-US"/>
        </w:rPr>
        <w:t>全年预算为915.91万元，支出决算为915.91万元，</w:t>
      </w:r>
      <w:r>
        <w:rPr>
          <w:rFonts w:hint="eastAsia" w:ascii="仿宋_GB2312" w:hAnsi="仿宋_GB2312" w:eastAsia="仿宋_GB2312"/>
          <w:color w:val="000000"/>
          <w:kern w:val="2"/>
          <w:sz w:val="32"/>
          <w:szCs w:val="24"/>
          <w:lang w:val="en-US" w:eastAsia="zh-CN"/>
        </w:rPr>
        <w:t>完成全年预算的100%。</w:t>
      </w:r>
    </w:p>
    <w:p w14:paraId="5C594E90">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default" w:ascii="黑体" w:hAnsi="黑体" w:eastAsia="黑体" w:cs="Times New Roman"/>
          <w:color w:val="000000"/>
          <w:kern w:val="2"/>
          <w:sz w:val="32"/>
          <w:szCs w:val="24"/>
          <w:lang w:val="en-US"/>
        </w:rPr>
      </w:pPr>
      <w:bookmarkStart w:id="9" w:name="_Toc13535"/>
      <w:r>
        <w:rPr>
          <w:rFonts w:hint="eastAsia" w:ascii="黑体" w:hAnsi="黑体" w:eastAsia="黑体" w:cs="Times New Roman"/>
          <w:color w:val="000000"/>
          <w:kern w:val="2"/>
          <w:sz w:val="32"/>
          <w:szCs w:val="24"/>
          <w:lang w:val="en-US"/>
        </w:rPr>
        <w:t>六、一般公共预算财政拨款基本支出决算情况说明</w:t>
      </w:r>
      <w:bookmarkEnd w:id="9"/>
    </w:p>
    <w:p w14:paraId="5A4AA0B8">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一般公共预算财政拨款基本支出</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199.23</w:t>
      </w:r>
      <w:r>
        <w:rPr>
          <w:rFonts w:hint="eastAsia" w:ascii="仿宋_GB2312" w:hAnsi="仿宋_GB2312" w:eastAsia="仿宋_GB2312"/>
          <w:color w:val="000000"/>
          <w:kern w:val="2"/>
          <w:sz w:val="32"/>
          <w:szCs w:val="24"/>
          <w:lang w:val="en-US"/>
        </w:rPr>
        <w:t>万元，其中：</w:t>
      </w:r>
    </w:p>
    <w:p w14:paraId="6F5B4848">
      <w:pPr>
        <w:overflowPunct w:val="0"/>
        <w:topLinePunct/>
        <w:spacing w:beforeLines="0" w:afterLines="0" w:line="576" w:lineRule="exact"/>
        <w:ind w:firstLine="641"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rPr>
        <w:t>人员经费</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005.66</w:t>
      </w:r>
      <w:r>
        <w:rPr>
          <w:rFonts w:hint="eastAsia" w:ascii="仿宋_GB2312" w:hAnsi="仿宋_GB2312" w:eastAsia="仿宋_GB2312"/>
          <w:color w:val="000000"/>
          <w:kern w:val="2"/>
          <w:sz w:val="32"/>
          <w:szCs w:val="24"/>
          <w:lang w:val="en-US"/>
        </w:rPr>
        <w:t>万元，主要包括：基本工资522.31万元、津贴补贴148.69万元、奖金486.24万元、绩效工资212.55万元、机关事业单位基本养老保险缴费196.68万元、职业年金缴费29.34万元、职工基本医疗保险缴费88.24万元、其他社会保障缴费41.33万元、住房公积金162.6万元、生活补助114.01万元、奖励金3.65万元。</w:t>
      </w:r>
    </w:p>
    <w:p w14:paraId="546ABF44">
      <w:pPr>
        <w:overflowPunct w:val="0"/>
        <w:topLinePunct/>
        <w:spacing w:beforeLines="0" w:afterLines="0" w:line="576" w:lineRule="exact"/>
        <w:ind w:firstLine="641"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rPr>
        <w:t>公用经费</w:t>
      </w:r>
      <w:r>
        <w:rPr>
          <w:rFonts w:hint="eastAsia" w:ascii="仿宋_GB2312" w:hAnsi="仿宋_GB2312" w:eastAsia="仿宋_GB2312" w:cs="仿宋_GB2312"/>
          <w:sz w:val="32"/>
          <w:szCs w:val="32"/>
        </w:rPr>
        <w:t>193.58</w:t>
      </w:r>
      <w:r>
        <w:rPr>
          <w:rFonts w:hint="eastAsia" w:ascii="仿宋_GB2312" w:hAnsi="仿宋_GB2312" w:eastAsia="仿宋_GB2312"/>
          <w:color w:val="000000"/>
          <w:kern w:val="2"/>
          <w:sz w:val="32"/>
          <w:szCs w:val="24"/>
          <w:lang w:val="en-US"/>
        </w:rPr>
        <w:t>万元，主要包括：办公费12.1万元、印刷费12万元、手续费0.4万元、水费2.62万元、电费11万元、邮电费5.6万元、物业管理费1.2万元、差旅费18.18万元、维修（护）费5万元、会议费3万元、培训费4万元、公务接待费14.31万元、劳务费29.73万元、工会经费23万元、公务用车运行维护费9.58万元、其他交通费用31.35万元、其他商品和服务支出10.51万元。</w:t>
      </w:r>
    </w:p>
    <w:p w14:paraId="7D59395D">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黑体" w:hAnsi="黑体" w:eastAsia="黑体" w:cs="Times New Roman"/>
          <w:color w:val="000000"/>
          <w:kern w:val="2"/>
          <w:sz w:val="32"/>
          <w:szCs w:val="24"/>
          <w:lang w:val="en-US"/>
        </w:rPr>
      </w:pPr>
      <w:bookmarkStart w:id="10" w:name="_Toc28106"/>
      <w:r>
        <w:rPr>
          <w:rFonts w:hint="eastAsia" w:ascii="黑体" w:hAnsi="黑体" w:eastAsia="黑体" w:cs="Times New Roman"/>
          <w:color w:val="000000"/>
          <w:kern w:val="2"/>
          <w:sz w:val="32"/>
          <w:szCs w:val="24"/>
          <w:lang w:val="en-US"/>
        </w:rPr>
        <w:t>七、财政拨款“三公”经费支出决算情况说明</w:t>
      </w:r>
      <w:bookmarkEnd w:id="10"/>
    </w:p>
    <w:p w14:paraId="6ED02EDE">
      <w:pPr>
        <w:overflowPunct w:val="0"/>
        <w:topLinePunct/>
        <w:spacing w:beforeLines="0" w:afterLines="0" w:line="576" w:lineRule="exact"/>
        <w:ind w:firstLine="641" w:firstLineChars="200"/>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b/>
          <w:color w:val="000000"/>
          <w:kern w:val="2"/>
          <w:sz w:val="32"/>
          <w:szCs w:val="24"/>
          <w:lang w:val="en-US"/>
        </w:rPr>
        <w:t>（一）“三公”经费财政拨款支出决算总体情况说明</w:t>
      </w:r>
    </w:p>
    <w:p w14:paraId="1BF85BFE">
      <w:pPr>
        <w:overflowPunct w:val="0"/>
        <w:topLinePunct/>
        <w:spacing w:beforeLines="0" w:afterLines="0" w:line="576" w:lineRule="exact"/>
        <w:ind w:firstLine="640" w:firstLineChars="200"/>
        <w:jc w:val="both"/>
        <w:rPr>
          <w:rFonts w:hint="default" w:ascii="仿宋_GB2312" w:hAnsi="仿宋_GB2312" w:eastAsia="仿宋_GB2312"/>
          <w:b/>
          <w:color w:val="FF0000"/>
          <w:kern w:val="2"/>
          <w:sz w:val="32"/>
          <w:szCs w:val="24"/>
          <w:lang w:val="en-US" w:eastAsia="zh-CN"/>
        </w:rPr>
      </w:pP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“三公”经费财政拨款支出预算为</w:t>
      </w:r>
      <w:r>
        <w:rPr>
          <w:rFonts w:hint="eastAsia" w:ascii="仿宋_GB2312" w:hAnsi="仿宋_GB2312" w:eastAsia="仿宋_GB2312" w:cs="仿宋_GB2312"/>
          <w:sz w:val="32"/>
          <w:szCs w:val="32"/>
        </w:rPr>
        <w:t>23.89</w:t>
      </w:r>
      <w:r>
        <w:rPr>
          <w:rFonts w:hint="eastAsia" w:ascii="仿宋_GB2312" w:hAnsi="仿宋_GB2312" w:eastAsia="仿宋_GB2312"/>
          <w:color w:val="000000"/>
          <w:kern w:val="2"/>
          <w:sz w:val="32"/>
          <w:szCs w:val="24"/>
          <w:lang w:val="en-US"/>
        </w:rPr>
        <w:t>万元，支出决算为</w:t>
      </w:r>
      <w:r>
        <w:rPr>
          <w:rFonts w:hint="eastAsia" w:ascii="仿宋_GB2312" w:hAnsi="仿宋_GB2312" w:eastAsia="仿宋_GB2312" w:cs="仿宋_GB2312"/>
          <w:sz w:val="32"/>
          <w:szCs w:val="32"/>
        </w:rPr>
        <w:t>23.89</w:t>
      </w:r>
      <w:r>
        <w:rPr>
          <w:rFonts w:hint="eastAsia" w:ascii="仿宋_GB2312" w:hAnsi="仿宋_GB2312" w:eastAsia="仿宋_GB2312"/>
          <w:color w:val="000000"/>
          <w:kern w:val="2"/>
          <w:sz w:val="32"/>
          <w:szCs w:val="24"/>
          <w:lang w:val="en-US"/>
        </w:rPr>
        <w:t>万元，完成预算的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lang w:val="en-US"/>
        </w:rPr>
        <w:t>%；较上年增加9.57万元，增长66.8%。决算数</w:t>
      </w:r>
      <w:r>
        <w:rPr>
          <w:rFonts w:hint="eastAsia" w:ascii="仿宋_GB2312" w:hAnsi="仿宋_GB2312" w:eastAsia="仿宋_GB2312"/>
          <w:color w:val="000000"/>
          <w:kern w:val="2"/>
          <w:sz w:val="32"/>
          <w:szCs w:val="24"/>
          <w:highlight w:val="none"/>
          <w:lang w:val="en-US"/>
        </w:rPr>
        <w:t>与预算数持平的</w:t>
      </w:r>
      <w:r>
        <w:rPr>
          <w:rFonts w:hint="eastAsia" w:ascii="仿宋_GB2312" w:hAnsi="仿宋_GB2312" w:eastAsia="仿宋_GB2312"/>
          <w:color w:val="000000"/>
          <w:kern w:val="2"/>
          <w:sz w:val="32"/>
          <w:szCs w:val="24"/>
          <w:lang w:val="en-US"/>
        </w:rPr>
        <w:t>主要原因是</w:t>
      </w:r>
      <w:r>
        <w:rPr>
          <w:rFonts w:hint="eastAsia" w:ascii="仿宋_GB2312" w:hAnsi="仿宋_GB2312" w:eastAsia="仿宋_GB2312"/>
          <w:color w:val="000000"/>
          <w:kern w:val="2"/>
          <w:sz w:val="32"/>
          <w:szCs w:val="24"/>
          <w:lang w:val="en-US" w:eastAsia="zh-CN"/>
        </w:rPr>
        <w:t>严格按预算进行执行</w:t>
      </w:r>
      <w:r>
        <w:rPr>
          <w:rFonts w:hint="eastAsia" w:ascii="仿宋_GB2312" w:hAnsi="仿宋_GB2312" w:eastAsia="仿宋_GB2312"/>
          <w:color w:val="000000"/>
          <w:kern w:val="2"/>
          <w:sz w:val="32"/>
          <w:szCs w:val="24"/>
          <w:lang w:val="en-US"/>
        </w:rPr>
        <w:t>。决算数较上年增加的主要原因是</w:t>
      </w:r>
      <w:r>
        <w:rPr>
          <w:rFonts w:hint="eastAsia" w:ascii="仿宋_GB2312" w:hAnsi="仿宋_GB2312" w:eastAsia="仿宋_GB2312"/>
          <w:color w:val="000000"/>
          <w:kern w:val="2"/>
          <w:sz w:val="32"/>
          <w:szCs w:val="24"/>
          <w:lang w:val="en-US" w:eastAsia="zh-CN"/>
        </w:rPr>
        <w:t>上一年度因口径问题填报错误。</w:t>
      </w:r>
    </w:p>
    <w:p w14:paraId="5DE40D06">
      <w:pPr>
        <w:overflowPunct w:val="0"/>
        <w:topLinePunct/>
        <w:spacing w:beforeLines="0" w:afterLines="0" w:line="576" w:lineRule="exact"/>
        <w:ind w:firstLine="641" w:firstLineChars="200"/>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b/>
          <w:color w:val="000000"/>
          <w:kern w:val="2"/>
          <w:sz w:val="32"/>
          <w:szCs w:val="24"/>
          <w:lang w:val="en-US"/>
        </w:rPr>
        <w:t>（二）“三公”经费财政拨款支出决算具体情况说明</w:t>
      </w:r>
    </w:p>
    <w:p w14:paraId="759AEB4B">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“三公”经费财政拨款支出决算中，因公出国（境）费支出决算</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%；公务用车购置及运行维护费支出决算</w:t>
      </w:r>
      <w:r>
        <w:rPr>
          <w:rFonts w:hint="eastAsia" w:ascii="仿宋_GB2312" w:hAnsi="仿宋_GB2312" w:eastAsia="仿宋_GB2312" w:cs="仿宋_GB2312"/>
          <w:sz w:val="32"/>
          <w:szCs w:val="32"/>
        </w:rPr>
        <w:t>9.58</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40</w:t>
      </w:r>
      <w:r>
        <w:rPr>
          <w:rFonts w:hint="eastAsia" w:ascii="仿宋_GB2312" w:hAnsi="仿宋_GB2312" w:eastAsia="仿宋_GB2312"/>
          <w:color w:val="000000"/>
          <w:kern w:val="2"/>
          <w:sz w:val="32"/>
          <w:szCs w:val="24"/>
          <w:lang w:val="en-US"/>
        </w:rPr>
        <w:t>%；公务接待费支出决算</w:t>
      </w:r>
      <w:r>
        <w:rPr>
          <w:rFonts w:hint="eastAsia" w:ascii="仿宋_GB2312" w:hAnsi="仿宋_GB2312" w:eastAsia="仿宋_GB2312" w:cs="仿宋_GB2312"/>
          <w:sz w:val="32"/>
          <w:szCs w:val="32"/>
        </w:rPr>
        <w:t>14.31</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60</w:t>
      </w:r>
      <w:r>
        <w:rPr>
          <w:rFonts w:hint="eastAsia" w:ascii="仿宋_GB2312" w:hAnsi="仿宋_GB2312" w:eastAsia="仿宋_GB2312"/>
          <w:color w:val="000000"/>
          <w:kern w:val="2"/>
          <w:sz w:val="32"/>
          <w:szCs w:val="24"/>
          <w:lang w:val="en-US"/>
        </w:rPr>
        <w:t>%。具体情况如下：</w:t>
      </w:r>
    </w:p>
    <w:p w14:paraId="30432109">
      <w:pPr>
        <w:overflowPunct w:val="0"/>
        <w:topLinePunct/>
        <w:spacing w:beforeLines="0" w:afterLines="0" w:line="240" w:lineRule="auto"/>
        <w:jc w:val="center"/>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pict>
          <v:shape id="_x0000_i1031" o:spt="75" alt="图片6" type="#_x0000_t75" style="height:210.25pt;width:366.7pt;" filled="f" o:preferrelative="t" stroked="f" coordsize="21600,21600">
            <v:path/>
            <v:fill on="f" focussize="0,0"/>
            <v:stroke on="f"/>
            <v:imagedata r:id="rId11" o:title="图片6"/>
            <o:lock v:ext="edit" aspectratio="t"/>
            <w10:wrap type="none"/>
            <w10:anchorlock/>
          </v:shape>
        </w:pict>
      </w:r>
    </w:p>
    <w:p w14:paraId="7FBBF17B">
      <w:pPr>
        <w:overflowPunct w:val="0"/>
        <w:topLinePunct/>
        <w:spacing w:beforeLines="0" w:afterLines="0" w:line="576" w:lineRule="exact"/>
        <w:jc w:val="center"/>
        <w:rPr>
          <w:rFonts w:hint="eastAsia" w:ascii="仿宋_GB2312" w:hAnsi="仿宋_GB2312" w:eastAsia="仿宋_GB2312"/>
          <w:i/>
          <w:color w:val="000000"/>
          <w:kern w:val="2"/>
          <w:sz w:val="32"/>
          <w:szCs w:val="24"/>
          <w:highlight w:val="none"/>
          <w:lang w:val="en-US"/>
        </w:rPr>
      </w:pPr>
      <w:r>
        <w:rPr>
          <w:rFonts w:hint="eastAsia" w:ascii="仿宋_GB2312" w:hAnsi="仿宋_GB2312" w:eastAsia="仿宋_GB2312"/>
          <w:color w:val="000000"/>
          <w:kern w:val="2"/>
          <w:sz w:val="32"/>
          <w:szCs w:val="24"/>
          <w:highlight w:val="none"/>
          <w:lang w:val="en-US"/>
        </w:rPr>
        <w:t>（图7：“三公”经费财政拨款支出结构）</w:t>
      </w:r>
    </w:p>
    <w:p w14:paraId="1E2737A5">
      <w:pPr>
        <w:overflowPunct w:val="0"/>
        <w:topLinePunct/>
        <w:spacing w:beforeLines="0" w:afterLines="0" w:line="576" w:lineRule="exact"/>
        <w:ind w:firstLine="641" w:firstLineChars="200"/>
        <w:jc w:val="both"/>
        <w:rPr>
          <w:rFonts w:hint="eastAsia" w:ascii="宋体" w:hAnsi="Times New Roman" w:eastAsia="宋体"/>
          <w:sz w:val="32"/>
          <w:szCs w:val="24"/>
          <w:highlight w:val="yellow"/>
          <w:lang w:eastAsia="zh-CN"/>
        </w:rPr>
      </w:pPr>
      <w:r>
        <w:rPr>
          <w:rFonts w:hint="eastAsia" w:ascii="仿宋_GB2312" w:hAnsi="仿宋_GB2312" w:eastAsia="仿宋_GB2312"/>
          <w:b/>
          <w:color w:val="000000"/>
          <w:kern w:val="2"/>
          <w:sz w:val="32"/>
          <w:szCs w:val="24"/>
          <w:lang w:val="en-US"/>
        </w:rPr>
        <w:t>1.因公出国（境）经费</w:t>
      </w:r>
      <w:r>
        <w:rPr>
          <w:rFonts w:hint="eastAsia" w:ascii="仿宋_GB2312" w:hAnsi="仿宋_GB2312" w:eastAsia="仿宋_GB2312"/>
          <w:b/>
          <w:color w:val="000000"/>
          <w:kern w:val="2"/>
          <w:sz w:val="32"/>
          <w:szCs w:val="24"/>
          <w:lang w:val="en-US" w:eastAsia="zh-CN"/>
        </w:rPr>
        <w:t>支出</w:t>
      </w:r>
      <w:r>
        <w:rPr>
          <w:rFonts w:hint="eastAsia" w:ascii="仿宋_GB2312" w:hAnsi="仿宋_GB2312" w:eastAsia="仿宋_GB2312"/>
          <w:color w:val="000000"/>
          <w:kern w:val="2"/>
          <w:sz w:val="32"/>
          <w:szCs w:val="24"/>
          <w:lang w:val="en-US"/>
        </w:rPr>
        <w:t>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w:t>
      </w:r>
      <w:r>
        <w:rPr>
          <w:rFonts w:hint="eastAsia" w:ascii="仿宋_GB2312" w:hAnsi="仿宋_GB2312" w:eastAsia="仿宋_GB2312"/>
          <w:color w:val="000000"/>
          <w:kern w:val="2"/>
          <w:sz w:val="32"/>
          <w:szCs w:val="24"/>
          <w:lang w:val="en-US" w:eastAsia="zh-CN"/>
        </w:rPr>
        <w:t>年初未安排预算</w:t>
      </w:r>
      <w:r>
        <w:rPr>
          <w:rFonts w:hint="eastAsia" w:ascii="仿宋_GB2312" w:hAnsi="仿宋_GB2312" w:eastAsia="仿宋_GB2312"/>
          <w:color w:val="000000"/>
          <w:kern w:val="2"/>
          <w:sz w:val="32"/>
          <w:szCs w:val="24"/>
          <w:lang w:val="en-US"/>
        </w:rPr>
        <w:t>。因公出国（境）支出决算与202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无变化</w:t>
      </w:r>
      <w:r>
        <w:rPr>
          <w:rFonts w:hint="eastAsia" w:ascii="仿宋_GB2312" w:hAnsi="仿宋_GB2312" w:eastAsia="仿宋_GB2312"/>
          <w:color w:val="000000"/>
          <w:kern w:val="2"/>
          <w:sz w:val="32"/>
          <w:szCs w:val="24"/>
          <w:lang w:val="en-US"/>
        </w:rPr>
        <w:t>。</w:t>
      </w:r>
    </w:p>
    <w:p w14:paraId="6B43EB21">
      <w:pPr>
        <w:overflowPunct w:val="0"/>
        <w:topLinePunct/>
        <w:spacing w:beforeLines="0" w:afterLines="0" w:line="576" w:lineRule="exact"/>
        <w:ind w:firstLine="641"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auto"/>
          <w:kern w:val="2"/>
          <w:sz w:val="32"/>
          <w:szCs w:val="24"/>
          <w:lang w:val="en-US"/>
        </w:rPr>
        <w:t>2.公务用车</w:t>
      </w:r>
      <w:r>
        <w:rPr>
          <w:rFonts w:hint="eastAsia" w:ascii="仿宋_GB2312" w:hAnsi="仿宋_GB2312" w:eastAsia="仿宋_GB2312"/>
          <w:b/>
          <w:color w:val="000000"/>
          <w:kern w:val="2"/>
          <w:sz w:val="32"/>
          <w:szCs w:val="24"/>
          <w:lang w:val="en-US"/>
        </w:rPr>
        <w:t>购置及运行维护费</w:t>
      </w:r>
      <w:r>
        <w:rPr>
          <w:rFonts w:hint="eastAsia" w:ascii="仿宋_GB2312" w:hAnsi="仿宋_GB2312" w:eastAsia="仿宋_GB2312"/>
          <w:color w:val="000000"/>
          <w:kern w:val="2"/>
          <w:sz w:val="32"/>
          <w:szCs w:val="24"/>
          <w:lang w:val="en-US"/>
        </w:rPr>
        <w:t>预算为</w:t>
      </w:r>
      <w:r>
        <w:rPr>
          <w:rFonts w:hint="eastAsia" w:ascii="仿宋_GB2312" w:hAnsi="仿宋_GB2312" w:eastAsia="仿宋_GB2312" w:cs="仿宋_GB2312"/>
          <w:sz w:val="32"/>
          <w:szCs w:val="32"/>
        </w:rPr>
        <w:t>9.58</w:t>
      </w:r>
      <w:r>
        <w:rPr>
          <w:rFonts w:hint="eastAsia" w:ascii="仿宋_GB2312" w:hAnsi="仿宋_GB2312" w:eastAsia="仿宋_GB2312"/>
          <w:color w:val="000000"/>
          <w:kern w:val="2"/>
          <w:sz w:val="32"/>
          <w:szCs w:val="24"/>
          <w:lang w:val="en-US"/>
        </w:rPr>
        <w:t>万元,支出决算为</w:t>
      </w:r>
      <w:r>
        <w:rPr>
          <w:rFonts w:hint="eastAsia" w:ascii="仿宋_GB2312" w:hAnsi="仿宋_GB2312" w:eastAsia="仿宋_GB2312" w:cs="仿宋_GB2312"/>
          <w:sz w:val="32"/>
          <w:szCs w:val="32"/>
        </w:rPr>
        <w:t>9.58</w:t>
      </w:r>
      <w:r>
        <w:rPr>
          <w:rFonts w:hint="eastAsia" w:ascii="仿宋_GB2312" w:hAnsi="仿宋_GB2312" w:eastAsia="仿宋_GB2312"/>
          <w:color w:val="000000"/>
          <w:kern w:val="2"/>
          <w:sz w:val="32"/>
          <w:szCs w:val="24"/>
          <w:lang w:val="en-US"/>
        </w:rPr>
        <w:t>万元，完成预算的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lang w:val="en-US"/>
        </w:rPr>
        <w:t>%。公务用车购置及运行维护费支出决算比202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增加</w:t>
      </w:r>
      <w:r>
        <w:rPr>
          <w:rFonts w:hint="eastAsia" w:ascii="仿宋_GB2312" w:hAnsi="仿宋_GB2312" w:eastAsia="仿宋_GB2312" w:cs="仿宋_GB2312"/>
          <w:sz w:val="32"/>
          <w:szCs w:val="32"/>
        </w:rPr>
        <w:t>9.58</w:t>
      </w:r>
      <w:r>
        <w:rPr>
          <w:rFonts w:hint="eastAsia" w:ascii="仿宋_GB2312" w:hAnsi="仿宋_GB2312" w:eastAsia="仿宋_GB2312"/>
          <w:color w:val="000000"/>
          <w:kern w:val="2"/>
          <w:sz w:val="32"/>
          <w:szCs w:val="24"/>
          <w:lang w:val="en-US"/>
        </w:rPr>
        <w:t>万元，增长</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lang w:val="en-US"/>
        </w:rPr>
        <w:t>%。主要原因是</w:t>
      </w:r>
      <w:r>
        <w:rPr>
          <w:rFonts w:hint="eastAsia" w:ascii="仿宋_GB2312" w:hAnsi="仿宋_GB2312" w:eastAsia="仿宋_GB2312"/>
          <w:color w:val="000000"/>
          <w:kern w:val="2"/>
          <w:sz w:val="32"/>
          <w:szCs w:val="24"/>
          <w:lang w:val="en-US" w:eastAsia="zh-CN"/>
        </w:rPr>
        <w:t>上一年度因口径问题未填报公务用车运行维护费</w:t>
      </w:r>
      <w:r>
        <w:rPr>
          <w:rFonts w:hint="eastAsia" w:ascii="仿宋_GB2312" w:hAnsi="仿宋_GB2312" w:eastAsia="仿宋_GB2312"/>
          <w:color w:val="000000"/>
          <w:kern w:val="2"/>
          <w:sz w:val="32"/>
          <w:szCs w:val="24"/>
          <w:lang w:val="en-US"/>
        </w:rPr>
        <w:t>。</w:t>
      </w:r>
    </w:p>
    <w:p w14:paraId="63F106C0">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其中：</w:t>
      </w:r>
      <w:r>
        <w:rPr>
          <w:rFonts w:hint="eastAsia" w:ascii="仿宋_GB2312" w:hAnsi="仿宋_GB2312" w:eastAsia="仿宋_GB2312"/>
          <w:b/>
          <w:color w:val="000000"/>
          <w:kern w:val="2"/>
          <w:sz w:val="32"/>
          <w:szCs w:val="24"/>
          <w:lang w:val="en-US"/>
        </w:rPr>
        <w:t>公务用车购置费</w:t>
      </w:r>
      <w:r>
        <w:rPr>
          <w:rFonts w:hint="eastAsia" w:ascii="仿宋_GB2312" w:hAnsi="仿宋_GB2312" w:eastAsia="仿宋_GB2312"/>
          <w:color w:val="000000"/>
          <w:kern w:val="2"/>
          <w:sz w:val="32"/>
          <w:szCs w:val="24"/>
          <w:lang w:val="en-US"/>
        </w:rPr>
        <w:t>支出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万元。全年按规定更新购置公务用车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辆，其中：轿车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万元，越野车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万元，小型客车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万元，中型客车和大型客车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万元，其他车型</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万元。截至202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年12月31日，本部门共有公务用车</w:t>
      </w:r>
      <w:r>
        <w:rPr>
          <w:rFonts w:hint="eastAsia" w:ascii="仿宋_GB2312" w:hAnsi="仿宋_GB2312" w:eastAsia="仿宋_GB2312"/>
          <w:color w:val="000000"/>
          <w:kern w:val="2"/>
          <w:sz w:val="32"/>
          <w:szCs w:val="24"/>
          <w:lang w:val="en-US" w:eastAsia="zh-CN"/>
        </w:rPr>
        <w:t>1</w:t>
      </w:r>
      <w:r>
        <w:rPr>
          <w:rFonts w:hint="eastAsia" w:ascii="仿宋_GB2312" w:hAnsi="仿宋_GB2312" w:eastAsia="仿宋_GB2312"/>
          <w:color w:val="000000"/>
          <w:kern w:val="2"/>
          <w:sz w:val="32"/>
          <w:szCs w:val="24"/>
          <w:lang w:val="en-US"/>
        </w:rPr>
        <w:t>辆，其中：轿车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辆、越野车</w:t>
      </w:r>
      <w:r>
        <w:rPr>
          <w:rFonts w:hint="eastAsia" w:ascii="仿宋_GB2312" w:hAnsi="仿宋_GB2312" w:eastAsia="仿宋_GB2312"/>
          <w:color w:val="000000"/>
          <w:kern w:val="2"/>
          <w:sz w:val="32"/>
          <w:szCs w:val="24"/>
          <w:lang w:val="en-US" w:eastAsia="zh-CN"/>
        </w:rPr>
        <w:t>1</w:t>
      </w:r>
      <w:r>
        <w:rPr>
          <w:rFonts w:hint="eastAsia" w:ascii="仿宋_GB2312" w:hAnsi="仿宋_GB2312" w:eastAsia="仿宋_GB2312"/>
          <w:color w:val="000000"/>
          <w:kern w:val="2"/>
          <w:sz w:val="32"/>
          <w:szCs w:val="24"/>
          <w:lang w:val="en-US"/>
        </w:rPr>
        <w:t>辆、小型客车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辆、中型客车和大型客车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辆、其他车型</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w:t>
      </w:r>
    </w:p>
    <w:p w14:paraId="061C0371">
      <w:pPr>
        <w:overflowPunct w:val="0"/>
        <w:topLinePunct/>
        <w:spacing w:beforeLines="0" w:afterLines="0" w:line="576" w:lineRule="exact"/>
        <w:ind w:firstLine="641"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rPr>
        <w:t>公务用车运行维护费</w:t>
      </w:r>
      <w:r>
        <w:rPr>
          <w:rFonts w:hint="eastAsia" w:ascii="仿宋_GB2312" w:hAnsi="仿宋_GB2312" w:eastAsia="仿宋_GB2312"/>
          <w:color w:val="000000"/>
          <w:kern w:val="2"/>
          <w:sz w:val="32"/>
          <w:szCs w:val="24"/>
          <w:lang w:val="en-US"/>
        </w:rPr>
        <w:t>支出</w:t>
      </w:r>
      <w:r>
        <w:rPr>
          <w:rFonts w:hint="eastAsia" w:ascii="仿宋_GB2312" w:hAnsi="仿宋_GB2312" w:eastAsia="仿宋_GB2312" w:cs="仿宋_GB2312"/>
          <w:sz w:val="32"/>
          <w:szCs w:val="32"/>
        </w:rPr>
        <w:t>9.58</w:t>
      </w:r>
      <w:r>
        <w:rPr>
          <w:rFonts w:hint="eastAsia" w:ascii="仿宋_GB2312" w:hAnsi="仿宋_GB2312" w:eastAsia="仿宋_GB2312"/>
          <w:color w:val="000000"/>
          <w:kern w:val="2"/>
          <w:sz w:val="32"/>
          <w:szCs w:val="24"/>
          <w:lang w:val="en-US"/>
        </w:rPr>
        <w:t>万元。主要用于执法执勤用车所需的公务用车燃料费、维修费、过路过桥费、保险费等支出。</w:t>
      </w:r>
    </w:p>
    <w:p w14:paraId="34C69FD9">
      <w:pPr>
        <w:overflowPunct w:val="0"/>
        <w:topLinePunct/>
        <w:spacing w:beforeLines="0" w:afterLines="0" w:line="576" w:lineRule="exact"/>
        <w:ind w:firstLine="641"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rPr>
        <w:t>3.公务接待费</w:t>
      </w:r>
      <w:r>
        <w:rPr>
          <w:rFonts w:hint="eastAsia" w:ascii="仿宋_GB2312" w:hAnsi="仿宋_GB2312" w:eastAsia="仿宋_GB2312"/>
          <w:color w:val="000000"/>
          <w:kern w:val="2"/>
          <w:sz w:val="32"/>
          <w:szCs w:val="24"/>
          <w:lang w:val="en-US"/>
        </w:rPr>
        <w:t>预算为</w:t>
      </w:r>
      <w:r>
        <w:rPr>
          <w:rFonts w:hint="eastAsia" w:ascii="仿宋_GB2312" w:hAnsi="仿宋_GB2312" w:eastAsia="仿宋_GB2312" w:cs="仿宋_GB2312"/>
          <w:sz w:val="32"/>
          <w:szCs w:val="32"/>
        </w:rPr>
        <w:t>14.31</w:t>
      </w:r>
      <w:r>
        <w:rPr>
          <w:rFonts w:hint="eastAsia" w:ascii="仿宋_GB2312" w:hAnsi="仿宋_GB2312" w:eastAsia="仿宋_GB2312"/>
          <w:color w:val="000000"/>
          <w:kern w:val="2"/>
          <w:sz w:val="32"/>
          <w:szCs w:val="24"/>
          <w:lang w:val="en-US"/>
        </w:rPr>
        <w:t>万元，支出决算为</w:t>
      </w:r>
      <w:r>
        <w:rPr>
          <w:rFonts w:hint="eastAsia" w:ascii="仿宋_GB2312" w:hAnsi="仿宋_GB2312" w:eastAsia="仿宋_GB2312" w:cs="仿宋_GB2312"/>
          <w:sz w:val="32"/>
          <w:szCs w:val="32"/>
        </w:rPr>
        <w:t>14.31</w:t>
      </w:r>
      <w:r>
        <w:rPr>
          <w:rFonts w:hint="eastAsia" w:ascii="仿宋_GB2312" w:hAnsi="仿宋_GB2312" w:eastAsia="仿宋_GB2312"/>
          <w:color w:val="000000"/>
          <w:kern w:val="2"/>
          <w:sz w:val="32"/>
          <w:szCs w:val="24"/>
          <w:lang w:val="en-US"/>
        </w:rPr>
        <w:t>万元，完成预算的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lang w:val="en-US"/>
        </w:rPr>
        <w:t>%。公务接待费支出决算比202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减少</w:t>
      </w:r>
      <w:r>
        <w:rPr>
          <w:rFonts w:hint="eastAsia" w:ascii="仿宋_GB2312" w:hAnsi="仿宋_GB2312" w:eastAsia="仿宋_GB2312"/>
          <w:color w:val="000000"/>
          <w:kern w:val="2"/>
          <w:sz w:val="32"/>
          <w:szCs w:val="24"/>
          <w:lang w:val="en-US" w:eastAsia="zh-CN"/>
        </w:rPr>
        <w:t>0.01</w:t>
      </w:r>
      <w:r>
        <w:rPr>
          <w:rFonts w:hint="eastAsia" w:ascii="仿宋_GB2312" w:hAnsi="仿宋_GB2312" w:eastAsia="仿宋_GB2312"/>
          <w:color w:val="000000"/>
          <w:kern w:val="2"/>
          <w:sz w:val="32"/>
          <w:szCs w:val="24"/>
          <w:lang w:val="en-US"/>
        </w:rPr>
        <w:t>万元，下降</w:t>
      </w:r>
      <w:r>
        <w:rPr>
          <w:rFonts w:hint="eastAsia" w:ascii="仿宋_GB2312" w:hAnsi="仿宋_GB2312" w:eastAsia="仿宋_GB2312"/>
          <w:color w:val="000000"/>
          <w:kern w:val="2"/>
          <w:sz w:val="32"/>
          <w:szCs w:val="24"/>
          <w:lang w:val="en-US" w:eastAsia="zh-CN"/>
        </w:rPr>
        <w:t>0.1</w:t>
      </w:r>
      <w:r>
        <w:rPr>
          <w:rFonts w:hint="eastAsia" w:ascii="仿宋_GB2312" w:hAnsi="仿宋_GB2312" w:eastAsia="仿宋_GB2312"/>
          <w:color w:val="000000"/>
          <w:kern w:val="2"/>
          <w:sz w:val="32"/>
          <w:szCs w:val="24"/>
          <w:lang w:val="en-US"/>
        </w:rPr>
        <w:t>%。主要原因是</w:t>
      </w:r>
      <w:r>
        <w:rPr>
          <w:rFonts w:hint="eastAsia" w:ascii="仿宋_GB2312" w:hAnsi="仿宋_GB2312" w:eastAsia="仿宋_GB2312"/>
          <w:color w:val="000000"/>
          <w:kern w:val="2"/>
          <w:sz w:val="32"/>
          <w:szCs w:val="24"/>
          <w:lang w:val="en-US" w:eastAsia="zh-CN"/>
        </w:rPr>
        <w:t>厉行节俭压缩三公经费</w:t>
      </w:r>
      <w:r>
        <w:rPr>
          <w:rFonts w:hint="eastAsia" w:ascii="仿宋_GB2312" w:hAnsi="仿宋_GB2312" w:eastAsia="仿宋_GB2312"/>
          <w:color w:val="000000"/>
          <w:kern w:val="2"/>
          <w:sz w:val="32"/>
          <w:szCs w:val="24"/>
          <w:lang w:val="en-US"/>
        </w:rPr>
        <w:t>。其中：</w:t>
      </w:r>
    </w:p>
    <w:p w14:paraId="54948650">
      <w:pPr>
        <w:overflowPunct w:val="0"/>
        <w:topLinePunct/>
        <w:spacing w:beforeLines="0" w:afterLines="0" w:line="576" w:lineRule="exact"/>
        <w:ind w:firstLine="641"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rPr>
        <w:t>国内公务接待</w:t>
      </w:r>
      <w:r>
        <w:rPr>
          <w:rFonts w:hint="eastAsia" w:ascii="仿宋_GB2312" w:hAnsi="仿宋_GB2312" w:eastAsia="仿宋_GB2312"/>
          <w:color w:val="000000"/>
          <w:kern w:val="2"/>
          <w:sz w:val="32"/>
          <w:szCs w:val="24"/>
          <w:lang w:val="en-US"/>
        </w:rPr>
        <w:t>支出</w:t>
      </w:r>
      <w:r>
        <w:rPr>
          <w:rFonts w:hint="eastAsia" w:ascii="仿宋_GB2312" w:hAnsi="仿宋_GB2312" w:eastAsia="仿宋_GB2312" w:cs="仿宋_GB2312"/>
          <w:sz w:val="32"/>
          <w:szCs w:val="32"/>
        </w:rPr>
        <w:t>14.31</w:t>
      </w:r>
      <w:r>
        <w:rPr>
          <w:rFonts w:hint="eastAsia" w:ascii="仿宋_GB2312" w:hAnsi="仿宋_GB2312" w:eastAsia="仿宋_GB2312"/>
          <w:color w:val="000000"/>
          <w:kern w:val="2"/>
          <w:sz w:val="32"/>
          <w:szCs w:val="24"/>
          <w:lang w:val="en-US"/>
        </w:rPr>
        <w:t>万元。主要用于</w:t>
      </w:r>
      <w:r>
        <w:rPr>
          <w:rFonts w:hint="default" w:ascii="Times New Roman" w:hAnsi="Times New Roman" w:eastAsia="仿宋_GB2312" w:cs="Times New Roman"/>
          <w:b w:val="0"/>
          <w:bCs w:val="0"/>
          <w:color w:val="000000"/>
          <w:kern w:val="2"/>
          <w:sz w:val="32"/>
          <w:szCs w:val="24"/>
        </w:rPr>
        <w:t>执行公务、开展业务活动开支的交通费、住宿费、用餐费等</w:t>
      </w:r>
      <w:r>
        <w:rPr>
          <w:rFonts w:hint="eastAsia" w:ascii="仿宋_GB2312" w:hAnsi="仿宋_GB2312" w:eastAsia="仿宋_GB2312"/>
          <w:color w:val="000000"/>
          <w:kern w:val="2"/>
          <w:sz w:val="32"/>
          <w:szCs w:val="24"/>
          <w:lang w:val="en-US"/>
        </w:rPr>
        <w:t>。国内公务接待</w:t>
      </w:r>
      <w:r>
        <w:rPr>
          <w:rFonts w:hint="eastAsia" w:ascii="仿宋_GB2312" w:hAnsi="仿宋_GB2312" w:eastAsia="仿宋_GB2312" w:cs="仿宋_GB2312"/>
          <w:sz w:val="32"/>
          <w:szCs w:val="32"/>
        </w:rPr>
        <w:t>149</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1190</w:t>
      </w:r>
      <w:r>
        <w:rPr>
          <w:rFonts w:hint="eastAsia" w:ascii="仿宋_GB2312" w:hAnsi="仿宋_GB2312" w:eastAsia="仿宋_GB2312"/>
          <w:color w:val="000000"/>
          <w:kern w:val="2"/>
          <w:sz w:val="32"/>
          <w:szCs w:val="24"/>
          <w:lang w:val="en-US"/>
        </w:rPr>
        <w:t>人次，共计支出</w:t>
      </w:r>
      <w:r>
        <w:rPr>
          <w:rFonts w:hint="eastAsia" w:ascii="仿宋_GB2312" w:hAnsi="仿宋_GB2312" w:eastAsia="仿宋_GB2312" w:cs="仿宋_GB2312"/>
          <w:sz w:val="32"/>
          <w:szCs w:val="32"/>
        </w:rPr>
        <w:t>14.31</w:t>
      </w:r>
      <w:r>
        <w:rPr>
          <w:rFonts w:hint="eastAsia" w:ascii="仿宋_GB2312" w:hAnsi="仿宋_GB2312" w:eastAsia="仿宋_GB2312"/>
          <w:color w:val="000000"/>
          <w:kern w:val="2"/>
          <w:sz w:val="32"/>
          <w:szCs w:val="24"/>
          <w:lang w:val="en-US"/>
        </w:rPr>
        <w:t>万元，具体内容包括：</w:t>
      </w:r>
      <w:r>
        <w:rPr>
          <w:rFonts w:hint="default" w:ascii="Times New Roman" w:hAnsi="Times New Roman" w:eastAsia="仿宋_GB2312" w:cs="Times New Roman"/>
          <w:b w:val="0"/>
          <w:bCs w:val="0"/>
          <w:color w:val="000000"/>
          <w:sz w:val="32"/>
          <w:szCs w:val="32"/>
        </w:rPr>
        <w:t>农业农村工作会议、园区、动物防疫检查、农产品质量安全检查、高标准农田等工作检查指导、考察调研接待</w:t>
      </w:r>
      <w:r>
        <w:rPr>
          <w:rFonts w:hint="eastAsia" w:ascii="Times New Roman" w:hAnsi="Times New Roman" w:eastAsia="仿宋_GB2312" w:cs="Times New Roman"/>
          <w:b w:val="0"/>
          <w:bCs w:val="0"/>
          <w:color w:val="000000"/>
          <w:sz w:val="32"/>
          <w:szCs w:val="32"/>
          <w:lang w:val="en-US" w:eastAsia="zh-CN"/>
        </w:rPr>
        <w:t>等，</w:t>
      </w:r>
      <w:r>
        <w:rPr>
          <w:rFonts w:hint="eastAsia" w:ascii="仿宋_GB2312" w:hAnsi="仿宋_GB2312" w:eastAsia="仿宋_GB2312"/>
          <w:color w:val="000000"/>
          <w:kern w:val="2"/>
          <w:sz w:val="32"/>
          <w:szCs w:val="24"/>
          <w:lang w:val="en-US"/>
        </w:rPr>
        <w:t>共计支出</w:t>
      </w:r>
      <w:r>
        <w:rPr>
          <w:rFonts w:hint="eastAsia" w:ascii="仿宋_GB2312" w:hAnsi="仿宋_GB2312" w:eastAsia="仿宋_GB2312" w:cs="仿宋_GB2312"/>
          <w:sz w:val="32"/>
          <w:szCs w:val="32"/>
        </w:rPr>
        <w:t>14.31</w:t>
      </w:r>
      <w:r>
        <w:rPr>
          <w:rFonts w:hint="eastAsia" w:ascii="仿宋_GB2312" w:hAnsi="仿宋_GB2312" w:eastAsia="仿宋_GB2312"/>
          <w:color w:val="000000"/>
          <w:kern w:val="2"/>
          <w:sz w:val="32"/>
          <w:szCs w:val="24"/>
          <w:lang w:val="en-US"/>
        </w:rPr>
        <w:t>万元。</w:t>
      </w:r>
    </w:p>
    <w:p w14:paraId="64DD8DE5">
      <w:pPr>
        <w:pStyle w:val="9"/>
        <w:overflowPunct w:val="0"/>
        <w:topLinePunct/>
        <w:spacing w:beforeLines="0" w:afterLines="0" w:line="576" w:lineRule="exact"/>
        <w:ind w:firstLine="641" w:firstLineChars="200"/>
        <w:jc w:val="both"/>
        <w:rPr>
          <w:rFonts w:hint="eastAsia" w:hAnsi="仿宋_GB2312"/>
          <w:color w:val="000000"/>
          <w:kern w:val="2"/>
          <w:sz w:val="32"/>
          <w:szCs w:val="24"/>
          <w:highlight w:val="yellow"/>
          <w:lang w:val="en-US"/>
        </w:rPr>
      </w:pPr>
      <w:r>
        <w:rPr>
          <w:rFonts w:hint="eastAsia" w:ascii="仿宋_GB2312" w:hAnsi="仿宋_GB2312" w:eastAsia="仿宋_GB2312"/>
          <w:b/>
          <w:color w:val="000000"/>
          <w:kern w:val="2"/>
          <w:sz w:val="32"/>
          <w:szCs w:val="24"/>
          <w:lang w:val="en-US"/>
        </w:rPr>
        <w:t>外事接待</w:t>
      </w:r>
      <w:r>
        <w:rPr>
          <w:rFonts w:hint="eastAsia" w:ascii="仿宋_GB2312" w:hAnsi="仿宋_GB2312" w:eastAsia="仿宋_GB2312"/>
          <w:color w:val="000000"/>
          <w:kern w:val="2"/>
          <w:sz w:val="32"/>
          <w:szCs w:val="24"/>
          <w:lang w:val="en-US"/>
        </w:rPr>
        <w:t>支出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万元，外事接待</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批次，</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人，共计支出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w:t>
      </w:r>
    </w:p>
    <w:p w14:paraId="135EBC86">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黑体" w:hAnsi="黑体" w:eastAsia="黑体" w:cs="Times New Roman"/>
          <w:color w:val="000000"/>
          <w:kern w:val="2"/>
          <w:sz w:val="32"/>
          <w:szCs w:val="24"/>
          <w:lang w:val="en-US"/>
        </w:rPr>
      </w:pPr>
      <w:bookmarkStart w:id="11" w:name="_Toc28516"/>
      <w:r>
        <w:rPr>
          <w:rFonts w:hint="eastAsia" w:ascii="黑体" w:hAnsi="黑体" w:eastAsia="黑体" w:cs="Times New Roman"/>
          <w:color w:val="000000"/>
          <w:kern w:val="2"/>
          <w:sz w:val="32"/>
          <w:szCs w:val="24"/>
          <w:lang w:val="en-US"/>
        </w:rPr>
        <w:t>八、政府性基金预算支出决算情况说明</w:t>
      </w:r>
      <w:bookmarkEnd w:id="11"/>
    </w:p>
    <w:p w14:paraId="0796D8A0">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rPr>
        <w:t>2024年度政府性基金预算财政拨款支出</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000</w:t>
      </w:r>
      <w:r>
        <w:rPr>
          <w:rFonts w:hint="eastAsia" w:ascii="仿宋_GB2312" w:hAnsi="仿宋_GB2312" w:eastAsia="仿宋_GB2312"/>
          <w:color w:val="000000"/>
          <w:kern w:val="2"/>
          <w:sz w:val="32"/>
          <w:szCs w:val="24"/>
          <w:lang w:val="en-US"/>
        </w:rPr>
        <w:t>万元，占本年支出合计的</w:t>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val="en-US" w:eastAsia="zh-CN"/>
        </w:rPr>
        <w:t>6</w:t>
      </w:r>
      <w:r>
        <w:rPr>
          <w:rFonts w:hint="eastAsia" w:ascii="仿宋_GB2312" w:hAnsi="仿宋_GB2312" w:eastAsia="仿宋_GB2312"/>
          <w:color w:val="000000"/>
          <w:kern w:val="2"/>
          <w:sz w:val="32"/>
          <w:szCs w:val="24"/>
          <w:lang w:val="en-US"/>
        </w:rPr>
        <w:t>%。与2023年度相比，政府性基金预算财政拨款支出减少6,553.21万元，下降62.1%。主要变动原因是项目资金预算减少</w:t>
      </w:r>
      <w:r>
        <w:rPr>
          <w:rFonts w:hint="eastAsia" w:ascii="仿宋_GB2312" w:hAnsi="仿宋_GB2312" w:eastAsia="仿宋_GB2312"/>
          <w:color w:val="000000"/>
          <w:kern w:val="2"/>
          <w:sz w:val="32"/>
          <w:szCs w:val="24"/>
          <w:lang w:val="en-US" w:eastAsia="zh-CN"/>
        </w:rPr>
        <w:t>。</w:t>
      </w:r>
    </w:p>
    <w:p w14:paraId="57BF6AFE">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黑体" w:hAnsi="黑体" w:eastAsia="黑体" w:cs="Times New Roman"/>
          <w:color w:val="000000"/>
          <w:kern w:val="2"/>
          <w:sz w:val="32"/>
          <w:szCs w:val="24"/>
          <w:lang w:val="en-US"/>
        </w:rPr>
      </w:pPr>
      <w:bookmarkStart w:id="12" w:name="_Toc5114"/>
      <w:r>
        <w:rPr>
          <w:rFonts w:hint="eastAsia" w:ascii="黑体" w:hAnsi="黑体" w:eastAsia="黑体" w:cs="Times New Roman"/>
          <w:color w:val="000000"/>
          <w:kern w:val="2"/>
          <w:sz w:val="32"/>
          <w:szCs w:val="24"/>
          <w:lang w:val="en-US"/>
        </w:rPr>
        <w:t>九、国有资本经营预算支出决算情况说明</w:t>
      </w:r>
      <w:bookmarkEnd w:id="12"/>
    </w:p>
    <w:p w14:paraId="44181F8F">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2024年度国有资本经营预算财政拨款支出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万元，占本年支出合计的</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%。与2023年度相比，国有资本经营预算财政拨款支出</w:t>
      </w:r>
      <w:r>
        <w:rPr>
          <w:rFonts w:hint="eastAsia" w:ascii="仿宋_GB2312" w:hAnsi="仿宋_GB2312" w:eastAsia="仿宋_GB2312"/>
          <w:color w:val="000000"/>
          <w:kern w:val="2"/>
          <w:sz w:val="32"/>
          <w:szCs w:val="24"/>
          <w:lang w:val="en-US" w:eastAsia="zh-CN"/>
        </w:rPr>
        <w:t>无变化</w:t>
      </w:r>
      <w:r>
        <w:rPr>
          <w:rFonts w:hint="eastAsia" w:ascii="仿宋_GB2312" w:hAnsi="仿宋_GB2312" w:eastAsia="仿宋_GB2312"/>
          <w:color w:val="000000"/>
          <w:kern w:val="2"/>
          <w:sz w:val="32"/>
          <w:szCs w:val="24"/>
          <w:lang w:val="en-US"/>
        </w:rPr>
        <w:t>。</w:t>
      </w:r>
    </w:p>
    <w:p w14:paraId="2F393226">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黑体" w:hAnsi="黑体" w:eastAsia="黑体" w:cs="Times New Roman"/>
          <w:color w:val="000000"/>
          <w:kern w:val="2"/>
          <w:sz w:val="32"/>
          <w:szCs w:val="24"/>
          <w:lang w:val="en-US"/>
        </w:rPr>
      </w:pPr>
      <w:bookmarkStart w:id="13" w:name="_Toc24247"/>
      <w:r>
        <w:rPr>
          <w:rFonts w:hint="eastAsia" w:ascii="黑体" w:hAnsi="黑体" w:eastAsia="黑体" w:cs="Times New Roman"/>
          <w:color w:val="000000"/>
          <w:kern w:val="2"/>
          <w:sz w:val="32"/>
          <w:szCs w:val="24"/>
          <w:lang w:val="en-US"/>
        </w:rPr>
        <w:t>十、其他重要事项的情况说明</w:t>
      </w:r>
      <w:bookmarkEnd w:id="13"/>
    </w:p>
    <w:p w14:paraId="551FB394">
      <w:pPr>
        <w:overflowPunct w:val="0"/>
        <w:topLinePunct/>
        <w:spacing w:beforeLines="0" w:afterLines="0" w:line="576" w:lineRule="exact"/>
        <w:ind w:firstLine="641"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rPr>
        <w:t>（一）机关运行经费支出情况</w:t>
      </w:r>
    </w:p>
    <w:p w14:paraId="507550A0">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w:t>
      </w:r>
      <w:r>
        <w:rPr>
          <w:rFonts w:hint="eastAsia" w:ascii="仿宋_GB2312" w:hAnsi="仿宋_GB2312" w:eastAsia="仿宋_GB2312" w:cs="仿宋_GB2312"/>
          <w:sz w:val="32"/>
          <w:szCs w:val="32"/>
        </w:rPr>
        <w:t>广元市昭化区农业农村局</w:t>
      </w:r>
      <w:r>
        <w:rPr>
          <w:rFonts w:hint="eastAsia" w:ascii="仿宋_GB2312" w:hAnsi="仿宋_GB2312" w:eastAsia="仿宋_GB2312"/>
          <w:color w:val="000000"/>
          <w:kern w:val="2"/>
          <w:sz w:val="32"/>
          <w:szCs w:val="24"/>
          <w:lang w:val="en-US"/>
        </w:rPr>
        <w:t>机关运行经费支出</w:t>
      </w:r>
      <w:r>
        <w:rPr>
          <w:rFonts w:hint="eastAsia" w:ascii="仿宋_GB2312" w:hAnsi="仿宋_GB2312" w:eastAsia="仿宋_GB2312" w:cs="仿宋_GB2312"/>
          <w:sz w:val="32"/>
          <w:szCs w:val="32"/>
        </w:rPr>
        <w:t>193.58</w:t>
      </w:r>
      <w:r>
        <w:rPr>
          <w:rFonts w:hint="eastAsia" w:ascii="仿宋_GB2312" w:hAnsi="仿宋_GB2312" w:eastAsia="仿宋_GB2312"/>
          <w:color w:val="000000"/>
          <w:kern w:val="2"/>
          <w:sz w:val="32"/>
          <w:szCs w:val="24"/>
          <w:lang w:val="en-US"/>
        </w:rPr>
        <w:t>万元，比202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减少</w:t>
      </w:r>
      <w:r>
        <w:rPr>
          <w:rFonts w:hint="eastAsia" w:ascii="仿宋_GB2312" w:hAnsi="仿宋_GB2312" w:eastAsia="仿宋_GB2312"/>
          <w:color w:val="000000"/>
          <w:kern w:val="2"/>
          <w:sz w:val="32"/>
          <w:szCs w:val="24"/>
          <w:lang w:val="en-US" w:eastAsia="zh-CN"/>
        </w:rPr>
        <w:t>6.49</w:t>
      </w:r>
      <w:r>
        <w:rPr>
          <w:rFonts w:hint="eastAsia" w:ascii="仿宋_GB2312" w:hAnsi="仿宋_GB2312" w:eastAsia="仿宋_GB2312"/>
          <w:color w:val="000000"/>
          <w:kern w:val="2"/>
          <w:sz w:val="32"/>
          <w:szCs w:val="24"/>
          <w:lang w:val="en-US"/>
        </w:rPr>
        <w:t>万元，下降</w:t>
      </w:r>
      <w:r>
        <w:rPr>
          <w:rFonts w:hint="eastAsia" w:ascii="仿宋_GB2312" w:hAnsi="仿宋_GB2312" w:eastAsia="仿宋_GB2312"/>
          <w:color w:val="000000"/>
          <w:kern w:val="2"/>
          <w:sz w:val="32"/>
          <w:szCs w:val="24"/>
          <w:lang w:val="en-US" w:eastAsia="zh-CN"/>
        </w:rPr>
        <w:t>3.2</w:t>
      </w:r>
      <w:r>
        <w:rPr>
          <w:rFonts w:hint="eastAsia" w:ascii="仿宋_GB2312" w:hAnsi="仿宋_GB2312" w:eastAsia="仿宋_GB2312"/>
          <w:color w:val="000000"/>
          <w:kern w:val="2"/>
          <w:sz w:val="32"/>
          <w:szCs w:val="24"/>
          <w:lang w:val="en-US"/>
        </w:rPr>
        <w:t>%。主要原因是</w:t>
      </w:r>
      <w:r>
        <w:rPr>
          <w:rFonts w:hint="eastAsia" w:ascii="仿宋_GB2312" w:hAnsi="仿宋_GB2312" w:eastAsia="仿宋_GB2312"/>
          <w:color w:val="000000"/>
          <w:kern w:val="2"/>
          <w:sz w:val="32"/>
          <w:szCs w:val="24"/>
          <w:lang w:val="en-US" w:eastAsia="zh-CN"/>
        </w:rPr>
        <w:t>厉行节俭压缩</w:t>
      </w:r>
      <w:r>
        <w:rPr>
          <w:rFonts w:hint="eastAsia" w:ascii="仿宋_GB2312" w:hAnsi="仿宋_GB2312" w:eastAsia="仿宋_GB2312"/>
          <w:color w:val="000000"/>
          <w:kern w:val="2"/>
          <w:sz w:val="32"/>
          <w:szCs w:val="24"/>
          <w:lang w:val="en-US"/>
        </w:rPr>
        <w:t>机关运行</w:t>
      </w:r>
      <w:r>
        <w:rPr>
          <w:rFonts w:hint="eastAsia" w:ascii="仿宋_GB2312" w:hAnsi="仿宋_GB2312" w:eastAsia="仿宋_GB2312"/>
          <w:color w:val="000000"/>
          <w:kern w:val="2"/>
          <w:sz w:val="32"/>
          <w:szCs w:val="24"/>
          <w:lang w:val="en-US" w:eastAsia="zh-CN"/>
        </w:rPr>
        <w:t>经费</w:t>
      </w:r>
      <w:r>
        <w:rPr>
          <w:rFonts w:hint="eastAsia" w:ascii="仿宋_GB2312" w:hAnsi="仿宋_GB2312" w:eastAsia="仿宋_GB2312"/>
          <w:color w:val="000000"/>
          <w:kern w:val="2"/>
          <w:sz w:val="32"/>
          <w:szCs w:val="24"/>
          <w:lang w:val="en-US"/>
        </w:rPr>
        <w:t>。</w:t>
      </w:r>
    </w:p>
    <w:p w14:paraId="6E9A068F">
      <w:pPr>
        <w:overflowPunct w:val="0"/>
        <w:topLinePunct/>
        <w:spacing w:beforeLines="0" w:afterLines="0" w:line="576" w:lineRule="exact"/>
        <w:ind w:firstLine="641" w:firstLineChars="200"/>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b/>
          <w:color w:val="000000"/>
          <w:kern w:val="2"/>
          <w:sz w:val="32"/>
          <w:szCs w:val="24"/>
          <w:lang w:val="en-US"/>
        </w:rPr>
        <w:t>（二）政府采购支出情况</w:t>
      </w:r>
    </w:p>
    <w:p w14:paraId="2838F465">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w:t>
      </w:r>
      <w:r>
        <w:rPr>
          <w:rFonts w:hint="eastAsia" w:ascii="仿宋_GB2312" w:hAnsi="仿宋_GB2312" w:eastAsia="仿宋_GB2312" w:cs="仿宋_GB2312"/>
          <w:sz w:val="32"/>
          <w:szCs w:val="32"/>
        </w:rPr>
        <w:t>广元市昭化区农业农村局</w:t>
      </w:r>
      <w:r>
        <w:rPr>
          <w:rFonts w:hint="eastAsia" w:ascii="仿宋_GB2312" w:hAnsi="仿宋_GB2312" w:eastAsia="仿宋_GB2312"/>
          <w:color w:val="000000"/>
          <w:kern w:val="2"/>
          <w:sz w:val="32"/>
          <w:szCs w:val="24"/>
          <w:lang w:val="en-US"/>
        </w:rPr>
        <w:t>政府采购支出总额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万元，其中：政府采购货物支出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万元、政府采购工程支出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万元、政府采购服务支出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万元。授予中小企业合同金额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万元，占政府采购支出总额的</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%，其中：授予小微企业合同金额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万元，占授予中小企业合同金额的</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%；货物采购授予中小企业合同金额占货物支出金额的</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%，工程采购授予中小企业合同金额占工程支出金额的</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%，服务采购授予中小企业合同金额占服务支出金额的</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w:t>
      </w:r>
    </w:p>
    <w:p w14:paraId="799F64BB">
      <w:pPr>
        <w:overflowPunct w:val="0"/>
        <w:topLinePunct/>
        <w:spacing w:beforeLines="0" w:afterLines="0" w:line="576" w:lineRule="exact"/>
        <w:ind w:firstLine="641" w:firstLineChars="200"/>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b/>
          <w:color w:val="000000"/>
          <w:kern w:val="2"/>
          <w:sz w:val="32"/>
          <w:szCs w:val="24"/>
          <w:lang w:val="en-US"/>
        </w:rPr>
        <w:t>（三）国有资产占有使用情况</w:t>
      </w:r>
    </w:p>
    <w:p w14:paraId="4E86F0D0">
      <w:pPr>
        <w:overflowPunct w:val="0"/>
        <w:topLinePunct/>
        <w:spacing w:beforeLines="0" w:afterLines="0" w:line="576" w:lineRule="exact"/>
        <w:ind w:firstLine="640" w:firstLineChars="200"/>
        <w:jc w:val="both"/>
        <w:rPr>
          <w:rFonts w:hint="eastAsia" w:ascii="仿宋_GB2312" w:hAnsi="仿宋_GB2312" w:eastAsia="仿宋_GB2312"/>
          <w:b/>
          <w:color w:val="FF0000"/>
          <w:kern w:val="2"/>
          <w:sz w:val="32"/>
          <w:szCs w:val="24"/>
          <w:lang w:val="en-US"/>
        </w:rPr>
      </w:pPr>
      <w:r>
        <w:rPr>
          <w:rFonts w:hint="eastAsia" w:ascii="仿宋_GB2312" w:hAnsi="仿宋_GB2312" w:eastAsia="仿宋_GB2312"/>
          <w:color w:val="000000"/>
          <w:kern w:val="2"/>
          <w:sz w:val="32"/>
          <w:szCs w:val="24"/>
          <w:lang w:val="en-US"/>
        </w:rPr>
        <w:t>截至2024年12月31日，</w:t>
      </w:r>
      <w:r>
        <w:rPr>
          <w:rFonts w:hint="eastAsia" w:ascii="仿宋_GB2312" w:hAnsi="仿宋_GB2312" w:eastAsia="仿宋_GB2312" w:cs="仿宋_GB2312"/>
          <w:sz w:val="32"/>
          <w:szCs w:val="32"/>
        </w:rPr>
        <w:t>广元市昭化区农业农村局</w:t>
      </w:r>
      <w:r>
        <w:rPr>
          <w:rFonts w:hint="eastAsia" w:ascii="仿宋_GB2312" w:hAnsi="仿宋_GB2312" w:eastAsia="仿宋_GB2312"/>
          <w:color w:val="000000"/>
          <w:kern w:val="2"/>
          <w:sz w:val="32"/>
          <w:szCs w:val="24"/>
          <w:lang w:val="en-US"/>
        </w:rPr>
        <w:t>共有车辆</w:t>
      </w:r>
      <w:r>
        <w:rPr>
          <w:rFonts w:hint="eastAsia" w:ascii="仿宋_GB2312" w:hAnsi="仿宋_GB2312" w:eastAsia="仿宋_GB2312"/>
          <w:color w:val="000000"/>
          <w:kern w:val="2"/>
          <w:sz w:val="32"/>
          <w:szCs w:val="24"/>
          <w:lang w:val="en-US" w:eastAsia="zh-CN"/>
        </w:rPr>
        <w:t>1</w:t>
      </w:r>
      <w:r>
        <w:rPr>
          <w:rFonts w:hint="eastAsia" w:ascii="仿宋_GB2312" w:hAnsi="仿宋_GB2312" w:eastAsia="仿宋_GB2312"/>
          <w:color w:val="000000"/>
          <w:kern w:val="2"/>
          <w:sz w:val="32"/>
          <w:szCs w:val="24"/>
          <w:lang w:val="en-US"/>
        </w:rPr>
        <w:t>辆，其中：主要负责人用车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辆、机要通信用车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辆、应急保障用车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辆、其他用车</w:t>
      </w:r>
      <w:r>
        <w:rPr>
          <w:rFonts w:hint="eastAsia" w:ascii="仿宋_GB2312" w:hAnsi="仿宋_GB2312" w:eastAsia="仿宋_GB2312"/>
          <w:color w:val="000000"/>
          <w:kern w:val="2"/>
          <w:sz w:val="32"/>
          <w:szCs w:val="24"/>
          <w:lang w:val="en-US" w:eastAsia="zh-CN"/>
        </w:rPr>
        <w:t>1</w:t>
      </w:r>
      <w:r>
        <w:rPr>
          <w:rFonts w:hint="eastAsia" w:ascii="仿宋_GB2312" w:hAnsi="仿宋_GB2312" w:eastAsia="仿宋_GB2312"/>
          <w:color w:val="000000"/>
          <w:kern w:val="2"/>
          <w:sz w:val="32"/>
          <w:szCs w:val="24"/>
          <w:lang w:val="en-US"/>
        </w:rPr>
        <w:t>辆，其他用车主要是用于</w:t>
      </w:r>
      <w:r>
        <w:rPr>
          <w:rFonts w:hint="default" w:ascii="Times New Roman" w:hAnsi="Times New Roman" w:eastAsia="仿宋_GB2312" w:cs="Times New Roman"/>
          <w:b w:val="0"/>
          <w:bCs w:val="0"/>
          <w:color w:val="000000"/>
          <w:kern w:val="2"/>
          <w:sz w:val="32"/>
          <w:szCs w:val="24"/>
        </w:rPr>
        <w:t>执法执勤用车</w:t>
      </w:r>
      <w:r>
        <w:rPr>
          <w:rFonts w:hint="eastAsia" w:ascii="仿宋_GB2312" w:hAnsi="仿宋_GB2312" w:eastAsia="仿宋_GB2312"/>
          <w:color w:val="000000"/>
          <w:kern w:val="2"/>
          <w:sz w:val="32"/>
          <w:szCs w:val="24"/>
          <w:lang w:val="en-US"/>
        </w:rPr>
        <w:t>。单价100万元（含）以上设备（不含车辆）</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台（套）。</w:t>
      </w:r>
      <w:r>
        <w:rPr>
          <w:rFonts w:hint="eastAsia" w:ascii="仿宋_GB2312" w:hAnsi="仿宋_GB2312" w:eastAsia="仿宋_GB2312"/>
          <w:color w:val="000000"/>
          <w:kern w:val="2"/>
          <w:sz w:val="32"/>
          <w:szCs w:val="24"/>
          <w:lang w:val="en-US" w:eastAsia="zh-CN"/>
        </w:rPr>
        <w:t xml:space="preserve"> </w:t>
      </w:r>
    </w:p>
    <w:p w14:paraId="59447BF0">
      <w:pPr>
        <w:overflowPunct w:val="0"/>
        <w:topLinePunct/>
        <w:spacing w:beforeLines="0" w:afterLines="0" w:line="576" w:lineRule="exact"/>
        <w:ind w:firstLine="641" w:firstLineChars="200"/>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b/>
          <w:color w:val="000000"/>
          <w:kern w:val="2"/>
          <w:sz w:val="32"/>
          <w:szCs w:val="24"/>
          <w:lang w:val="en-US"/>
        </w:rPr>
        <w:t>（四）预算绩效管理情况。</w:t>
      </w:r>
    </w:p>
    <w:p w14:paraId="016C012A">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ascii="仿宋_GB2312" w:hAnsi="仿宋_GB2312" w:eastAsia="仿宋_GB2312" w:cs="仿宋_GB2312"/>
          <w:sz w:val="32"/>
          <w:szCs w:val="32"/>
        </w:rPr>
        <w:t>广元市昭化区农业农村局</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ascii="仿宋_GB2312" w:hAnsi="仿宋_GB2312" w:eastAsia="仿宋_GB2312"/>
          <w:color w:val="auto"/>
          <w:kern w:val="2"/>
          <w:sz w:val="32"/>
          <w:szCs w:val="24"/>
          <w:lang w:val="en-US" w:eastAsia="zh-CN"/>
        </w:rPr>
        <w:t>政策性农业保险、</w:t>
      </w:r>
      <w:r>
        <w:rPr>
          <w:rFonts w:hint="eastAsia" w:ascii="仿宋_GB2312" w:hAnsi="仿宋_GB2312" w:eastAsia="仿宋_GB2312" w:cs="Times New Roman"/>
          <w:color w:val="auto"/>
          <w:kern w:val="2"/>
          <w:sz w:val="32"/>
          <w:szCs w:val="24"/>
          <w:lang w:val="en-US" w:eastAsia="zh-CN"/>
        </w:rPr>
        <w:t>2024年昭化区稻谷补贴</w:t>
      </w:r>
      <w:r>
        <w:rPr>
          <w:rFonts w:hint="eastAsia" w:ascii="仿宋_GB2312" w:hAnsi="仿宋_GB2312" w:eastAsia="仿宋_GB2312"/>
          <w:color w:val="auto"/>
          <w:kern w:val="2"/>
          <w:sz w:val="32"/>
          <w:szCs w:val="24"/>
          <w:lang w:val="en-US"/>
        </w:rPr>
        <w:t>等</w:t>
      </w:r>
      <w:r>
        <w:rPr>
          <w:rFonts w:hint="eastAsia" w:ascii="仿宋_GB2312" w:hAnsi="仿宋_GB2312" w:eastAsia="仿宋_GB2312"/>
          <w:color w:val="auto"/>
          <w:kern w:val="2"/>
          <w:sz w:val="32"/>
          <w:szCs w:val="24"/>
          <w:lang w:val="en-US" w:eastAsia="zh-CN"/>
        </w:rPr>
        <w:t>84</w:t>
      </w:r>
      <w:r>
        <w:rPr>
          <w:rFonts w:hint="eastAsia" w:ascii="仿宋_GB2312" w:hAnsi="仿宋_GB2312" w:eastAsia="仿宋_GB2312"/>
          <w:color w:val="auto"/>
          <w:kern w:val="2"/>
          <w:sz w:val="32"/>
          <w:szCs w:val="24"/>
          <w:lang w:val="en-US"/>
        </w:rPr>
        <w:t>个项目开展了预算事前绩效评估，对</w:t>
      </w:r>
      <w:r>
        <w:rPr>
          <w:rFonts w:hint="eastAsia" w:ascii="仿宋_GB2312" w:hAnsi="仿宋_GB2312" w:eastAsia="仿宋_GB2312"/>
          <w:color w:val="auto"/>
          <w:kern w:val="2"/>
          <w:sz w:val="32"/>
          <w:szCs w:val="24"/>
          <w:lang w:val="en-US" w:eastAsia="zh-CN"/>
        </w:rPr>
        <w:t>84</w:t>
      </w:r>
      <w:r>
        <w:rPr>
          <w:rFonts w:hint="eastAsia" w:ascii="仿宋_GB2312" w:hAnsi="仿宋_GB2312" w:eastAsia="仿宋_GB2312"/>
          <w:color w:val="auto"/>
          <w:kern w:val="2"/>
          <w:sz w:val="32"/>
          <w:szCs w:val="24"/>
          <w:lang w:val="en-US"/>
        </w:rPr>
        <w:t>个项目编制了绩效目标，预算执行过程中，选取</w:t>
      </w:r>
      <w:r>
        <w:rPr>
          <w:rFonts w:hint="eastAsia" w:ascii="仿宋_GB2312" w:hAnsi="仿宋_GB2312" w:eastAsia="仿宋_GB2312"/>
          <w:color w:val="auto"/>
          <w:kern w:val="2"/>
          <w:sz w:val="32"/>
          <w:szCs w:val="24"/>
          <w:lang w:val="en-US" w:eastAsia="zh-CN"/>
        </w:rPr>
        <w:t>2</w:t>
      </w:r>
      <w:r>
        <w:rPr>
          <w:rFonts w:hint="eastAsia" w:ascii="仿宋_GB2312" w:hAnsi="仿宋_GB2312" w:eastAsia="仿宋_GB2312"/>
          <w:color w:val="auto"/>
          <w:kern w:val="2"/>
          <w:sz w:val="32"/>
          <w:szCs w:val="24"/>
          <w:lang w:val="en-US"/>
        </w:rPr>
        <w:t>个项目开展绩效监控</w:t>
      </w:r>
      <w:r>
        <w:rPr>
          <w:rFonts w:hint="eastAsia" w:ascii="Times New Roman" w:hAnsi="Times New Roman" w:eastAsia="仿宋_GB2312" w:cs="仿宋_GB2312"/>
          <w:color w:val="auto"/>
          <w:kern w:val="2"/>
          <w:sz w:val="32"/>
          <w:szCs w:val="32"/>
          <w:highlight w:val="none"/>
          <w:lang w:val="en-US" w:eastAsia="zh-CN" w:bidi="ar-SA"/>
        </w:rPr>
        <w:t>。</w:t>
      </w:r>
    </w:p>
    <w:p w14:paraId="4047BD30">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b/>
          <w:bCs/>
          <w:color w:val="auto"/>
          <w:kern w:val="2"/>
          <w:sz w:val="32"/>
          <w:szCs w:val="32"/>
          <w:highlight w:val="yellow"/>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组织对2024年度一般公共预算、债券资金等全面开展绩效自评，形成</w:t>
      </w:r>
      <w:r>
        <w:rPr>
          <w:rFonts w:hint="eastAsia" w:ascii="仿宋_GB2312" w:hAnsi="仿宋_GB2312" w:eastAsia="仿宋_GB2312" w:cs="仿宋_GB2312"/>
          <w:sz w:val="32"/>
          <w:szCs w:val="32"/>
        </w:rPr>
        <w:t>广元市昭化区农业农村局</w:t>
      </w:r>
      <w:r>
        <w:rPr>
          <w:rFonts w:hint="eastAsia" w:ascii="仿宋_GB2312" w:hAnsi="仿宋_GB2312" w:eastAsia="仿宋_GB2312"/>
          <w:color w:val="auto"/>
          <w:kern w:val="2"/>
          <w:sz w:val="32"/>
          <w:szCs w:val="24"/>
          <w:lang w:val="en-US" w:eastAsia="zh-CN"/>
        </w:rPr>
        <w:t>部门整体（含部门预算项目）绩效自评报告、政策性农业保险、</w:t>
      </w:r>
      <w:r>
        <w:rPr>
          <w:rFonts w:hint="eastAsia" w:ascii="仿宋_GB2312" w:hAnsi="仿宋_GB2312" w:eastAsia="仿宋_GB2312" w:cs="Times New Roman"/>
          <w:color w:val="auto"/>
          <w:kern w:val="2"/>
          <w:sz w:val="32"/>
          <w:szCs w:val="24"/>
          <w:lang w:val="en-US" w:eastAsia="zh-CN"/>
        </w:rPr>
        <w:t>2024年昭化区稻谷补贴等专项预算项目绩效自评报告，其中，</w:t>
      </w:r>
      <w:r>
        <w:rPr>
          <w:rFonts w:hint="eastAsia" w:ascii="仿宋_GB2312" w:hAnsi="仿宋_GB2312" w:eastAsia="仿宋_GB2312" w:cs="仿宋_GB2312"/>
          <w:sz w:val="32"/>
          <w:szCs w:val="32"/>
        </w:rPr>
        <w:t>广元市昭化区农业农村局</w:t>
      </w:r>
      <w:r>
        <w:rPr>
          <w:rFonts w:hint="eastAsia" w:ascii="仿宋_GB2312" w:hAnsi="仿宋_GB2312" w:eastAsia="仿宋_GB2312"/>
          <w:color w:val="auto"/>
          <w:kern w:val="2"/>
          <w:sz w:val="32"/>
          <w:szCs w:val="24"/>
          <w:lang w:val="en-US" w:eastAsia="zh-CN"/>
        </w:rPr>
        <w:t>部门整体（含部门预算项目）绩效自评得分为95分，绩效自评综述按照</w:t>
      </w:r>
      <w:r>
        <w:rPr>
          <w:rFonts w:hint="eastAsia" w:ascii="仿宋_GB2312" w:hAnsi="仿宋_GB2312" w:eastAsia="仿宋_GB2312" w:cs="仿宋_GB2312"/>
          <w:sz w:val="32"/>
          <w:szCs w:val="32"/>
          <w:lang w:val="en-US" w:eastAsia="zh-CN"/>
        </w:rPr>
        <w:t>预算绩效管理和《广元市昭化区人民政府办公室关于印发&lt;广元市昭化区财政支出事后绩效评价管理办法&gt;的通知》（昭府办函〔2022〕37号)和（昭财发〔2025〕7号）的附件《部门整体支出绩效评价体系》要求，本部门对2024年整体支出的人员类、运转类、特定目标类项目开展绩效自评，自评结果为95分</w:t>
      </w:r>
      <w:r>
        <w:rPr>
          <w:rFonts w:hint="eastAsia" w:ascii="仿宋_GB2312" w:hAnsi="仿宋_GB2312" w:eastAsia="仿宋_GB2312"/>
          <w:color w:val="auto"/>
          <w:kern w:val="2"/>
          <w:sz w:val="32"/>
          <w:szCs w:val="24"/>
          <w:lang w:val="en-US" w:eastAsia="zh-CN"/>
        </w:rPr>
        <w:t>；政策性农业保险专项预算项目绩效自评得分为100分，绩效自评综述通过对区农业农村局政策性农业保险指标绩效评价，表明该项目立项依据充分，目标明确，实施过程规范，资金使用合理，取得了显著的经济效益、社会效益和生态效益，达到了预期的绩效目标。同时，项目实施过程中也存在一些问题和不足，需要在今后的工作中加以改进和完善。总体来看，该项目绩效评价结果为优秀，建议继续加大项目支持力度，为促进区域高质量发展作出更大贡献；2024年昭化区稻谷补贴专项预算项目绩效自评得分为100分，绩效自评综述我区稻谷补贴项目实施情况良好，达到了预期的绩效目标。通过补贴政策的实施，有效提高了稻谷种植户的积极性，稳定了稻谷种植面积和产量，增加了农户收入，促进了农业产业发展和农村社会稳定。但在项目实施过程中，也存在一些问题和不足，需要在今后的工作中采取有效措施加以改进和完善。我们将以此次绩效自评工作为契机，总结经验教训，不断优化工作方法和流程，提高稻谷补贴工作的管理水平和服务质量，确保稻谷补贴政策更好地发挥作用，为保障国家粮食安全和促进农业农村发展做出更大的贡献</w:t>
      </w:r>
      <w:r>
        <w:rPr>
          <w:rFonts w:hint="eastAsia" w:ascii="Times New Roman" w:hAnsi="Times New Roman" w:eastAsia="仿宋_GB2312" w:cs="仿宋_GB2312"/>
          <w:color w:val="auto"/>
          <w:kern w:val="2"/>
          <w:sz w:val="32"/>
          <w:szCs w:val="32"/>
          <w:highlight w:val="none"/>
          <w:lang w:val="en-US" w:eastAsia="zh-CN" w:bidi="ar-SA"/>
        </w:rPr>
        <w:t>。绩效自评报告详见附件。</w:t>
      </w:r>
    </w:p>
    <w:p w14:paraId="21A862D7">
      <w:pPr>
        <w:overflowPunct w:val="0"/>
        <w:topLinePunct/>
        <w:spacing w:beforeLines="0" w:afterLines="0" w:line="576" w:lineRule="exact"/>
        <w:ind w:firstLine="640" w:firstLineChars="200"/>
        <w:jc w:val="both"/>
        <w:rPr>
          <w:rFonts w:hint="eastAsia" w:ascii="仿宋_GB2312" w:hAnsi="仿宋_GB2312" w:eastAsia="仿宋_GB2312"/>
          <w:color w:val="auto"/>
          <w:kern w:val="2"/>
          <w:sz w:val="32"/>
          <w:szCs w:val="24"/>
          <w:lang w:val="en-US" w:eastAsia="zh-CN"/>
        </w:rPr>
      </w:pPr>
    </w:p>
    <w:p w14:paraId="7D07FCB9">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jc w:val="center"/>
        <w:textAlignment w:val="auto"/>
        <w:outlineLvl w:val="0"/>
        <w:rPr>
          <w:rFonts w:hint="eastAsia" w:ascii="方正小标宋简体" w:hAnsi="方正小标宋简体" w:eastAsia="方正小标宋简体" w:cs="方正小标宋简体"/>
          <w:color w:val="auto"/>
          <w:kern w:val="44"/>
          <w:sz w:val="44"/>
          <w:szCs w:val="24"/>
          <w:lang w:val="en-US"/>
        </w:rPr>
      </w:pPr>
      <w:r>
        <w:br w:type="page"/>
      </w:r>
      <w:bookmarkStart w:id="14" w:name="_Toc30449"/>
      <w:r>
        <w:rPr>
          <w:rFonts w:hint="eastAsia" w:ascii="方正小标宋简体" w:hAnsi="方正小标宋简体" w:eastAsia="方正小标宋简体" w:cs="方正小标宋简体"/>
          <w:color w:val="auto"/>
          <w:kern w:val="44"/>
          <w:sz w:val="44"/>
          <w:szCs w:val="24"/>
          <w:lang w:val="en-US"/>
        </w:rPr>
        <w:t>第三部分</w:t>
      </w:r>
      <w:r>
        <w:rPr>
          <w:rFonts w:hint="eastAsia" w:ascii="方正小标宋简体" w:hAnsi="方正小标宋简体" w:eastAsia="方正小标宋简体" w:cs="方正小标宋简体"/>
          <w:color w:val="auto"/>
          <w:kern w:val="44"/>
          <w:sz w:val="44"/>
          <w:szCs w:val="24"/>
          <w:lang w:val="en-US" w:eastAsia="zh-CN"/>
        </w:rPr>
        <w:t xml:space="preserve">  </w:t>
      </w:r>
      <w:r>
        <w:rPr>
          <w:rFonts w:hint="eastAsia" w:ascii="方正小标宋简体" w:hAnsi="方正小标宋简体" w:eastAsia="方正小标宋简体" w:cs="方正小标宋简体"/>
          <w:color w:val="auto"/>
          <w:kern w:val="44"/>
          <w:sz w:val="44"/>
          <w:szCs w:val="24"/>
          <w:lang w:val="en-US"/>
        </w:rPr>
        <w:t>名词解释</w:t>
      </w:r>
      <w:bookmarkEnd w:id="14"/>
    </w:p>
    <w:p w14:paraId="031ECD6B">
      <w:pPr>
        <w:pStyle w:val="9"/>
        <w:overflowPunct w:val="0"/>
        <w:topLinePunct/>
        <w:spacing w:afterLines="0"/>
        <w:rPr>
          <w:rFonts w:hint="eastAsia"/>
          <w:sz w:val="30"/>
          <w:szCs w:val="24"/>
          <w:lang w:val="en-US"/>
        </w:rPr>
      </w:pPr>
    </w:p>
    <w:p w14:paraId="0C7D5FB4">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一、财政拨款收入：指单位从同级财政部门取得的财政预算资金。</w:t>
      </w:r>
    </w:p>
    <w:p w14:paraId="67954BF2">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二、事业收入：指事业单位开展专业业务活动及辅助活动取得的收入。</w:t>
      </w:r>
    </w:p>
    <w:p w14:paraId="6F16885E">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三、经营收入：指事业单位在专业业务活动及其辅助活动之外开展非独立核算经营活动取得的收入。</w:t>
      </w:r>
    </w:p>
    <w:p w14:paraId="20A45FB9">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 xml:space="preserve">四、其他收入：指单位取得的除上述收入以外的各项收入。 </w:t>
      </w:r>
    </w:p>
    <w:p w14:paraId="488D4DD7">
      <w:pPr>
        <w:pStyle w:val="14"/>
        <w:overflowPunct w:val="0"/>
        <w:topLinePunct/>
        <w:spacing w:beforeLines="0" w:afterLines="0" w:line="576" w:lineRule="exact"/>
        <w:ind w:firstLine="640" w:firstLineChars="200"/>
        <w:jc w:val="both"/>
        <w:rPr>
          <w:rFonts w:hint="eastAsia" w:ascii="仿宋_GB2312" w:hAnsi="仿宋_GB2312" w:eastAsia="仿宋_GB2312"/>
          <w:color w:val="auto"/>
          <w:kern w:val="2"/>
          <w:sz w:val="32"/>
          <w:szCs w:val="24"/>
        </w:rPr>
      </w:pPr>
      <w:r>
        <w:rPr>
          <w:rFonts w:hint="eastAsia" w:ascii="仿宋_GB2312" w:hAnsi="仿宋_GB2312" w:eastAsia="仿宋_GB2312"/>
          <w:color w:val="auto"/>
          <w:kern w:val="2"/>
          <w:sz w:val="32"/>
          <w:szCs w:val="24"/>
        </w:rPr>
        <w:t>五、</w:t>
      </w:r>
      <w:r>
        <w:rPr>
          <w:rFonts w:hint="eastAsia" w:ascii="仿宋_GB2312" w:hAnsi="华文中宋" w:eastAsia="仿宋_GB2312"/>
          <w:sz w:val="32"/>
          <w:szCs w:val="24"/>
        </w:rPr>
        <w:t>使用非财政拨款结余（含专用结余）</w:t>
      </w:r>
      <w:r>
        <w:rPr>
          <w:rFonts w:hint="eastAsia" w:ascii="仿宋_GB2312" w:eastAsia="仿宋_GB2312"/>
          <w:color w:val="auto"/>
          <w:sz w:val="32"/>
          <w:szCs w:val="24"/>
        </w:rPr>
        <w:t xml:space="preserve">：指事业单位使用以前年度积累的非财政拨款结余弥补当年收支差额的金额。 </w:t>
      </w:r>
    </w:p>
    <w:p w14:paraId="07F60BEA">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 xml:space="preserve">六、年初结转和结余：指以前年度尚未完成、结转到本年按有关规定继续使用的资金。 </w:t>
      </w:r>
    </w:p>
    <w:p w14:paraId="3CBFE294">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七、结余分配：指事业单位按照会计制度规定缴纳的所得税、提取的专用结余以及转入非财政拨款结余的金额等。</w:t>
      </w:r>
    </w:p>
    <w:p w14:paraId="3B706678">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八、年末结转和结余：指单位按有关规定结转到下年或以后年度继续使用的资金。</w:t>
      </w:r>
    </w:p>
    <w:p w14:paraId="394FB002">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九、一般公共服务支出（类）组织事务（款）其他组织事务支出（项）：指反映除上述项目以外其他用于中国共产党组织部门的事务支出。</w:t>
      </w:r>
    </w:p>
    <w:p w14:paraId="6FEB3FB4">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十、社会保障和就业支出（类）行政事业单位养老支出（款）机关事业单位基本养老保险缴费支出（项）：指</w:t>
      </w:r>
      <w:r>
        <w:rPr>
          <w:rFonts w:hint="eastAsia" w:ascii="仿宋_GB2312" w:hAnsi="仿宋_GB2312" w:eastAsia="仿宋_GB2312"/>
          <w:color w:val="000000"/>
          <w:sz w:val="32"/>
          <w:szCs w:val="24"/>
          <w:lang w:val="en-US" w:eastAsia="zh-CN"/>
        </w:rPr>
        <w:t>机关事业单位实施养老保险制度由单位缴纳的基本养老保险费支出</w:t>
      </w:r>
      <w:r>
        <w:rPr>
          <w:rFonts w:hint="eastAsia" w:ascii="仿宋_GB2312" w:hAnsi="仿宋_GB2312" w:eastAsia="仿宋_GB2312"/>
          <w:color w:val="000000"/>
          <w:kern w:val="2"/>
          <w:sz w:val="32"/>
          <w:szCs w:val="24"/>
          <w:lang w:val="en-US"/>
        </w:rPr>
        <w:t>。</w:t>
      </w:r>
    </w:p>
    <w:p w14:paraId="35166D06">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十一、社会保障和就业支出（类）行政事业单位养老支出（款）机关事业单位职业年金缴费支出（项）：指反映机关事业单位实施养老保险制度由单位实际缴纳的职业年金支出(含职业年金补记支出)。</w:t>
      </w:r>
    </w:p>
    <w:p w14:paraId="2BD6B13C">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十二、社会保障和就业支出（类）其他社会保障和就业支出（款）其他社会保障和就业支出（项）：指反映除上述项目以外其他用于社会保障和就业方面的支出。</w:t>
      </w:r>
    </w:p>
    <w:p w14:paraId="4D6E11B3">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十三、卫生健康支出（类）行政事业单位医疗（款）行政单位医疗（项）：指</w:t>
      </w:r>
      <w:r>
        <w:rPr>
          <w:rFonts w:hint="eastAsia" w:ascii="仿宋_GB2312" w:hAnsi="仿宋_GB2312" w:eastAsia="仿宋_GB2312"/>
          <w:color w:val="000000"/>
          <w:sz w:val="32"/>
          <w:szCs w:val="24"/>
          <w:lang w:val="en-US" w:eastAsia="zh-CN"/>
        </w:rPr>
        <w:t>反映财政部门安排的行政单位(包括实行公务员管理的事业单位，下同)基本医疗保险缴费经费，未参加医疗保险的行政单位的公费医疗经费，按国家规定享受离休人员、红军老战士待遇人员的医疗经费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ascii="仿宋_GB2312" w:hAnsi="仿宋_GB2312" w:eastAsia="仿宋_GB2312"/>
          <w:color w:val="000000"/>
          <w:kern w:val="2"/>
          <w:sz w:val="32"/>
          <w:szCs w:val="24"/>
          <w:lang w:val="en-US"/>
        </w:rPr>
        <w:t>。</w:t>
      </w:r>
    </w:p>
    <w:p w14:paraId="3CB79AF7">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十四、卫生健康支出（类）行政事业单位医疗（款）事业单位医疗（项）：指反映财政部门安排的事业单位基本医疗保险缴费经费，未参加医疗保险的事业单位的公费医疗经费，按国家规定享受离休人员待遇的医疗经费。</w:t>
      </w:r>
    </w:p>
    <w:p w14:paraId="0B8A12CE">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十五、节能环保支出（类）其他节能环保支出（款）其他节能环保支出（项）：指反映除上述项目以外其他用于节能环保方面的支出。</w:t>
      </w:r>
    </w:p>
    <w:p w14:paraId="1D187A8D">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十六、农林水支出（类）农业农村（款）行政运行（项）：指反映行政单位(包括实行公务员管理的事业单位)的基本支出。</w:t>
      </w:r>
    </w:p>
    <w:p w14:paraId="694B99A4">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十七、农林水支出（类）农业农村（款）事业运行（项）：指反映用于农业事业单位基本支出，事业单位设施、系统运行与资产维护等方面的支出。</w:t>
      </w:r>
    </w:p>
    <w:p w14:paraId="04C961A7">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十八、农林水支出（类）农业农村（款）病虫害控制（项）：指反映用于病虫鼠害及疫情监测、预报、预防、控制、检疫、防疫所需的仪器、设施、药物、疫苗、种苗，疫畜(禽、鱼、植物)防治、扑杀补偿及劳务补助、菌(毒)种保藏及动植物及其产品检疫、检测等方面的支出。</w:t>
      </w:r>
    </w:p>
    <w:p w14:paraId="3860B211">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十九、农林水支出（类）农业农村（款）防灾救灾（项）：指反映对农业生产因遭受自然、生物灾害损失给予的补助，促进农业防灾增产措施补助，海难救助补助，因其他灾害导致农牧渔业生产者损失给予的补助。</w:t>
      </w:r>
    </w:p>
    <w:p w14:paraId="25F2ADF5">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二十、农林水支出（类）农业农村（款）稳定农民收入补贴（项）：指反映用于耕地地力保护补贴以及为稳定增加农民收入给予的补贴。</w:t>
      </w:r>
    </w:p>
    <w:p w14:paraId="666ADF6D">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二十一、农林水支出（类）农业农村（款）农业生产发展（项）：指反映用于粮油生产保障、适度规模经营、农机购置与应用补贴、优势特色主导产业发展、畜牧水产发展、农村一二三产业融合等方面的支出。</w:t>
      </w:r>
    </w:p>
    <w:p w14:paraId="06A5E1ED">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二十二、农林水支出（类）农业农村（款）耕地建设与利用（项）：指反映用于农田建设和田间水利相关工程建设、盐碱地综合利用、黑土地保护、耕地轮作休耕、耕地质量提升等方面的支出。</w:t>
      </w:r>
    </w:p>
    <w:p w14:paraId="607892C0">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二十三、农林水支出（类）农业农村（款）其他农业农村支出（项）：指反映除上述项目以外其他用于农业农村方面的支出。</w:t>
      </w:r>
    </w:p>
    <w:p w14:paraId="48F461B0">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二十四、农林水支出（类）巩固脱贫攻坚成果衔接乡村振兴（款）其他巩固脱贫攻坚成果衔接乡村振兴支出（项）：指反映除上述项目以外其他用于巩固拓展脱贫攻坚成果同乡村振兴有效衔接方面的支出。</w:t>
      </w:r>
    </w:p>
    <w:p w14:paraId="52CB5949">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二十五、农林水支出（类）农村综合改革（款）对村级公益事业建设的补助（项）：指反映农村税费改革后对村级公益事业建设的补助支出。</w:t>
      </w:r>
    </w:p>
    <w:p w14:paraId="47FD0271">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二十六、农林水支出（类）农村综合改革（款）对村集体经济组织的补助（项）：指反映农村税费改革后对村集体经济组织的补助支出。</w:t>
      </w:r>
    </w:p>
    <w:p w14:paraId="1D49714D">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二十</w:t>
      </w:r>
      <w:r>
        <w:rPr>
          <w:rFonts w:hint="eastAsia" w:ascii="仿宋_GB2312" w:hAnsi="仿宋_GB2312" w:eastAsia="仿宋_GB2312"/>
          <w:color w:val="000000"/>
          <w:kern w:val="2"/>
          <w:sz w:val="32"/>
          <w:szCs w:val="24"/>
          <w:lang w:val="en-US" w:eastAsia="zh-CN"/>
        </w:rPr>
        <w:t>七</w:t>
      </w:r>
      <w:r>
        <w:rPr>
          <w:rFonts w:hint="eastAsia" w:ascii="仿宋_GB2312" w:hAnsi="仿宋_GB2312" w:eastAsia="仿宋_GB2312"/>
          <w:color w:val="000000"/>
          <w:kern w:val="2"/>
          <w:sz w:val="32"/>
          <w:szCs w:val="24"/>
          <w:lang w:val="en-US"/>
        </w:rPr>
        <w:t>、农林水支出（类）农村综合改革（款）农村综合改革示范试点补助（项）指反映各级财政对农村综合改革示范试点、新型农业社会化服务体系建设等补助支出。</w:t>
      </w:r>
    </w:p>
    <w:p w14:paraId="095EBAB4">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二十</w:t>
      </w:r>
      <w:r>
        <w:rPr>
          <w:rFonts w:hint="eastAsia" w:ascii="仿宋_GB2312" w:hAnsi="仿宋_GB2312" w:eastAsia="仿宋_GB2312"/>
          <w:color w:val="000000"/>
          <w:kern w:val="2"/>
          <w:sz w:val="32"/>
          <w:szCs w:val="24"/>
          <w:lang w:val="en-US" w:eastAsia="zh-CN"/>
        </w:rPr>
        <w:t>八</w:t>
      </w:r>
      <w:r>
        <w:rPr>
          <w:rFonts w:hint="eastAsia" w:ascii="仿宋_GB2312" w:hAnsi="仿宋_GB2312" w:eastAsia="仿宋_GB2312"/>
          <w:color w:val="000000"/>
          <w:kern w:val="2"/>
          <w:sz w:val="32"/>
          <w:szCs w:val="24"/>
          <w:lang w:val="en-US"/>
        </w:rPr>
        <w:t>、农林水支出（类）普惠金融发展支出（款）农业保险保费补贴（项）指反映对农民或农业生产经营组织投保农业保险给予的补贴。</w:t>
      </w:r>
    </w:p>
    <w:p w14:paraId="2F5538FD">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二十</w:t>
      </w:r>
      <w:r>
        <w:rPr>
          <w:rFonts w:hint="eastAsia" w:ascii="仿宋_GB2312" w:hAnsi="仿宋_GB2312" w:eastAsia="仿宋_GB2312"/>
          <w:color w:val="000000"/>
          <w:kern w:val="2"/>
          <w:sz w:val="32"/>
          <w:szCs w:val="24"/>
          <w:lang w:val="en-US" w:eastAsia="zh-CN"/>
        </w:rPr>
        <w:t>九</w:t>
      </w:r>
      <w:r>
        <w:rPr>
          <w:rFonts w:hint="eastAsia" w:ascii="仿宋_GB2312" w:hAnsi="仿宋_GB2312" w:eastAsia="仿宋_GB2312"/>
          <w:color w:val="000000"/>
          <w:kern w:val="2"/>
          <w:sz w:val="32"/>
          <w:szCs w:val="24"/>
          <w:lang w:val="en-US"/>
        </w:rPr>
        <w:t>、农林水支出（类）目标价格补贴（款）其他目标价格补贴（项）指反映除上述项目以外的其他农产品目标价格补贴支出。</w:t>
      </w:r>
    </w:p>
    <w:p w14:paraId="2F7B49D4">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eastAsia="zh-CN"/>
        </w:rPr>
        <w:t>三十</w:t>
      </w:r>
      <w:r>
        <w:rPr>
          <w:rFonts w:hint="eastAsia" w:ascii="仿宋_GB2312" w:hAnsi="仿宋_GB2312" w:eastAsia="仿宋_GB2312"/>
          <w:color w:val="000000"/>
          <w:kern w:val="2"/>
          <w:sz w:val="32"/>
          <w:szCs w:val="24"/>
          <w:lang w:val="en-US"/>
        </w:rPr>
        <w:t>、农林水支出（类）其他农林水支出（款）其他农林水支出（项）指反映除化解债务支出以外其他用于农林水方面的支出。</w:t>
      </w:r>
    </w:p>
    <w:p w14:paraId="528D52D4">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eastAsia="zh-CN"/>
        </w:rPr>
        <w:t>三十一</w:t>
      </w:r>
      <w:r>
        <w:rPr>
          <w:rFonts w:hint="eastAsia" w:ascii="仿宋_GB2312" w:hAnsi="仿宋_GB2312" w:eastAsia="仿宋_GB2312"/>
          <w:color w:val="000000"/>
          <w:kern w:val="2"/>
          <w:sz w:val="32"/>
          <w:szCs w:val="24"/>
          <w:lang w:val="en-US"/>
        </w:rPr>
        <w:t>、商业服务业等支出（类）商业流通事务（款）其他商业流通事务支出（项）指反映除上述项目以外其他用于商业流通事务方面的支出。</w:t>
      </w:r>
    </w:p>
    <w:p w14:paraId="203B0680">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eastAsia="zh-CN"/>
        </w:rPr>
        <w:t>三十二</w:t>
      </w:r>
      <w:r>
        <w:rPr>
          <w:rFonts w:hint="eastAsia" w:ascii="仿宋_GB2312" w:hAnsi="仿宋_GB2312" w:eastAsia="仿宋_GB2312"/>
          <w:color w:val="000000"/>
          <w:kern w:val="2"/>
          <w:sz w:val="32"/>
          <w:szCs w:val="24"/>
          <w:lang w:val="en-US"/>
        </w:rPr>
        <w:t>、住房保障支出（类）住房改革支出（款）住房公积金（项）指</w:t>
      </w:r>
      <w:r>
        <w:rPr>
          <w:rFonts w:hint="eastAsia" w:ascii="仿宋_GB2312" w:hAnsi="仿宋_GB2312" w:eastAsia="仿宋_GB2312"/>
          <w:color w:val="000000"/>
          <w:sz w:val="32"/>
          <w:szCs w:val="24"/>
          <w:lang w:val="en-US" w:eastAsia="zh-CN"/>
        </w:rPr>
        <w:t>行政事业单位按照人力资源和社会保障部、财政部规定的基本工资和津贴补贴以及规定比例为职工缴纳的住房公积金</w:t>
      </w:r>
      <w:r>
        <w:rPr>
          <w:rFonts w:hint="eastAsia" w:ascii="仿宋_GB2312" w:hAnsi="仿宋_GB2312" w:eastAsia="仿宋_GB2312"/>
          <w:color w:val="000000"/>
          <w:kern w:val="2"/>
          <w:sz w:val="32"/>
          <w:szCs w:val="24"/>
          <w:lang w:val="en-US"/>
        </w:rPr>
        <w:t>。</w:t>
      </w:r>
    </w:p>
    <w:p w14:paraId="1D6FF6F8">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eastAsia="zh-CN"/>
        </w:rPr>
        <w:t>三十三</w:t>
      </w:r>
      <w:r>
        <w:rPr>
          <w:rFonts w:hint="eastAsia" w:ascii="仿宋_GB2312" w:hAnsi="仿宋_GB2312" w:eastAsia="仿宋_GB2312"/>
          <w:color w:val="000000"/>
          <w:kern w:val="2"/>
          <w:sz w:val="32"/>
          <w:szCs w:val="24"/>
          <w:lang w:val="en-US"/>
        </w:rPr>
        <w:t>、粮油物资储备支出（类）粮油物资事务（款）其他粮油物资事务支出（项）指反映除上述项目以外其他用于粮油和物资事务方面的支出。</w:t>
      </w:r>
    </w:p>
    <w:p w14:paraId="73DD3ABD">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eastAsia="zh-CN"/>
        </w:rPr>
        <w:t>三十四</w:t>
      </w:r>
      <w:r>
        <w:rPr>
          <w:rFonts w:hint="eastAsia" w:ascii="仿宋_GB2312" w:hAnsi="仿宋_GB2312" w:eastAsia="仿宋_GB2312"/>
          <w:color w:val="auto"/>
          <w:kern w:val="2"/>
          <w:sz w:val="32"/>
          <w:szCs w:val="24"/>
          <w:lang w:val="en-US"/>
        </w:rPr>
        <w:t>、基本支出：指为保障机构正常运转、完成日常工作任务而发生的人员支出和公用支出。</w:t>
      </w:r>
    </w:p>
    <w:p w14:paraId="348A3017">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eastAsia="zh-CN"/>
        </w:rPr>
        <w:t>三十五</w:t>
      </w:r>
      <w:r>
        <w:rPr>
          <w:rFonts w:hint="eastAsia" w:ascii="仿宋_GB2312" w:hAnsi="仿宋_GB2312" w:eastAsia="仿宋_GB2312"/>
          <w:color w:val="000000"/>
          <w:kern w:val="2"/>
          <w:sz w:val="32"/>
          <w:szCs w:val="24"/>
          <w:lang w:val="en-US"/>
        </w:rPr>
        <w:t xml:space="preserve">、项目支出：指在基本支出之外为完成特定行政任务和事业发展目标所发生的支出。 </w:t>
      </w:r>
    </w:p>
    <w:p w14:paraId="6BD3B87C">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eastAsia="zh-CN"/>
        </w:rPr>
        <w:t>三十六</w:t>
      </w:r>
      <w:r>
        <w:rPr>
          <w:rFonts w:hint="eastAsia" w:ascii="仿宋_GB2312" w:hAnsi="仿宋_GB2312" w:eastAsia="仿宋_GB2312"/>
          <w:color w:val="000000"/>
          <w:kern w:val="2"/>
          <w:sz w:val="32"/>
          <w:szCs w:val="24"/>
          <w:lang w:val="en-US"/>
        </w:rPr>
        <w:t>、经营支出：指事业单位在专业业务活动及其辅助活动之外开展非独立核算经营活动发生的支出。</w:t>
      </w:r>
    </w:p>
    <w:p w14:paraId="6AAA7387">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lang w:val="en-US"/>
        </w:rPr>
      </w:pPr>
      <w:r>
        <w:rPr>
          <w:rFonts w:hint="eastAsia" w:ascii="仿宋_GB2312" w:hAnsi="仿宋_GB2312" w:eastAsia="仿宋_GB2312"/>
          <w:color w:val="000000"/>
          <w:kern w:val="2"/>
          <w:sz w:val="32"/>
          <w:szCs w:val="24"/>
          <w:lang w:val="en-US" w:eastAsia="zh-CN"/>
        </w:rPr>
        <w:t>三十七</w:t>
      </w:r>
      <w:r>
        <w:rPr>
          <w:rFonts w:hint="eastAsia" w:ascii="仿宋_GB2312" w:hAnsi="仿宋_GB2312" w:eastAsia="仿宋_GB2312"/>
          <w:color w:val="000000"/>
          <w:sz w:val="32"/>
          <w:szCs w:val="24"/>
          <w:lang w:val="en-US"/>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B197B3C">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三十</w:t>
      </w:r>
      <w:r>
        <w:rPr>
          <w:rFonts w:hint="eastAsia" w:ascii="仿宋_GB2312" w:hAnsi="仿宋_GB2312" w:eastAsia="仿宋_GB2312"/>
          <w:color w:val="000000"/>
          <w:sz w:val="32"/>
          <w:szCs w:val="24"/>
          <w:lang w:val="en-US" w:eastAsia="zh-CN"/>
        </w:rPr>
        <w:t>八</w:t>
      </w:r>
      <w:r>
        <w:rPr>
          <w:rFonts w:hint="eastAsia" w:ascii="仿宋_GB2312" w:hAnsi="仿宋_GB2312" w:eastAsia="仿宋_GB2312"/>
          <w:color w:val="000000"/>
          <w:sz w:val="32"/>
          <w:szCs w:val="24"/>
          <w:lang w:val="en-US"/>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14:paraId="02D26E40">
      <w:pPr>
        <w:overflowPunct w:val="0"/>
        <w:topLinePunct/>
        <w:spacing w:beforeLines="0" w:afterLines="0" w:line="576" w:lineRule="exact"/>
        <w:jc w:val="both"/>
        <w:rPr>
          <w:rFonts w:hint="eastAsia" w:ascii="仿宋_GB2312" w:hAnsi="仿宋_GB2312" w:eastAsia="仿宋_GB2312"/>
          <w:b/>
          <w:color w:val="000000"/>
          <w:kern w:val="2"/>
          <w:sz w:val="32"/>
          <w:szCs w:val="24"/>
          <w:lang w:val="en-US"/>
        </w:rPr>
      </w:pPr>
    </w:p>
    <w:p w14:paraId="4EB8B0B9">
      <w:pPr>
        <w:overflowPunct w:val="0"/>
        <w:topLinePunct/>
        <w:spacing w:beforeLines="0" w:afterLines="0" w:line="576" w:lineRule="exact"/>
        <w:ind w:firstLine="880" w:firstLineChars="200"/>
        <w:jc w:val="both"/>
        <w:rPr>
          <w:rFonts w:hint="eastAsia" w:ascii="黑体" w:hAnsi="黑体" w:eastAsia="黑体"/>
          <w:color w:val="000000"/>
          <w:kern w:val="2"/>
          <w:sz w:val="44"/>
          <w:szCs w:val="24"/>
          <w:lang w:val="en-US"/>
        </w:rPr>
      </w:pPr>
    </w:p>
    <w:p w14:paraId="56F5E861">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jc w:val="center"/>
        <w:textAlignment w:val="auto"/>
        <w:outlineLvl w:val="0"/>
        <w:rPr>
          <w:rFonts w:hint="eastAsia" w:ascii="方正小标宋简体" w:hAnsi="方正小标宋简体" w:eastAsia="方正小标宋简体" w:cs="方正小标宋简体"/>
          <w:color w:val="auto"/>
          <w:kern w:val="44"/>
          <w:sz w:val="44"/>
          <w:szCs w:val="24"/>
          <w:lang w:val="en-US"/>
        </w:rPr>
      </w:pPr>
      <w:r>
        <w:br w:type="page"/>
      </w:r>
      <w:bookmarkStart w:id="15" w:name="_Toc7969"/>
      <w:r>
        <w:rPr>
          <w:rFonts w:hint="eastAsia" w:ascii="方正小标宋简体" w:hAnsi="方正小标宋简体" w:eastAsia="方正小标宋简体" w:cs="方正小标宋简体"/>
          <w:color w:val="auto"/>
          <w:kern w:val="44"/>
          <w:sz w:val="44"/>
          <w:szCs w:val="24"/>
          <w:lang w:val="en-US"/>
        </w:rPr>
        <w:t>第四部分</w:t>
      </w:r>
      <w:r>
        <w:rPr>
          <w:rFonts w:hint="eastAsia" w:ascii="方正小标宋简体" w:hAnsi="方正小标宋简体" w:eastAsia="方正小标宋简体" w:cs="方正小标宋简体"/>
          <w:color w:val="auto"/>
          <w:kern w:val="44"/>
          <w:sz w:val="44"/>
          <w:szCs w:val="24"/>
          <w:lang w:val="en-US" w:eastAsia="zh-CN"/>
        </w:rPr>
        <w:t xml:space="preserve">  </w:t>
      </w:r>
      <w:r>
        <w:rPr>
          <w:rFonts w:hint="eastAsia" w:ascii="方正小标宋简体" w:hAnsi="方正小标宋简体" w:eastAsia="方正小标宋简体" w:cs="方正小标宋简体"/>
          <w:color w:val="auto"/>
          <w:kern w:val="44"/>
          <w:sz w:val="44"/>
          <w:szCs w:val="24"/>
          <w:lang w:val="en-US"/>
        </w:rPr>
        <w:t>附件</w:t>
      </w:r>
      <w:bookmarkEnd w:id="15"/>
    </w:p>
    <w:p w14:paraId="5CC2A8A7">
      <w:pPr>
        <w:pStyle w:val="9"/>
        <w:overflowPunct w:val="0"/>
        <w:topLinePunct/>
        <w:spacing w:afterLines="0"/>
        <w:rPr>
          <w:rFonts w:hint="eastAsia"/>
          <w:sz w:val="30"/>
          <w:szCs w:val="24"/>
          <w:lang w:val="en-US"/>
        </w:rPr>
      </w:pPr>
    </w:p>
    <w:p w14:paraId="238894D3">
      <w:pPr>
        <w:overflowPunct w:val="0"/>
        <w:topLinePunct/>
        <w:spacing w:beforeLines="0" w:afterLines="0" w:line="576" w:lineRule="exact"/>
        <w:jc w:val="center"/>
        <w:rPr>
          <w:rFonts w:hint="eastAsia" w:ascii="黑体" w:hAnsi="黑体" w:eastAsia="黑体"/>
          <w:color w:val="auto"/>
          <w:kern w:val="2"/>
          <w:sz w:val="32"/>
          <w:szCs w:val="24"/>
          <w:lang w:val="en-US"/>
        </w:rPr>
      </w:pPr>
      <w:r>
        <w:rPr>
          <w:rFonts w:hint="eastAsia" w:ascii="黑体" w:hAnsi="黑体" w:eastAsia="黑体"/>
          <w:color w:val="auto"/>
          <w:kern w:val="2"/>
          <w:sz w:val="32"/>
          <w:szCs w:val="24"/>
          <w:lang w:val="en-US"/>
        </w:rPr>
        <w:t>部门预算项目支出绩效自评表（202</w:t>
      </w:r>
      <w:r>
        <w:rPr>
          <w:rFonts w:hint="eastAsia" w:ascii="黑体" w:hAnsi="黑体" w:eastAsia="黑体"/>
          <w:color w:val="auto"/>
          <w:kern w:val="2"/>
          <w:sz w:val="32"/>
          <w:szCs w:val="24"/>
          <w:lang w:val="en-US" w:eastAsia="zh-CN"/>
        </w:rPr>
        <w:t>4</w:t>
      </w:r>
      <w:r>
        <w:rPr>
          <w:rFonts w:hint="eastAsia" w:ascii="黑体" w:hAnsi="黑体" w:eastAsia="黑体"/>
          <w:color w:val="auto"/>
          <w:kern w:val="2"/>
          <w:sz w:val="32"/>
          <w:szCs w:val="24"/>
          <w:lang w:val="en-US"/>
        </w:rPr>
        <w:t>年度）</w:t>
      </w:r>
    </w:p>
    <w:p w14:paraId="151220D7">
      <w:pPr>
        <w:numPr>
          <w:ilvl w:val="0"/>
          <w:numId w:val="0"/>
        </w:numPr>
        <w:overflowPunct w:val="0"/>
        <w:topLinePunct/>
        <w:spacing w:beforeLines="0" w:afterLines="0" w:line="576" w:lineRule="exact"/>
        <w:jc w:val="both"/>
        <w:rPr>
          <w:rFonts w:hint="eastAsia" w:ascii="仿宋_GB2312" w:hAnsi="仿宋_GB2312" w:eastAsia="仿宋_GB2312"/>
          <w:b w:val="0"/>
          <w:bCs w:val="0"/>
          <w:color w:val="C00000"/>
          <w:kern w:val="2"/>
          <w:sz w:val="32"/>
          <w:szCs w:val="24"/>
          <w:highlight w:val="none"/>
          <w:lang w:val="en-US"/>
        </w:rPr>
      </w:pPr>
    </w:p>
    <w:p w14:paraId="3B950943">
      <w:pPr>
        <w:pStyle w:val="9"/>
        <w:rPr>
          <w:rFonts w:hint="eastAsia" w:ascii="仿宋_GB2312" w:hAnsi="仿宋_GB2312" w:eastAsia="仿宋_GB2312"/>
          <w:b w:val="0"/>
          <w:bCs w:val="0"/>
          <w:color w:val="C00000"/>
          <w:kern w:val="2"/>
          <w:sz w:val="32"/>
          <w:szCs w:val="24"/>
          <w:highlight w:val="none"/>
          <w:lang w:val="en-US"/>
        </w:rPr>
      </w:pPr>
    </w:p>
    <w:p w14:paraId="3BCF8E16">
      <w:pPr>
        <w:pStyle w:val="9"/>
        <w:rPr>
          <w:rFonts w:hint="eastAsia" w:ascii="仿宋_GB2312" w:hAnsi="仿宋_GB2312" w:eastAsia="仿宋_GB2312"/>
          <w:b w:val="0"/>
          <w:bCs w:val="0"/>
          <w:color w:val="C00000"/>
          <w:kern w:val="2"/>
          <w:sz w:val="32"/>
          <w:szCs w:val="24"/>
          <w:highlight w:val="none"/>
          <w:lang w:val="en-US"/>
        </w:rPr>
      </w:pPr>
    </w:p>
    <w:p w14:paraId="46E1263F">
      <w:pPr>
        <w:pStyle w:val="9"/>
        <w:rPr>
          <w:rFonts w:hint="eastAsia" w:ascii="仿宋_GB2312" w:hAnsi="仿宋_GB2312" w:eastAsia="仿宋_GB2312"/>
          <w:b w:val="0"/>
          <w:bCs w:val="0"/>
          <w:color w:val="C00000"/>
          <w:kern w:val="2"/>
          <w:sz w:val="32"/>
          <w:szCs w:val="24"/>
          <w:highlight w:val="none"/>
          <w:lang w:val="en-US"/>
        </w:rPr>
      </w:pPr>
    </w:p>
    <w:p w14:paraId="3364CC0E">
      <w:pPr>
        <w:pStyle w:val="9"/>
        <w:rPr>
          <w:rFonts w:hint="eastAsia" w:ascii="仿宋_GB2312" w:hAnsi="仿宋_GB2312" w:eastAsia="仿宋_GB2312"/>
          <w:b w:val="0"/>
          <w:bCs w:val="0"/>
          <w:color w:val="C00000"/>
          <w:kern w:val="2"/>
          <w:sz w:val="32"/>
          <w:szCs w:val="24"/>
          <w:highlight w:val="none"/>
          <w:lang w:val="en-US"/>
        </w:rPr>
      </w:pPr>
    </w:p>
    <w:p w14:paraId="09A436B1">
      <w:pPr>
        <w:pStyle w:val="9"/>
        <w:rPr>
          <w:rFonts w:hint="eastAsia" w:ascii="仿宋_GB2312" w:hAnsi="仿宋_GB2312" w:eastAsia="仿宋_GB2312"/>
          <w:b w:val="0"/>
          <w:bCs w:val="0"/>
          <w:color w:val="C00000"/>
          <w:kern w:val="2"/>
          <w:sz w:val="32"/>
          <w:szCs w:val="24"/>
          <w:highlight w:val="none"/>
          <w:lang w:val="en-US"/>
        </w:rPr>
      </w:pPr>
    </w:p>
    <w:p w14:paraId="7A436FCC">
      <w:pPr>
        <w:pStyle w:val="9"/>
        <w:rPr>
          <w:rFonts w:hint="eastAsia" w:ascii="仿宋_GB2312" w:hAnsi="仿宋_GB2312" w:eastAsia="仿宋_GB2312"/>
          <w:b w:val="0"/>
          <w:bCs w:val="0"/>
          <w:color w:val="C00000"/>
          <w:kern w:val="2"/>
          <w:sz w:val="32"/>
          <w:szCs w:val="24"/>
          <w:highlight w:val="none"/>
          <w:lang w:val="en-US"/>
        </w:rPr>
      </w:pPr>
    </w:p>
    <w:p w14:paraId="0909AE69">
      <w:pPr>
        <w:pStyle w:val="9"/>
        <w:rPr>
          <w:rFonts w:hint="eastAsia" w:ascii="仿宋_GB2312" w:hAnsi="仿宋_GB2312" w:eastAsia="仿宋_GB2312"/>
          <w:b w:val="0"/>
          <w:bCs w:val="0"/>
          <w:color w:val="C00000"/>
          <w:kern w:val="2"/>
          <w:sz w:val="32"/>
          <w:szCs w:val="24"/>
          <w:highlight w:val="none"/>
          <w:lang w:val="en-US" w:eastAsia="zh-CN"/>
        </w:rPr>
      </w:pPr>
    </w:p>
    <w:p w14:paraId="0FC102D6">
      <w:pPr>
        <w:overflowPunct w:val="0"/>
        <w:topLinePunct/>
        <w:spacing w:beforeLines="0" w:afterLines="0" w:line="576" w:lineRule="exact"/>
        <w:jc w:val="center"/>
        <w:outlineLvl w:val="0"/>
        <w:rPr>
          <w:rFonts w:hint="eastAsia" w:ascii="方正小标宋简体" w:hAnsi="方正小标宋简体" w:eastAsia="方正小标宋简体" w:cs="方正小标宋简体"/>
          <w:color w:val="auto"/>
          <w:kern w:val="44"/>
          <w:sz w:val="44"/>
          <w:szCs w:val="24"/>
          <w:lang w:val="en-US"/>
        </w:rPr>
      </w:pPr>
      <w:r>
        <w:br w:type="page"/>
      </w:r>
      <w:bookmarkStart w:id="16" w:name="_Toc1385"/>
      <w:r>
        <w:rPr>
          <w:rFonts w:hint="eastAsia" w:ascii="方正小标宋简体" w:hAnsi="方正小标宋简体" w:eastAsia="方正小标宋简体" w:cs="方正小标宋简体"/>
          <w:color w:val="auto"/>
          <w:kern w:val="44"/>
          <w:sz w:val="44"/>
          <w:szCs w:val="24"/>
          <w:lang w:val="en-US"/>
        </w:rPr>
        <w:t>第五部分</w:t>
      </w:r>
      <w:r>
        <w:rPr>
          <w:rFonts w:hint="eastAsia" w:ascii="方正小标宋简体" w:hAnsi="方正小标宋简体" w:eastAsia="方正小标宋简体" w:cs="方正小标宋简体"/>
          <w:color w:val="auto"/>
          <w:kern w:val="44"/>
          <w:sz w:val="44"/>
          <w:szCs w:val="24"/>
          <w:lang w:val="en-US" w:eastAsia="zh-CN"/>
        </w:rPr>
        <w:t xml:space="preserve">  </w:t>
      </w:r>
      <w:r>
        <w:rPr>
          <w:rFonts w:hint="eastAsia" w:ascii="方正小标宋简体" w:hAnsi="方正小标宋简体" w:eastAsia="方正小标宋简体" w:cs="方正小标宋简体"/>
          <w:color w:val="auto"/>
          <w:kern w:val="44"/>
          <w:sz w:val="44"/>
          <w:szCs w:val="24"/>
          <w:lang w:val="en-US"/>
        </w:rPr>
        <w:t>附表</w:t>
      </w:r>
      <w:bookmarkEnd w:id="16"/>
    </w:p>
    <w:p w14:paraId="3E3AC931">
      <w:pPr>
        <w:pStyle w:val="9"/>
        <w:overflowPunct w:val="0"/>
        <w:topLinePunct/>
        <w:spacing w:afterLines="0"/>
        <w:rPr>
          <w:rFonts w:hint="eastAsia"/>
          <w:sz w:val="30"/>
          <w:szCs w:val="24"/>
          <w:lang w:val="en-US"/>
        </w:rPr>
      </w:pPr>
    </w:p>
    <w:p w14:paraId="5CB28067">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仿宋_GB2312" w:hAnsi="仿宋_GB2312" w:eastAsia="仿宋_GB2312"/>
          <w:b/>
          <w:color w:val="000000"/>
          <w:kern w:val="2"/>
          <w:sz w:val="32"/>
          <w:szCs w:val="24"/>
          <w:lang w:val="en-US"/>
        </w:rPr>
      </w:pPr>
      <w:bookmarkStart w:id="17" w:name="_Toc25018"/>
      <w:r>
        <w:rPr>
          <w:rFonts w:hint="eastAsia" w:ascii="仿宋_GB2312" w:hAnsi="仿宋_GB2312" w:eastAsia="仿宋_GB2312"/>
          <w:color w:val="000000"/>
          <w:kern w:val="2"/>
          <w:sz w:val="32"/>
          <w:szCs w:val="24"/>
          <w:lang w:val="en-US"/>
        </w:rPr>
        <w:t>一、收</w:t>
      </w:r>
      <w:r>
        <w:rPr>
          <w:rFonts w:hint="eastAsia" w:ascii="仿宋_GB2312" w:hAnsi="仿宋_GB2312" w:eastAsia="仿宋_GB2312"/>
          <w:color w:val="auto"/>
          <w:kern w:val="2"/>
          <w:sz w:val="32"/>
          <w:szCs w:val="24"/>
          <w:lang w:val="en-US"/>
        </w:rPr>
        <w:t>入支出决算总表</w:t>
      </w:r>
      <w:bookmarkEnd w:id="17"/>
    </w:p>
    <w:p w14:paraId="055B903D">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仿宋_GB2312" w:hAnsi="仿宋_GB2312" w:eastAsia="仿宋_GB2312" w:cs="Times New Roman"/>
          <w:color w:val="000000"/>
          <w:kern w:val="2"/>
          <w:sz w:val="32"/>
          <w:szCs w:val="24"/>
          <w:lang w:val="en-US"/>
        </w:rPr>
      </w:pPr>
      <w:bookmarkStart w:id="18" w:name="_Toc23607"/>
      <w:r>
        <w:rPr>
          <w:rFonts w:hint="eastAsia" w:ascii="仿宋_GB2312" w:hAnsi="仿宋_GB2312" w:eastAsia="仿宋_GB2312" w:cs="Times New Roman"/>
          <w:color w:val="000000"/>
          <w:kern w:val="2"/>
          <w:sz w:val="32"/>
          <w:szCs w:val="24"/>
          <w:lang w:val="en-US"/>
        </w:rPr>
        <w:t>二、收入决算表</w:t>
      </w:r>
      <w:bookmarkEnd w:id="18"/>
    </w:p>
    <w:p w14:paraId="104947BD">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仿宋_GB2312" w:hAnsi="仿宋_GB2312" w:eastAsia="仿宋_GB2312" w:cs="Times New Roman"/>
          <w:color w:val="000000"/>
          <w:kern w:val="2"/>
          <w:sz w:val="32"/>
          <w:szCs w:val="24"/>
          <w:lang w:val="en-US"/>
        </w:rPr>
      </w:pPr>
      <w:bookmarkStart w:id="19" w:name="_Toc18335"/>
      <w:r>
        <w:rPr>
          <w:rFonts w:hint="eastAsia" w:ascii="仿宋_GB2312" w:hAnsi="仿宋_GB2312" w:eastAsia="仿宋_GB2312" w:cs="Times New Roman"/>
          <w:color w:val="000000"/>
          <w:kern w:val="2"/>
          <w:sz w:val="32"/>
          <w:szCs w:val="24"/>
          <w:lang w:val="en-US"/>
        </w:rPr>
        <w:t>三、支出决算表</w:t>
      </w:r>
      <w:bookmarkEnd w:id="19"/>
    </w:p>
    <w:p w14:paraId="1504255A">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仿宋_GB2312" w:hAnsi="仿宋_GB2312" w:eastAsia="仿宋_GB2312" w:cs="Times New Roman"/>
          <w:color w:val="000000"/>
          <w:kern w:val="2"/>
          <w:sz w:val="32"/>
          <w:szCs w:val="24"/>
          <w:lang w:val="en-US"/>
        </w:rPr>
      </w:pPr>
      <w:bookmarkStart w:id="20" w:name="_Toc6462"/>
      <w:r>
        <w:rPr>
          <w:rFonts w:hint="eastAsia" w:ascii="仿宋_GB2312" w:hAnsi="仿宋_GB2312" w:eastAsia="仿宋_GB2312" w:cs="Times New Roman"/>
          <w:color w:val="000000"/>
          <w:kern w:val="2"/>
          <w:sz w:val="32"/>
          <w:szCs w:val="24"/>
          <w:lang w:val="en-US"/>
        </w:rPr>
        <w:t>四、财政拨款收入支出决算总表</w:t>
      </w:r>
      <w:bookmarkEnd w:id="20"/>
    </w:p>
    <w:p w14:paraId="411895C0">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仿宋_GB2312" w:hAnsi="仿宋_GB2312" w:eastAsia="仿宋_GB2312" w:cs="Times New Roman"/>
          <w:color w:val="000000"/>
          <w:kern w:val="2"/>
          <w:sz w:val="32"/>
          <w:szCs w:val="24"/>
          <w:lang w:val="en-US"/>
        </w:rPr>
      </w:pPr>
      <w:bookmarkStart w:id="21" w:name="_Toc15249"/>
      <w:r>
        <w:rPr>
          <w:rFonts w:hint="eastAsia" w:ascii="仿宋_GB2312" w:hAnsi="仿宋_GB2312" w:eastAsia="仿宋_GB2312" w:cs="Times New Roman"/>
          <w:color w:val="000000"/>
          <w:kern w:val="2"/>
          <w:sz w:val="32"/>
          <w:szCs w:val="24"/>
          <w:lang w:val="en-US"/>
        </w:rPr>
        <w:t>五、财政拨款支出决算明细表</w:t>
      </w:r>
      <w:bookmarkEnd w:id="21"/>
    </w:p>
    <w:p w14:paraId="0F0691C5">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仿宋_GB2312" w:hAnsi="仿宋_GB2312" w:eastAsia="仿宋_GB2312" w:cs="Times New Roman"/>
          <w:color w:val="000000"/>
          <w:kern w:val="2"/>
          <w:sz w:val="32"/>
          <w:szCs w:val="24"/>
          <w:lang w:val="en-US"/>
        </w:rPr>
      </w:pPr>
      <w:bookmarkStart w:id="22" w:name="_Toc22259"/>
      <w:r>
        <w:rPr>
          <w:rFonts w:hint="eastAsia" w:ascii="仿宋_GB2312" w:hAnsi="仿宋_GB2312" w:eastAsia="仿宋_GB2312" w:cs="Times New Roman"/>
          <w:color w:val="000000"/>
          <w:kern w:val="2"/>
          <w:sz w:val="32"/>
          <w:szCs w:val="24"/>
          <w:lang w:val="en-US"/>
        </w:rPr>
        <w:t>六、一般公共预算财政拨款支出决算表</w:t>
      </w:r>
      <w:bookmarkEnd w:id="22"/>
    </w:p>
    <w:p w14:paraId="3325F1B9">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仿宋_GB2312" w:hAnsi="仿宋_GB2312" w:eastAsia="仿宋_GB2312" w:cs="Times New Roman"/>
          <w:color w:val="000000"/>
          <w:kern w:val="2"/>
          <w:sz w:val="32"/>
          <w:szCs w:val="24"/>
          <w:lang w:val="en-US"/>
        </w:rPr>
      </w:pPr>
      <w:bookmarkStart w:id="23" w:name="_Toc26088"/>
      <w:r>
        <w:rPr>
          <w:rFonts w:hint="eastAsia" w:ascii="仿宋_GB2312" w:hAnsi="仿宋_GB2312" w:eastAsia="仿宋_GB2312" w:cs="Times New Roman"/>
          <w:color w:val="000000"/>
          <w:kern w:val="2"/>
          <w:sz w:val="32"/>
          <w:szCs w:val="24"/>
          <w:lang w:val="en-US"/>
        </w:rPr>
        <w:t>七、一般公共预算财政拨款支出决算明细表</w:t>
      </w:r>
      <w:bookmarkEnd w:id="23"/>
    </w:p>
    <w:p w14:paraId="1DD89CFC">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仿宋_GB2312" w:hAnsi="仿宋_GB2312" w:eastAsia="仿宋_GB2312" w:cs="Times New Roman"/>
          <w:color w:val="000000"/>
          <w:kern w:val="2"/>
          <w:sz w:val="32"/>
          <w:szCs w:val="24"/>
          <w:lang w:val="en-US"/>
        </w:rPr>
      </w:pPr>
      <w:bookmarkStart w:id="24" w:name="_Toc7463"/>
      <w:r>
        <w:rPr>
          <w:rFonts w:hint="eastAsia" w:ascii="仿宋_GB2312" w:hAnsi="仿宋_GB2312" w:eastAsia="仿宋_GB2312" w:cs="Times New Roman"/>
          <w:color w:val="000000"/>
          <w:kern w:val="2"/>
          <w:sz w:val="32"/>
          <w:szCs w:val="24"/>
          <w:lang w:val="en-US"/>
        </w:rPr>
        <w:t>八、一般公共预算财政拨款基本支出决算表</w:t>
      </w:r>
      <w:bookmarkEnd w:id="24"/>
    </w:p>
    <w:p w14:paraId="1284CB14">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仿宋_GB2312" w:hAnsi="仿宋_GB2312" w:eastAsia="仿宋_GB2312" w:cs="Times New Roman"/>
          <w:color w:val="000000"/>
          <w:kern w:val="2"/>
          <w:sz w:val="32"/>
          <w:szCs w:val="24"/>
          <w:lang w:val="en-US"/>
        </w:rPr>
      </w:pPr>
      <w:bookmarkStart w:id="25" w:name="_Toc29887"/>
      <w:r>
        <w:rPr>
          <w:rFonts w:hint="eastAsia" w:ascii="仿宋_GB2312" w:hAnsi="仿宋_GB2312" w:eastAsia="仿宋_GB2312" w:cs="Times New Roman"/>
          <w:color w:val="000000"/>
          <w:kern w:val="2"/>
          <w:sz w:val="32"/>
          <w:szCs w:val="24"/>
          <w:lang w:val="en-US"/>
        </w:rPr>
        <w:t>九、一般公共预算财政拨款项目支出决算表</w:t>
      </w:r>
      <w:bookmarkEnd w:id="25"/>
    </w:p>
    <w:p w14:paraId="5D37C4AD">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仿宋_GB2312" w:hAnsi="仿宋_GB2312" w:eastAsia="仿宋_GB2312" w:cs="Times New Roman"/>
          <w:color w:val="000000"/>
          <w:kern w:val="2"/>
          <w:sz w:val="32"/>
          <w:szCs w:val="24"/>
          <w:lang w:val="en-US"/>
        </w:rPr>
      </w:pPr>
      <w:bookmarkStart w:id="26" w:name="_Toc14573"/>
      <w:r>
        <w:rPr>
          <w:rFonts w:hint="eastAsia" w:ascii="仿宋_GB2312" w:hAnsi="仿宋_GB2312" w:eastAsia="仿宋_GB2312" w:cs="Times New Roman"/>
          <w:color w:val="000000"/>
          <w:kern w:val="2"/>
          <w:sz w:val="32"/>
          <w:szCs w:val="24"/>
          <w:lang w:val="en-US"/>
        </w:rPr>
        <w:t>十、政府性基金预算财政拨款收入支出决算表</w:t>
      </w:r>
      <w:bookmarkEnd w:id="26"/>
    </w:p>
    <w:p w14:paraId="45B8D319">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仿宋_GB2312" w:hAnsi="仿宋_GB2312" w:eastAsia="仿宋_GB2312" w:cs="Times New Roman"/>
          <w:color w:val="000000"/>
          <w:kern w:val="2"/>
          <w:sz w:val="32"/>
          <w:szCs w:val="24"/>
          <w:lang w:val="en-US"/>
        </w:rPr>
      </w:pPr>
      <w:bookmarkStart w:id="27" w:name="_Toc694"/>
      <w:r>
        <w:rPr>
          <w:rFonts w:hint="eastAsia" w:ascii="仿宋_GB2312" w:hAnsi="仿宋_GB2312" w:eastAsia="仿宋_GB2312" w:cs="Times New Roman"/>
          <w:color w:val="000000"/>
          <w:kern w:val="2"/>
          <w:sz w:val="32"/>
          <w:szCs w:val="24"/>
          <w:lang w:val="en-US"/>
        </w:rPr>
        <w:t>十一、国有资本经营预算财政拨款收入支出决算表</w:t>
      </w:r>
      <w:bookmarkEnd w:id="27"/>
    </w:p>
    <w:p w14:paraId="3F61C66D">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仿宋_GB2312" w:hAnsi="仿宋_GB2312" w:eastAsia="仿宋_GB2312" w:cs="Times New Roman"/>
          <w:color w:val="000000"/>
          <w:kern w:val="2"/>
          <w:sz w:val="32"/>
          <w:szCs w:val="24"/>
          <w:lang w:val="en-US"/>
        </w:rPr>
      </w:pPr>
      <w:bookmarkStart w:id="28" w:name="_Toc15568"/>
      <w:r>
        <w:rPr>
          <w:rFonts w:hint="eastAsia" w:ascii="仿宋_GB2312" w:hAnsi="仿宋_GB2312" w:eastAsia="仿宋_GB2312" w:cs="Times New Roman"/>
          <w:color w:val="000000"/>
          <w:kern w:val="2"/>
          <w:sz w:val="32"/>
          <w:szCs w:val="24"/>
          <w:lang w:val="en-US"/>
        </w:rPr>
        <w:t>十二、国有资本经营预算财政拨款支出决算表</w:t>
      </w:r>
      <w:bookmarkEnd w:id="28"/>
    </w:p>
    <w:p w14:paraId="2D372AFB">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仿宋_GB2312" w:hAnsi="仿宋_GB2312" w:eastAsia="仿宋_GB2312"/>
          <w:color w:val="auto"/>
          <w:kern w:val="2"/>
          <w:sz w:val="32"/>
          <w:szCs w:val="24"/>
          <w:lang w:val="en-US"/>
        </w:rPr>
      </w:pPr>
      <w:bookmarkStart w:id="29" w:name="_Toc30931"/>
      <w:r>
        <w:rPr>
          <w:rFonts w:hint="eastAsia" w:ascii="仿宋_GB2312" w:hAnsi="仿宋_GB2312" w:eastAsia="仿宋_GB2312" w:cs="Times New Roman"/>
          <w:color w:val="000000"/>
          <w:kern w:val="2"/>
          <w:sz w:val="32"/>
          <w:szCs w:val="24"/>
          <w:lang w:val="en-US"/>
        </w:rPr>
        <w:t>十三、财政拨款“三公”经费支出决算表</w:t>
      </w:r>
      <w:bookmarkEnd w:id="29"/>
    </w:p>
    <w:p w14:paraId="7D7B2B99">
      <w:pPr>
        <w:overflowPunct w:val="0"/>
        <w:topLinePunct/>
        <w:spacing w:beforeLines="0" w:afterLines="0"/>
        <w:rPr>
          <w:rFonts w:hint="eastAsia" w:ascii="方正小标宋简体" w:hAnsi="方正小标宋简体" w:eastAsia="方正小标宋简体"/>
          <w:color w:val="000000"/>
          <w:kern w:val="2"/>
          <w:sz w:val="30"/>
          <w:szCs w:val="24"/>
          <w:lang w:val="en-US"/>
        </w:rPr>
      </w:pPr>
    </w:p>
    <w:sectPr>
      <w:footerReference r:id="rId4" w:type="default"/>
      <w:pgSz w:w="11905" w:h="16838"/>
      <w:pgMar w:top="2098" w:right="1474" w:bottom="1984" w:left="1587" w:header="720" w:footer="1304" w:gutter="0"/>
      <w:lnNumType w:countBy="0" w:distance="36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CE6DA">
    <w:pPr>
      <w:pStyle w:val="10"/>
    </w:pPr>
    <w:r>
      <w:rPr>
        <w:sz w:val="18"/>
      </w:rPr>
      <w:pict>
        <v:shape id="文本框 2"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v:textbox inset="0mm,0mm,0mm,0mm" style="mso-fit-shape-to-text:t;">
            <w:txbxContent>
              <w:p w14:paraId="2B40FA39">
                <w:pPr>
                  <w:pStyle w:val="10"/>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72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noLineBreaksAfter w:lang="zh-CN" w:val="([{·‘“〈《「『【〔〖（．［｛￡￥"/>
  <w:noLineBreaksBefore w:lang="zh-CN" w:val="!),.:;?]}¨·ˇˉ―‖’”…∶、。〃々〉》」』】〕〗！＂＇），．：；？］｀｜｝～￠"/>
  <w:hdrShapeDefaults>
    <o:shapelayout v:ext="edit">
      <o:idmap v:ext="edit" data="3,4"/>
    </o:shapelayout>
  </w:hdrShapeDefaults>
  <w:footnotePr>
    <w:footnote w:id="0"/>
    <w:footnote w:id="1"/>
  </w:foot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enableOpenTypeFeatures" w:uri="http://schemas.microsoft.com/office/word" w:val="1"/>
    <w:compatSetting w:name="doNotFlipMirrorIndents" w:uri="http://schemas.microsoft.com/office/word" w:val="1"/>
  </w:compat>
  <w:rsids>
    <w:rsidRoot w:val="00000000"/>
    <w:rsid w:val="0AD023C3"/>
    <w:rsid w:val="1D3B2B6C"/>
    <w:rsid w:val="42421F74"/>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uiPriority="99" w:semiHidden="0" w:name="heading 1"/>
    <w:lsdException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0"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99"/>
    <w:pPr>
      <w:widowControl w:val="0"/>
      <w:autoSpaceDE w:val="0"/>
      <w:autoSpaceDN w:val="0"/>
      <w:adjustRightInd w:val="0"/>
      <w:spacing w:beforeLines="0" w:afterLines="0"/>
    </w:pPr>
    <w:rPr>
      <w:rFonts w:hint="default" w:ascii="Times New Roman" w:hAnsi="Times New Roman" w:eastAsia="宋体" w:cs="Times New Roman"/>
      <w:sz w:val="24"/>
      <w:szCs w:val="24"/>
    </w:rPr>
  </w:style>
  <w:style w:type="character" w:default="1" w:styleId="4">
    <w:name w:val="Default Paragraph Font"/>
    <w:unhideWhenUsed/>
    <w:qFormat/>
    <w:uiPriority w:val="99"/>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5">
    <w:name w:val="标题 11"/>
    <w:unhideWhenUsed/>
    <w:qFormat/>
    <w:uiPriority w:val="99"/>
    <w:pPr>
      <w:widowControl w:val="0"/>
      <w:autoSpaceDE w:val="0"/>
      <w:autoSpaceDN w:val="0"/>
      <w:adjustRightInd w:val="0"/>
      <w:spacing w:beforeLines="0" w:afterLines="0"/>
      <w:outlineLvl w:val="0"/>
    </w:pPr>
    <w:rPr>
      <w:rFonts w:hint="default" w:ascii="Times New Roman" w:hAnsi="Times New Roman" w:eastAsia="宋体" w:cs="Times New Roman"/>
      <w:sz w:val="24"/>
      <w:szCs w:val="24"/>
    </w:rPr>
  </w:style>
  <w:style w:type="paragraph" w:customStyle="1" w:styleId="6">
    <w:name w:val="标题 21"/>
    <w:unhideWhenUsed/>
    <w:qFormat/>
    <w:uiPriority w:val="99"/>
    <w:pPr>
      <w:widowControl w:val="0"/>
      <w:autoSpaceDE w:val="0"/>
      <w:autoSpaceDN w:val="0"/>
      <w:adjustRightInd w:val="0"/>
      <w:spacing w:beforeLines="0" w:afterLines="0"/>
      <w:outlineLvl w:val="1"/>
    </w:pPr>
    <w:rPr>
      <w:rFonts w:hint="default" w:ascii="Times New Roman" w:hAnsi="Times New Roman" w:eastAsia="宋体" w:cs="Times New Roman"/>
      <w:sz w:val="24"/>
      <w:szCs w:val="24"/>
    </w:rPr>
  </w:style>
  <w:style w:type="character" w:customStyle="1" w:styleId="7">
    <w:name w:val="默认段落字体1"/>
    <w:unhideWhenUsed/>
    <w:qFormat/>
    <w:uiPriority w:val="99"/>
    <w:rPr>
      <w:rFonts w:hint="default"/>
      <w:sz w:val="24"/>
      <w:szCs w:val="24"/>
    </w:rPr>
  </w:style>
  <w:style w:type="table" w:customStyle="1" w:styleId="8">
    <w:name w:val="普通表格1"/>
    <w:qFormat/>
    <w:uiPriority w:val="99"/>
    <w:tblPr>
      <w:tblCellMar>
        <w:top w:w="0" w:type="dxa"/>
        <w:left w:w="108" w:type="dxa"/>
        <w:bottom w:w="0" w:type="dxa"/>
        <w:right w:w="108" w:type="dxa"/>
      </w:tblCellMar>
    </w:tblPr>
  </w:style>
  <w:style w:type="paragraph" w:customStyle="1" w:styleId="9">
    <w:name w:val="正文文本1"/>
    <w:basedOn w:val="1"/>
    <w:unhideWhenUsed/>
    <w:qFormat/>
    <w:uiPriority w:val="99"/>
    <w:pPr>
      <w:spacing w:beforeLines="30" w:afterLines="0"/>
    </w:pPr>
    <w:rPr>
      <w:rFonts w:hint="eastAsia" w:ascii="仿宋_GB2312" w:hAnsi="Times New Roman" w:eastAsia="仿宋_GB2312"/>
      <w:sz w:val="30"/>
      <w:szCs w:val="24"/>
    </w:rPr>
  </w:style>
  <w:style w:type="paragraph" w:customStyle="1" w:styleId="10">
    <w:name w:val="页脚1"/>
    <w:basedOn w:val="1"/>
    <w:unhideWhenUsed/>
    <w:qFormat/>
    <w:uiPriority w:val="99"/>
    <w:pPr>
      <w:tabs>
        <w:tab w:val="center" w:pos="4153"/>
        <w:tab w:val="right" w:pos="8306"/>
      </w:tabs>
      <w:snapToGrid w:val="0"/>
      <w:spacing w:beforeLines="0" w:afterLines="0"/>
    </w:pPr>
    <w:rPr>
      <w:rFonts w:hint="default"/>
      <w:sz w:val="18"/>
      <w:szCs w:val="24"/>
    </w:rPr>
  </w:style>
  <w:style w:type="paragraph" w:customStyle="1" w:styleId="11">
    <w:name w:val="页眉1"/>
    <w:basedOn w:val="1"/>
    <w:unhideWhenUsed/>
    <w:qFormat/>
    <w:uiPriority w:val="99"/>
    <w:pPr>
      <w:tabs>
        <w:tab w:val="center" w:pos="4153"/>
        <w:tab w:val="right" w:pos="8306"/>
      </w:tabs>
      <w:snapToGrid w:val="0"/>
      <w:spacing w:beforeLines="0" w:afterLines="0"/>
      <w:jc w:val="both"/>
    </w:pPr>
    <w:rPr>
      <w:rFonts w:hint="default"/>
      <w:sz w:val="18"/>
      <w:szCs w:val="24"/>
    </w:rPr>
  </w:style>
  <w:style w:type="paragraph" w:customStyle="1" w:styleId="12">
    <w:name w:val="目录 11"/>
    <w:basedOn w:val="1"/>
    <w:next w:val="1"/>
    <w:qFormat/>
    <w:uiPriority w:val="99"/>
  </w:style>
  <w:style w:type="paragraph" w:customStyle="1" w:styleId="13">
    <w:name w:val="目录 21"/>
    <w:basedOn w:val="1"/>
    <w:next w:val="1"/>
    <w:qFormat/>
    <w:uiPriority w:val="99"/>
    <w:pPr>
      <w:tabs>
        <w:tab w:val="right" w:leader="dot" w:pos="8844"/>
      </w:tabs>
      <w:ind w:left="420" w:leftChars="200"/>
    </w:pPr>
    <w:rPr>
      <w:rFonts w:ascii="黑体" w:hAnsi="黑体" w:eastAsia="黑体" w:cs="Times New Roman"/>
      <w:kern w:val="2"/>
      <w:lang w:val="en-US"/>
    </w:rPr>
  </w:style>
  <w:style w:type="paragraph" w:customStyle="1" w:styleId="14">
    <w:name w:val="Default"/>
    <w:unhideWhenUsed/>
    <w:qFormat/>
    <w:uiPriority w:val="99"/>
    <w:pPr>
      <w:widowControl w:val="0"/>
      <w:autoSpaceDE w:val="0"/>
      <w:autoSpaceDN w:val="0"/>
      <w:adjustRightInd w:val="0"/>
      <w:spacing w:beforeLines="0" w:afterLines="0"/>
    </w:pPr>
    <w:rPr>
      <w:rFonts w:hint="eastAsia" w:ascii="仿宋" w:hAnsi="Calibri" w:eastAsia="仿宋" w:cs="Times New Roman"/>
      <w:color w:val="000000"/>
      <w:sz w:val="24"/>
      <w:szCs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43</Pages>
  <Words>18754</Words>
  <Characters>20221</Characters>
  <TotalTime>11</TotalTime>
  <ScaleCrop>false</ScaleCrop>
  <LinksUpToDate>false</LinksUpToDate>
  <CharactersWithSpaces>20289</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2025-08-13T01:24:00Z</dcterms:created>
  <dc:creator>pxw</dc:creator>
  <cp:lastModifiedBy>昭化融媒体</cp:lastModifiedBy>
  <dcterms:modified xsi:type="dcterms:W3CDTF">2025-09-30T01:42:19Z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43465FB415F14EF9A9F1252F30DFCF43_13</vt:lpwstr>
  </property>
  <property fmtid="{D5CDD505-2E9C-101B-9397-08002B2CF9AE}" pid="4" name="KSOTemplateDocerSaveRecord">
    <vt:lpwstr>eyJoZGlkIjoiMGVhYTg4NGNkZWJkODFjNzcyZDRjM2M4Y2UzNjI5ZmUiLCJ1c2VySWQiOiI2MTE2MzEwMDYifQ==</vt:lpwstr>
  </property>
</Properties>
</file>