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1C9B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广元市昭化区农业农村局</w:t>
      </w:r>
    </w:p>
    <w:p w14:paraId="7B608C6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14:paraId="61CA3EE5">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6AFB229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一、基本职能及主要工作...............................(3)</w:t>
      </w:r>
    </w:p>
    <w:p w14:paraId="7FAFC96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（一）单位职能简介...................................(3)</w:t>
      </w:r>
    </w:p>
    <w:p w14:paraId="19B1935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（二）单位2025年重点工作............................(8)</w:t>
      </w:r>
    </w:p>
    <w:p w14:paraId="3DBE4E5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二、部门预算单位构成................................(12)</w:t>
      </w:r>
    </w:p>
    <w:p w14:paraId="20D6E3D9">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三、收支预算情况说明................................(12)</w:t>
      </w:r>
    </w:p>
    <w:p w14:paraId="1BB9B95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（一）收入预算情况..................................(12)</w:t>
      </w:r>
    </w:p>
    <w:p w14:paraId="23C8E12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（二）支出预算情况..................................(12)</w:t>
      </w:r>
    </w:p>
    <w:p w14:paraId="41AD5B1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四、财政拨款收支预算情况说明........................(12)</w:t>
      </w:r>
    </w:p>
    <w:p w14:paraId="7E99B09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五、一般公共预算当年拨款情况说明....................(13)</w:t>
      </w:r>
    </w:p>
    <w:p w14:paraId="2B08D8E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（一）一般公共预算当年拨款规模变化情况..............(13)</w:t>
      </w:r>
    </w:p>
    <w:p w14:paraId="1C2669C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（二）一般公共预算当年拨款结构情况..................(13)</w:t>
      </w:r>
    </w:p>
    <w:p w14:paraId="73A67D5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（三）一般公共预算当年拨款具体使用情况..............(13)</w:t>
      </w:r>
    </w:p>
    <w:p w14:paraId="0DE3988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六、一般公共预算基本支出情况说明....................(15)</w:t>
      </w:r>
    </w:p>
    <w:p w14:paraId="06E2C25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七、“三公”经费财政拨款预算安排情况说明.............(15)</w:t>
      </w:r>
    </w:p>
    <w:p w14:paraId="7731929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八、政府性基金预算支出情况说明......................(16)</w:t>
      </w:r>
    </w:p>
    <w:p w14:paraId="3B0D654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九、国有资本经营预算支出情况说明....................(16)</w:t>
      </w:r>
    </w:p>
    <w:p w14:paraId="2FBA60B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十、其他重要事项的情况说明..........................(16)</w:t>
      </w:r>
    </w:p>
    <w:p w14:paraId="4A6D8DC3">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十一、名词解释......................................(17)</w:t>
      </w:r>
    </w:p>
    <w:p w14:paraId="47A2069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14:paraId="50916A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8CC7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6DF7B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24871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64C9C5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0666D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FED7A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C17D88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835E7B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5FA073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5BDE8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4230C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ACAE7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96C2F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24D9F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61A560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区农业农村局</w:t>
      </w:r>
      <w:r>
        <w:rPr>
          <w:rFonts w:hint="eastAsia" w:ascii="楷体_GB2312" w:hAnsi="楷体_GB2312" w:eastAsia="楷体_GB2312" w:cs="楷体_GB2312"/>
          <w:sz w:val="32"/>
          <w:szCs w:val="32"/>
        </w:rPr>
        <w:t>职能简介</w:t>
      </w:r>
    </w:p>
    <w:p w14:paraId="019AE6F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统筹研究和组织实施全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以乡村振兴为重心的“三农”工作发展战略、中长期规划、重大政策。组织起草农业农村和乡村振兴有关规</w:t>
      </w:r>
      <w:r>
        <w:rPr>
          <w:rFonts w:hint="default" w:ascii="Times New Roman" w:hAnsi="Times New Roman" w:eastAsia="仿宋_GB2312" w:cs="Times New Roman"/>
          <w:b w:val="0"/>
          <w:bCs w:val="0"/>
          <w:color w:val="000000"/>
          <w:sz w:val="32"/>
          <w:szCs w:val="32"/>
          <w:lang w:eastAsia="zh-CN"/>
        </w:rPr>
        <w:t>范性文件</w:t>
      </w:r>
      <w:r>
        <w:rPr>
          <w:rFonts w:hint="default" w:ascii="Times New Roman" w:hAnsi="Times New Roman" w:eastAsia="仿宋_GB2312" w:cs="Times New Roman"/>
          <w:b w:val="0"/>
          <w:bCs w:val="0"/>
          <w:color w:val="000000"/>
          <w:sz w:val="32"/>
          <w:szCs w:val="32"/>
        </w:rPr>
        <w:t>。贯彻执行国家有关种植业、畜牧业、渔业、农业机械化等农业农村领域工作的法律</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法规、政策以及省委省政府</w:t>
      </w:r>
      <w:r>
        <w:rPr>
          <w:rFonts w:hint="default" w:ascii="Times New Roman" w:hAnsi="Times New Roman" w:eastAsia="仿宋_GB2312" w:cs="Times New Roman"/>
          <w:b w:val="0"/>
          <w:bCs w:val="0"/>
          <w:color w:val="000000"/>
          <w:sz w:val="32"/>
          <w:szCs w:val="32"/>
          <w:lang w:eastAsia="zh-CN"/>
        </w:rPr>
        <w:t>、市委市政府、区</w:t>
      </w:r>
      <w:r>
        <w:rPr>
          <w:rFonts w:hint="default" w:ascii="Times New Roman" w:hAnsi="Times New Roman" w:eastAsia="仿宋_GB2312" w:cs="Times New Roman"/>
          <w:b w:val="0"/>
          <w:bCs w:val="0"/>
          <w:color w:val="000000"/>
          <w:sz w:val="32"/>
          <w:szCs w:val="32"/>
        </w:rPr>
        <w:t>委</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政府关于“三农”方面的决策部署。参与</w:t>
      </w:r>
      <w:r>
        <w:rPr>
          <w:rFonts w:hint="default" w:ascii="Times New Roman" w:hAnsi="Times New Roman" w:eastAsia="仿宋_GB2312" w:cs="Times New Roman"/>
          <w:b w:val="0"/>
          <w:bCs w:val="0"/>
          <w:color w:val="000000"/>
          <w:sz w:val="32"/>
          <w:szCs w:val="32"/>
          <w:lang w:eastAsia="zh-CN"/>
        </w:rPr>
        <w:t>涉</w:t>
      </w:r>
      <w:r>
        <w:rPr>
          <w:rFonts w:hint="default" w:ascii="Times New Roman" w:hAnsi="Times New Roman" w:eastAsia="仿宋_GB2312" w:cs="Times New Roman"/>
          <w:b w:val="0"/>
          <w:bCs w:val="0"/>
          <w:color w:val="000000"/>
          <w:sz w:val="32"/>
          <w:szCs w:val="32"/>
        </w:rPr>
        <w:t>农的财税、价格、收储、金融保险、进出口等政策制定。</w:t>
      </w:r>
    </w:p>
    <w:p w14:paraId="25460FC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统筹推动发展农村社会事业、农村公共服务、农村文化、农村基础设施和乡村治理</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牵头组织改善全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农村人居环境。指导农业文化遗产保护传承和开发利用。指导农村精神文明和优秀农耕文化建设。</w:t>
      </w:r>
    </w:p>
    <w:p w14:paraId="2341008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负责农民承包地、农村宅基地、农村集体产权制度改革和管理有关工作。拟订深化全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农村经济体制改革和巩固</w:t>
      </w:r>
      <w:r>
        <w:rPr>
          <w:rFonts w:hint="eastAsia" w:ascii="Times New Roman" w:hAnsi="Times New Roman" w:eastAsia="仿宋_GB2312" w:cs="Times New Roman"/>
          <w:b w:val="0"/>
          <w:bCs w:val="0"/>
          <w:color w:val="000000"/>
          <w:sz w:val="32"/>
          <w:szCs w:val="32"/>
          <w:lang w:val="en-US" w:eastAsia="zh-CN"/>
        </w:rPr>
        <w:t>和</w:t>
      </w:r>
      <w:r>
        <w:rPr>
          <w:rFonts w:hint="default" w:ascii="Times New Roman" w:hAnsi="Times New Roman" w:eastAsia="仿宋_GB2312" w:cs="Times New Roman"/>
          <w:b w:val="0"/>
          <w:bCs w:val="0"/>
          <w:color w:val="000000"/>
          <w:sz w:val="32"/>
          <w:szCs w:val="32"/>
        </w:rPr>
        <w:t>完善农村基本经营制度的政策措施。指导农村集体经济组织发展、集体资产和财务管理工作。拟订农业产业化经营的发展规划与政策并组织实施，指导农民合作经济组织、农业社会化服务体系、新型农业经营主体建设与发展。指导、监督减轻农民负担工作。</w:t>
      </w:r>
    </w:p>
    <w:p w14:paraId="72AB747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rPr>
        <w:t>负责巩固拓展脱贫攻坚成果有关工作。牵头开展防止返贫监测和帮扶，组织拟订乡村振兴重点帮扶</w:t>
      </w:r>
      <w:r>
        <w:rPr>
          <w:rFonts w:hint="default" w:ascii="Times New Roman" w:hAnsi="Times New Roman" w:eastAsia="仿宋_GB2312" w:cs="Times New Roman"/>
          <w:b w:val="0"/>
          <w:bCs w:val="0"/>
          <w:color w:val="000000"/>
          <w:sz w:val="32"/>
          <w:szCs w:val="32"/>
          <w:lang w:eastAsia="zh-CN"/>
        </w:rPr>
        <w:t>镇</w:t>
      </w:r>
      <w:r>
        <w:rPr>
          <w:rFonts w:hint="default" w:ascii="Times New Roman" w:hAnsi="Times New Roman" w:eastAsia="仿宋_GB2312" w:cs="Times New Roman"/>
          <w:b w:val="0"/>
          <w:bCs w:val="0"/>
          <w:color w:val="000000"/>
          <w:sz w:val="32"/>
          <w:szCs w:val="32"/>
        </w:rPr>
        <w:t>和重点</w:t>
      </w:r>
      <w:r>
        <w:rPr>
          <w:rFonts w:hint="default" w:ascii="Times New Roman" w:hAnsi="Times New Roman" w:eastAsia="仿宋_GB2312" w:cs="Times New Roman"/>
          <w:b w:val="0"/>
          <w:bCs w:val="0"/>
          <w:color w:val="000000"/>
          <w:sz w:val="32"/>
          <w:szCs w:val="32"/>
          <w:lang w:val="en-US" w:eastAsia="zh-CN"/>
        </w:rPr>
        <w:t>区域</w:t>
      </w:r>
      <w:r>
        <w:rPr>
          <w:rFonts w:hint="default" w:ascii="Times New Roman" w:hAnsi="Times New Roman" w:eastAsia="仿宋_GB2312" w:cs="Times New Roman"/>
          <w:b w:val="0"/>
          <w:bCs w:val="0"/>
          <w:color w:val="000000"/>
          <w:sz w:val="32"/>
          <w:szCs w:val="32"/>
        </w:rPr>
        <w:t>帮扶政策，组织开展东西部协作、定点帮扶、社会帮扶、易地搬迁后续扶持，会同有关部门组织实施过渡期内巩固拓展脱贫攻坚成果相关考核评估工作，研究提出</w:t>
      </w:r>
      <w:r>
        <w:rPr>
          <w:rFonts w:hint="default" w:ascii="Times New Roman" w:hAnsi="Times New Roman" w:eastAsia="仿宋_GB2312" w:cs="Times New Roman"/>
          <w:b w:val="0"/>
          <w:bCs w:val="0"/>
          <w:color w:val="000000"/>
          <w:sz w:val="32"/>
          <w:szCs w:val="32"/>
          <w:lang w:eastAsia="zh-CN"/>
        </w:rPr>
        <w:t>各</w:t>
      </w:r>
      <w:r>
        <w:rPr>
          <w:rFonts w:hint="default" w:ascii="Times New Roman" w:hAnsi="Times New Roman" w:eastAsia="仿宋_GB2312" w:cs="Times New Roman"/>
          <w:b w:val="0"/>
          <w:bCs w:val="0"/>
          <w:color w:val="000000"/>
          <w:sz w:val="32"/>
          <w:szCs w:val="32"/>
        </w:rPr>
        <w:t>级财政衔接推进乡村振兴相关资金分配建议方案并指导、监督资金使用，推动乡村帮扶产业发展。承担农村低收入人口</w:t>
      </w:r>
      <w:r>
        <w:rPr>
          <w:rFonts w:hint="default" w:ascii="Times New Roman" w:hAnsi="Times New Roman" w:eastAsia="仿宋_GB2312" w:cs="Times New Roman"/>
          <w:b w:val="0"/>
          <w:bCs w:val="0"/>
          <w:color w:val="000000"/>
          <w:sz w:val="32"/>
          <w:szCs w:val="32"/>
          <w:lang w:eastAsia="zh-CN"/>
        </w:rPr>
        <w:t>和脱贫地区</w:t>
      </w:r>
      <w:r>
        <w:rPr>
          <w:rFonts w:hint="default" w:ascii="Times New Roman" w:hAnsi="Times New Roman" w:eastAsia="仿宋_GB2312" w:cs="Times New Roman"/>
          <w:b w:val="0"/>
          <w:bCs w:val="0"/>
          <w:color w:val="000000"/>
          <w:sz w:val="32"/>
          <w:szCs w:val="32"/>
        </w:rPr>
        <w:t>常态化帮扶有关工作，构建长效帮扶机制。</w:t>
      </w:r>
    </w:p>
    <w:p w14:paraId="759A5F4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负责指导全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乡村特色产业、农产品加工业</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产地初加工</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、休闲农业和乡村企业发展工作，推动延长农产品产业链</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指导特色农产品优势区建设和管理工作。组织拟订并实施现代农业园区的政策</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规划</w:t>
      </w:r>
      <w:r>
        <w:rPr>
          <w:rFonts w:hint="default" w:ascii="Times New Roman" w:hAnsi="Times New Roman" w:eastAsia="仿宋_GB2312" w:cs="Times New Roman"/>
          <w:b w:val="0"/>
          <w:bCs w:val="0"/>
          <w:color w:val="000000"/>
          <w:sz w:val="32"/>
          <w:szCs w:val="32"/>
          <w:lang w:eastAsia="zh-CN"/>
        </w:rPr>
        <w:t>和标准化建设</w:t>
      </w:r>
      <w:r>
        <w:rPr>
          <w:rFonts w:hint="default" w:ascii="Times New Roman" w:hAnsi="Times New Roman" w:eastAsia="仿宋_GB2312" w:cs="Times New Roman"/>
          <w:b w:val="0"/>
          <w:bCs w:val="0"/>
          <w:color w:val="000000"/>
          <w:sz w:val="32"/>
          <w:szCs w:val="32"/>
        </w:rPr>
        <w:t>，负</w:t>
      </w:r>
      <w:r>
        <w:rPr>
          <w:rFonts w:hint="default" w:ascii="Times New Roman" w:hAnsi="Times New Roman" w:eastAsia="仿宋_GB2312" w:cs="Times New Roman"/>
          <w:b w:val="0"/>
          <w:bCs w:val="0"/>
          <w:color w:val="000000"/>
          <w:sz w:val="32"/>
          <w:szCs w:val="32"/>
          <w:lang w:eastAsia="zh-CN"/>
        </w:rPr>
        <w:t>责</w:t>
      </w:r>
      <w:r>
        <w:rPr>
          <w:rFonts w:hint="default" w:ascii="Times New Roman" w:hAnsi="Times New Roman" w:eastAsia="仿宋_GB2312" w:cs="Times New Roman"/>
          <w:b w:val="0"/>
          <w:bCs w:val="0"/>
          <w:color w:val="000000"/>
          <w:sz w:val="32"/>
          <w:szCs w:val="32"/>
        </w:rPr>
        <w:t>现代农业园区评定工作。</w:t>
      </w:r>
      <w:r>
        <w:rPr>
          <w:rFonts w:hint="default" w:ascii="Times New Roman" w:hAnsi="Times New Roman" w:eastAsia="仿宋_GB2312" w:cs="Times New Roman"/>
          <w:b w:val="0"/>
          <w:bCs w:val="0"/>
          <w:color w:val="000000"/>
          <w:sz w:val="32"/>
          <w:szCs w:val="32"/>
          <w:u w:val="none"/>
        </w:rPr>
        <w:t>提出促进大宗农产品流通政策和主要农产品进口建议，研究制定大宗农产品市场体系建设与发展规划。</w:t>
      </w:r>
      <w:r>
        <w:rPr>
          <w:rFonts w:hint="default" w:ascii="Times New Roman" w:hAnsi="Times New Roman" w:eastAsia="仿宋_GB2312" w:cs="Times New Roman"/>
          <w:b w:val="0"/>
          <w:bCs w:val="0"/>
          <w:color w:val="000000"/>
          <w:sz w:val="32"/>
          <w:szCs w:val="32"/>
        </w:rPr>
        <w:t>培育、保护和发展农业品牌，组织协调“</w:t>
      </w:r>
      <w:r>
        <w:rPr>
          <w:rFonts w:hint="default" w:ascii="Times New Roman" w:hAnsi="Times New Roman" w:eastAsia="仿宋_GB2312" w:cs="Times New Roman"/>
          <w:b w:val="0"/>
          <w:bCs w:val="0"/>
          <w:color w:val="000000"/>
          <w:sz w:val="32"/>
          <w:szCs w:val="32"/>
          <w:lang w:eastAsia="zh-CN"/>
        </w:rPr>
        <w:t>菜</w:t>
      </w:r>
      <w:r>
        <w:rPr>
          <w:rFonts w:hint="eastAsia" w:ascii="Times New Roman" w:hAnsi="Times New Roman" w:eastAsia="仿宋_GB2312" w:cs="Times New Roman"/>
          <w:b w:val="0"/>
          <w:bCs w:val="0"/>
          <w:color w:val="000000"/>
          <w:sz w:val="32"/>
          <w:szCs w:val="32"/>
          <w:lang w:val="en-US" w:eastAsia="zh-CN"/>
        </w:rPr>
        <w:t>篮</w:t>
      </w:r>
      <w:r>
        <w:rPr>
          <w:rFonts w:hint="default" w:ascii="Times New Roman" w:hAnsi="Times New Roman" w:eastAsia="仿宋_GB2312" w:cs="Times New Roman"/>
          <w:b w:val="0"/>
          <w:bCs w:val="0"/>
          <w:color w:val="000000"/>
          <w:sz w:val="32"/>
          <w:szCs w:val="32"/>
          <w:lang w:eastAsia="zh-CN"/>
        </w:rPr>
        <w:t>子</w:t>
      </w:r>
      <w:r>
        <w:rPr>
          <w:rFonts w:hint="default" w:ascii="Times New Roman" w:hAnsi="Times New Roman" w:eastAsia="仿宋_GB2312" w:cs="Times New Roman"/>
          <w:b w:val="0"/>
          <w:bCs w:val="0"/>
          <w:color w:val="000000"/>
          <w:sz w:val="32"/>
          <w:szCs w:val="32"/>
        </w:rPr>
        <w:t>”工程有关工作。</w:t>
      </w:r>
    </w:p>
    <w:p w14:paraId="643C09C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种植业、畜牧业、渔业、农业机械化等农业各产业的监督管理。指导粮食等农产品生产，推进构建多元化食物供给体系。指导粮食生产功能区和重要农产品生产保护区建设和管理工作。组织构建现代农业产业体系、生产体系、经营体系，指导农业标准化、规模化生产。落实促进粮油、畜禽、水产等主要农产品生产发展的相关政策措施，引导农业产业结构调整和产品品质改善，促进农业绿色发展。负责渔政渔港、网具监督管理。</w:t>
      </w:r>
    </w:p>
    <w:p w14:paraId="4240EFB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负责拟订全区农业全产业机械化、智能化、数字化发展规划并组织实施。组织开展农业机械重大关键技术攻关，引进、示范和推广农业机械新技术、新机具。</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农业机械基础设施的规划建设和管理工作。</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设施农业、农机库棚、机电提灌、农业机械作业通行条件等基础设施建设。</w:t>
      </w:r>
    </w:p>
    <w:p w14:paraId="6FE2A76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rPr>
        <w:t>负</w:t>
      </w:r>
      <w:r>
        <w:rPr>
          <w:rFonts w:hint="default" w:ascii="Times New Roman" w:hAnsi="Times New Roman" w:eastAsia="仿宋_GB2312" w:cs="Times New Roman"/>
          <w:b w:val="0"/>
          <w:bCs w:val="0"/>
          <w:color w:val="000000"/>
          <w:sz w:val="32"/>
          <w:szCs w:val="32"/>
          <w:lang w:eastAsia="zh-CN"/>
        </w:rPr>
        <w:t>责</w:t>
      </w:r>
      <w:r>
        <w:rPr>
          <w:rFonts w:hint="default" w:ascii="Times New Roman" w:hAnsi="Times New Roman" w:eastAsia="仿宋_GB2312" w:cs="Times New Roman"/>
          <w:b w:val="0"/>
          <w:bCs w:val="0"/>
          <w:color w:val="000000"/>
          <w:sz w:val="32"/>
          <w:szCs w:val="32"/>
        </w:rPr>
        <w:t>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农产品质量安全监督管理。组织开展农产品质量安全监测、追溯、风险评估。参与</w:t>
      </w:r>
      <w:r>
        <w:rPr>
          <w:rFonts w:hint="default" w:ascii="Times New Roman" w:hAnsi="Times New Roman" w:eastAsia="仿宋_GB2312" w:cs="Times New Roman"/>
          <w:b w:val="0"/>
          <w:bCs w:val="0"/>
          <w:color w:val="000000"/>
          <w:sz w:val="32"/>
          <w:szCs w:val="32"/>
          <w:lang w:eastAsia="zh-CN"/>
        </w:rPr>
        <w:t>拟订初级</w:t>
      </w:r>
      <w:r>
        <w:rPr>
          <w:rFonts w:hint="default" w:ascii="Times New Roman" w:hAnsi="Times New Roman" w:eastAsia="仿宋_GB2312" w:cs="Times New Roman"/>
          <w:b w:val="0"/>
          <w:bCs w:val="0"/>
          <w:color w:val="000000"/>
          <w:sz w:val="32"/>
          <w:szCs w:val="32"/>
        </w:rPr>
        <w:t>农产品质量安全地方标准</w:t>
      </w:r>
      <w:r>
        <w:rPr>
          <w:rFonts w:hint="default" w:ascii="Times New Roman" w:hAnsi="Times New Roman" w:eastAsia="仿宋_GB2312" w:cs="Times New Roman"/>
          <w:b w:val="0"/>
          <w:bCs w:val="0"/>
          <w:color w:val="000000"/>
          <w:sz w:val="32"/>
          <w:szCs w:val="32"/>
          <w:lang w:eastAsia="zh-CN"/>
        </w:rPr>
        <w:t>并</w:t>
      </w:r>
      <w:r>
        <w:rPr>
          <w:rFonts w:hint="default" w:ascii="Times New Roman" w:hAnsi="Times New Roman" w:eastAsia="仿宋_GB2312" w:cs="Times New Roman"/>
          <w:b w:val="0"/>
          <w:bCs w:val="0"/>
          <w:color w:val="000000"/>
          <w:sz w:val="32"/>
          <w:szCs w:val="32"/>
        </w:rPr>
        <w:t>会同有关部门组织实施</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农业检验检测体系建设</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依法组织实施符合安全标准的初级农产品生产基地认定、产品认证、初级农产品地理标志登记保护和监督管理。负责农业信息体系建设，推动数字农业发展。发布农业农村经济信息，监测分析农业农村经济运行。</w:t>
      </w:r>
      <w:r>
        <w:rPr>
          <w:rFonts w:hint="default" w:ascii="Times New Roman" w:hAnsi="Times New Roman" w:eastAsia="仿宋_GB2312" w:cs="Times New Roman"/>
          <w:b w:val="0"/>
          <w:bCs w:val="0"/>
          <w:color w:val="000000"/>
          <w:sz w:val="32"/>
          <w:szCs w:val="32"/>
          <w:lang w:eastAsia="zh-CN"/>
        </w:rPr>
        <w:t>承担农业统计工作。</w:t>
      </w:r>
      <w:r>
        <w:rPr>
          <w:rFonts w:hint="default" w:ascii="Times New Roman" w:hAnsi="Times New Roman" w:eastAsia="仿宋_GB2312" w:cs="Times New Roman"/>
          <w:b w:val="0"/>
          <w:bCs w:val="0"/>
          <w:color w:val="000000"/>
          <w:sz w:val="32"/>
          <w:szCs w:val="32"/>
        </w:rPr>
        <w:t>负责农村能源建设和资源环境工作。</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农产品产地环境管理和农业清洁生产，提出划定农产品禁止生产区域的政策建议。</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设施农业、生态循环农业、节水农业发展以及农村可再生能源综合开发利用、农业生物质产业发展</w:t>
      </w:r>
      <w:r>
        <w:rPr>
          <w:rFonts w:hint="default" w:ascii="Times New Roman" w:hAnsi="Times New Roman" w:eastAsia="仿宋_GB2312" w:cs="Times New Roman"/>
          <w:b w:val="0"/>
          <w:bCs w:val="0"/>
          <w:color w:val="000000"/>
          <w:sz w:val="32"/>
          <w:szCs w:val="32"/>
          <w:lang w:eastAsia="zh-CN"/>
        </w:rPr>
        <w:t>。</w:t>
      </w:r>
    </w:p>
    <w:p w14:paraId="107BCD6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负责耕地、永久基本农田质量保护和高标准农田建设工作。负责全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农田建设管理</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编制农业综合开发项目、农田建设项目、农田整治项目、农田水利建设项目的年度计划，并组织实施和管理。组织开展全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农业资源区划和资源保护工作。</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农用地、渔业水域以及农业生物物种资源的保护与管理，负责水生野生动植物保护。</w:t>
      </w:r>
    </w:p>
    <w:p w14:paraId="654165B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10.</w:t>
      </w:r>
      <w:r>
        <w:rPr>
          <w:rFonts w:hint="default" w:ascii="Times New Roman" w:hAnsi="Times New Roman" w:eastAsia="仿宋_GB2312" w:cs="Times New Roman"/>
          <w:b w:val="0"/>
          <w:bCs w:val="0"/>
          <w:color w:val="000000"/>
          <w:sz w:val="32"/>
          <w:szCs w:val="32"/>
        </w:rPr>
        <w:t>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有关农业生产资料和农业投入品的监督管理。组织农业生产资料市场体系建设，承担农作物种子</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种苗</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、食用菌种、蚕种、饲草良种、种畜禽、水产苗种、农药、兽药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渔药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饲料、饲料添加剂等农业生产资料的监督管理职责。牵头负责“瘦肉精”监督管理工作。监督管理兽医医疗器械、肥料。拟订有关农业生产资料地方标准并监督实施，会同有关部门监督实施农业生产资料国家标准。牵头拟订种业振兴政策并组织实施</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组织兽医医政、兽药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渔药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药政药检工作，负责执业兽医和畜禽屠宰行业管理。</w:t>
      </w:r>
    </w:p>
    <w:p w14:paraId="3716C42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11.</w:t>
      </w:r>
      <w:r>
        <w:rPr>
          <w:rFonts w:hint="default" w:ascii="Times New Roman" w:hAnsi="Times New Roman" w:eastAsia="仿宋_GB2312" w:cs="Times New Roman"/>
          <w:b w:val="0"/>
          <w:bCs w:val="0"/>
          <w:color w:val="000000"/>
          <w:sz w:val="32"/>
          <w:szCs w:val="32"/>
        </w:rPr>
        <w:t>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农业防灾减灾、农作物重大病虫害防治工</w:t>
      </w:r>
      <w:r>
        <w:rPr>
          <w:rFonts w:hint="default" w:ascii="Times New Roman" w:hAnsi="Times New Roman" w:eastAsia="仿宋_GB2312" w:cs="Times New Roman"/>
          <w:b w:val="0"/>
          <w:bCs w:val="0"/>
          <w:color w:val="000000"/>
          <w:sz w:val="32"/>
          <w:szCs w:val="32"/>
          <w:lang w:eastAsia="zh-CN"/>
        </w:rPr>
        <w:t>作。牵头起草</w:t>
      </w:r>
      <w:r>
        <w:rPr>
          <w:rFonts w:hint="default" w:ascii="Times New Roman" w:hAnsi="Times New Roman" w:eastAsia="仿宋_GB2312" w:cs="Times New Roman"/>
          <w:b w:val="0"/>
          <w:bCs w:val="0"/>
          <w:color w:val="000000"/>
          <w:sz w:val="32"/>
          <w:szCs w:val="32"/>
        </w:rPr>
        <w:t>动植物防</w:t>
      </w:r>
      <w:r>
        <w:rPr>
          <w:rFonts w:hint="default" w:ascii="Times New Roman" w:hAnsi="Times New Roman" w:eastAsia="仿宋_GB2312" w:cs="Times New Roman"/>
          <w:b w:val="0"/>
          <w:bCs w:val="0"/>
          <w:color w:val="000000"/>
          <w:sz w:val="32"/>
          <w:szCs w:val="32"/>
          <w:lang w:eastAsia="zh-CN"/>
        </w:rPr>
        <w:t>疫</w:t>
      </w:r>
      <w:r>
        <w:rPr>
          <w:rFonts w:hint="default" w:ascii="Times New Roman" w:hAnsi="Times New Roman" w:eastAsia="仿宋_GB2312" w:cs="Times New Roman"/>
          <w:b w:val="0"/>
          <w:bCs w:val="0"/>
          <w:color w:val="000000"/>
          <w:sz w:val="32"/>
          <w:szCs w:val="32"/>
        </w:rPr>
        <w:t>和检</w:t>
      </w:r>
      <w:r>
        <w:rPr>
          <w:rFonts w:hint="default" w:ascii="Times New Roman" w:hAnsi="Times New Roman" w:eastAsia="仿宋_GB2312" w:cs="Times New Roman"/>
          <w:b w:val="0"/>
          <w:bCs w:val="0"/>
          <w:color w:val="000000"/>
          <w:sz w:val="32"/>
          <w:szCs w:val="32"/>
          <w:lang w:eastAsia="zh-CN"/>
        </w:rPr>
        <w:t>疫</w:t>
      </w:r>
      <w:r>
        <w:rPr>
          <w:rFonts w:hint="default" w:ascii="Times New Roman" w:hAnsi="Times New Roman" w:eastAsia="仿宋_GB2312" w:cs="Times New Roman"/>
          <w:b w:val="0"/>
          <w:bCs w:val="0"/>
          <w:color w:val="000000"/>
          <w:sz w:val="32"/>
          <w:szCs w:val="32"/>
        </w:rPr>
        <w:t>的</w:t>
      </w:r>
      <w:r>
        <w:rPr>
          <w:rFonts w:hint="default" w:ascii="Times New Roman" w:hAnsi="Times New Roman" w:eastAsia="仿宋_GB2312" w:cs="Times New Roman"/>
          <w:b w:val="0"/>
          <w:bCs w:val="0"/>
          <w:color w:val="000000"/>
          <w:sz w:val="32"/>
          <w:szCs w:val="32"/>
          <w:lang w:eastAsia="zh-CN"/>
        </w:rPr>
        <w:t>规范性文件</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会</w:t>
      </w:r>
      <w:r>
        <w:rPr>
          <w:rFonts w:hint="default" w:ascii="Times New Roman" w:hAnsi="Times New Roman" w:eastAsia="仿宋_GB2312" w:cs="Times New Roman"/>
          <w:b w:val="0"/>
          <w:bCs w:val="0"/>
          <w:color w:val="000000"/>
          <w:sz w:val="32"/>
          <w:szCs w:val="32"/>
        </w:rPr>
        <w:t>同</w:t>
      </w:r>
      <w:r>
        <w:rPr>
          <w:rFonts w:hint="default" w:ascii="Times New Roman" w:hAnsi="Times New Roman" w:eastAsia="仿宋_GB2312" w:cs="Times New Roman"/>
          <w:b w:val="0"/>
          <w:bCs w:val="0"/>
          <w:color w:val="000000"/>
          <w:sz w:val="32"/>
          <w:szCs w:val="32"/>
          <w:lang w:eastAsia="zh-CN"/>
        </w:rPr>
        <w:t>有</w:t>
      </w:r>
      <w:r>
        <w:rPr>
          <w:rFonts w:hint="default" w:ascii="Times New Roman" w:hAnsi="Times New Roman" w:eastAsia="仿宋_GB2312" w:cs="Times New Roman"/>
          <w:b w:val="0"/>
          <w:bCs w:val="0"/>
          <w:color w:val="000000"/>
          <w:sz w:val="32"/>
          <w:szCs w:val="32"/>
        </w:rPr>
        <w:t>关</w:t>
      </w:r>
      <w:r>
        <w:rPr>
          <w:rFonts w:hint="default" w:ascii="Times New Roman" w:hAnsi="Times New Roman" w:eastAsia="仿宋_GB2312" w:cs="Times New Roman"/>
          <w:b w:val="0"/>
          <w:bCs w:val="0"/>
          <w:color w:val="000000"/>
          <w:sz w:val="32"/>
          <w:szCs w:val="32"/>
          <w:lang w:eastAsia="zh-CN"/>
        </w:rPr>
        <w:t>部门</w:t>
      </w:r>
      <w:r>
        <w:rPr>
          <w:rFonts w:hint="default" w:ascii="Times New Roman" w:hAnsi="Times New Roman" w:eastAsia="仿宋_GB2312" w:cs="Times New Roman"/>
          <w:b w:val="0"/>
          <w:bCs w:val="0"/>
          <w:color w:val="000000"/>
          <w:sz w:val="32"/>
          <w:szCs w:val="32"/>
        </w:rPr>
        <w:t>制定动植物防</w:t>
      </w:r>
      <w:r>
        <w:rPr>
          <w:rFonts w:hint="default" w:ascii="Times New Roman" w:hAnsi="Times New Roman" w:eastAsia="仿宋_GB2312" w:cs="Times New Roman"/>
          <w:b w:val="0"/>
          <w:bCs w:val="0"/>
          <w:color w:val="000000"/>
          <w:sz w:val="32"/>
          <w:szCs w:val="32"/>
          <w:lang w:eastAsia="zh-CN"/>
        </w:rPr>
        <w:t>疫</w:t>
      </w:r>
      <w:r>
        <w:rPr>
          <w:rFonts w:hint="default" w:ascii="Times New Roman" w:hAnsi="Times New Roman" w:eastAsia="仿宋_GB2312" w:cs="Times New Roman"/>
          <w:b w:val="0"/>
          <w:bCs w:val="0"/>
          <w:color w:val="000000"/>
          <w:sz w:val="32"/>
          <w:szCs w:val="32"/>
        </w:rPr>
        <w:t>检</w:t>
      </w:r>
      <w:r>
        <w:rPr>
          <w:rFonts w:hint="default" w:ascii="Times New Roman" w:hAnsi="Times New Roman" w:eastAsia="仿宋_GB2312" w:cs="Times New Roman"/>
          <w:b w:val="0"/>
          <w:bCs w:val="0"/>
          <w:color w:val="000000"/>
          <w:sz w:val="32"/>
          <w:szCs w:val="32"/>
          <w:lang w:eastAsia="zh-CN"/>
        </w:rPr>
        <w:t>疫</w:t>
      </w:r>
      <w:r>
        <w:rPr>
          <w:rFonts w:hint="default" w:ascii="Times New Roman" w:hAnsi="Times New Roman" w:eastAsia="仿宋_GB2312" w:cs="Times New Roman"/>
          <w:b w:val="0"/>
          <w:bCs w:val="0"/>
          <w:color w:val="000000"/>
          <w:sz w:val="32"/>
          <w:szCs w:val="32"/>
        </w:rPr>
        <w:t>政策</w:t>
      </w:r>
      <w:r>
        <w:rPr>
          <w:rFonts w:hint="default" w:ascii="Times New Roman" w:hAnsi="Times New Roman" w:eastAsia="仿宋_GB2312" w:cs="Times New Roman"/>
          <w:b w:val="0"/>
          <w:bCs w:val="0"/>
          <w:color w:val="000000"/>
          <w:sz w:val="32"/>
          <w:szCs w:val="32"/>
          <w:lang w:eastAsia="zh-CN"/>
        </w:rPr>
        <w:t>并</w:t>
      </w:r>
      <w:r>
        <w:rPr>
          <w:rFonts w:hint="default" w:ascii="Times New Roman" w:hAnsi="Times New Roman" w:eastAsia="仿宋_GB2312" w:cs="Times New Roman"/>
          <w:b w:val="0"/>
          <w:bCs w:val="0"/>
          <w:color w:val="000000"/>
          <w:sz w:val="32"/>
          <w:szCs w:val="32"/>
        </w:rPr>
        <w:t>实施。</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动植物防</w:t>
      </w:r>
      <w:r>
        <w:rPr>
          <w:rFonts w:hint="default" w:ascii="Times New Roman" w:hAnsi="Times New Roman" w:eastAsia="仿宋_GB2312" w:cs="Times New Roman"/>
          <w:b w:val="0"/>
          <w:bCs w:val="0"/>
          <w:color w:val="000000"/>
          <w:sz w:val="32"/>
          <w:szCs w:val="32"/>
          <w:lang w:eastAsia="zh-CN"/>
        </w:rPr>
        <w:t>疫检疫体</w:t>
      </w:r>
      <w:r>
        <w:rPr>
          <w:rFonts w:hint="default" w:ascii="Times New Roman" w:hAnsi="Times New Roman" w:eastAsia="仿宋_GB2312" w:cs="Times New Roman"/>
          <w:b w:val="0"/>
          <w:bCs w:val="0"/>
          <w:color w:val="000000"/>
          <w:sz w:val="32"/>
          <w:szCs w:val="32"/>
        </w:rPr>
        <w:t>系建设，组织监督管理</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内动植物防疫检疫工作</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依法组织扑灭、阻击疫情。组织植物检疫性有害生物普查。牵头管理外来农业物种。监测、核查、发布农业灾情，组织种子、种苗、化肥、</w:t>
      </w:r>
      <w:r>
        <w:rPr>
          <w:rFonts w:hint="default" w:ascii="Times New Roman" w:hAnsi="Times New Roman" w:eastAsia="仿宋_GB2312" w:cs="Times New Roman"/>
          <w:b w:val="0"/>
          <w:bCs w:val="0"/>
          <w:color w:val="000000"/>
          <w:sz w:val="32"/>
          <w:szCs w:val="32"/>
          <w:lang w:eastAsia="zh-CN"/>
        </w:rPr>
        <w:t>兽</w:t>
      </w:r>
      <w:r>
        <w:rPr>
          <w:rFonts w:hint="default" w:ascii="Times New Roman" w:hAnsi="Times New Roman" w:eastAsia="仿宋_GB2312" w:cs="Times New Roman"/>
          <w:b w:val="0"/>
          <w:bCs w:val="0"/>
          <w:color w:val="000000"/>
          <w:sz w:val="32"/>
          <w:szCs w:val="32"/>
        </w:rPr>
        <w:t>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渔药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等农业生产</w:t>
      </w:r>
      <w:r>
        <w:rPr>
          <w:rFonts w:hint="default" w:ascii="Times New Roman" w:hAnsi="Times New Roman" w:eastAsia="仿宋_GB2312" w:cs="Times New Roman"/>
          <w:b w:val="0"/>
          <w:bCs w:val="0"/>
          <w:color w:val="000000"/>
          <w:sz w:val="32"/>
          <w:szCs w:val="32"/>
          <w:lang w:eastAsia="zh-CN"/>
        </w:rPr>
        <w:t>救</w:t>
      </w:r>
      <w:r>
        <w:rPr>
          <w:rFonts w:hint="default" w:ascii="Times New Roman" w:hAnsi="Times New Roman" w:eastAsia="仿宋_GB2312" w:cs="Times New Roman"/>
          <w:b w:val="0"/>
          <w:bCs w:val="0"/>
          <w:color w:val="000000"/>
          <w:sz w:val="32"/>
          <w:szCs w:val="32"/>
        </w:rPr>
        <w:t>灾物资的储备和调拨，提出生产救灾资金安排建议，</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紧急救灾和灾后生产恢复。</w:t>
      </w:r>
    </w:p>
    <w:p w14:paraId="56AB8FF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12.</w:t>
      </w:r>
      <w:r>
        <w:rPr>
          <w:rFonts w:hint="default" w:ascii="Times New Roman" w:hAnsi="Times New Roman" w:eastAsia="仿宋_GB2312" w:cs="Times New Roman"/>
          <w:b w:val="0"/>
          <w:bCs w:val="0"/>
          <w:color w:val="000000"/>
          <w:sz w:val="32"/>
          <w:szCs w:val="32"/>
        </w:rPr>
        <w:t>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农业投资管理。提出农业投融资体制机制改革建议。</w:t>
      </w:r>
      <w:r>
        <w:rPr>
          <w:rFonts w:hint="default" w:ascii="Times New Roman" w:hAnsi="Times New Roman" w:eastAsia="仿宋_GB2312" w:cs="Times New Roman"/>
          <w:b w:val="0"/>
          <w:bCs w:val="0"/>
          <w:color w:val="000000"/>
          <w:sz w:val="32"/>
          <w:szCs w:val="32"/>
          <w:lang w:eastAsia="zh-CN"/>
        </w:rPr>
        <w:t>参与农村金融、农业保险的政策拟订和改革试点。</w:t>
      </w:r>
      <w:r>
        <w:rPr>
          <w:rFonts w:hint="default" w:ascii="Times New Roman" w:hAnsi="Times New Roman" w:eastAsia="仿宋_GB2312" w:cs="Times New Roman"/>
          <w:b w:val="0"/>
          <w:bCs w:val="0"/>
          <w:color w:val="000000"/>
          <w:sz w:val="32"/>
          <w:szCs w:val="32"/>
        </w:rPr>
        <w:t>编制</w:t>
      </w:r>
      <w:r>
        <w:rPr>
          <w:rFonts w:hint="default" w:ascii="Times New Roman" w:hAnsi="Times New Roman" w:eastAsia="仿宋_GB2312" w:cs="Times New Roman"/>
          <w:b w:val="0"/>
          <w:bCs w:val="0"/>
          <w:color w:val="000000"/>
          <w:sz w:val="32"/>
          <w:szCs w:val="32"/>
          <w:lang w:val="en-US" w:eastAsia="zh-CN"/>
        </w:rPr>
        <w:t>各级</w:t>
      </w:r>
      <w:r>
        <w:rPr>
          <w:rFonts w:hint="default" w:ascii="Times New Roman" w:hAnsi="Times New Roman" w:eastAsia="仿宋_GB2312" w:cs="Times New Roman"/>
          <w:b w:val="0"/>
          <w:bCs w:val="0"/>
          <w:color w:val="000000"/>
          <w:sz w:val="32"/>
          <w:szCs w:val="32"/>
        </w:rPr>
        <w:t>农业投资项目建设规划，提出农业投资规模和方向、扶持农业农村发展财政项目的建议。按</w:t>
      </w:r>
      <w:r>
        <w:rPr>
          <w:rFonts w:hint="default" w:ascii="Times New Roman" w:hAnsi="Times New Roman" w:eastAsia="仿宋_GB2312" w:cs="Times New Roman"/>
          <w:b w:val="0"/>
          <w:bCs w:val="0"/>
          <w:color w:val="000000"/>
          <w:sz w:val="32"/>
          <w:szCs w:val="32"/>
          <w:lang w:eastAsia="zh-CN"/>
        </w:rPr>
        <w:t>照</w:t>
      </w:r>
      <w:r>
        <w:rPr>
          <w:rFonts w:hint="default" w:ascii="Times New Roman" w:hAnsi="Times New Roman" w:eastAsia="仿宋_GB2312" w:cs="Times New Roman"/>
          <w:b w:val="0"/>
          <w:bCs w:val="0"/>
          <w:color w:val="000000"/>
          <w:sz w:val="32"/>
          <w:szCs w:val="32"/>
        </w:rPr>
        <w:t>规定权限审批农业投资项目，负责农业投资项目资金安排、监督检查和绩效管理。</w:t>
      </w:r>
    </w:p>
    <w:p w14:paraId="33EA3E1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13.</w:t>
      </w:r>
      <w:r>
        <w:rPr>
          <w:rFonts w:hint="default" w:ascii="Times New Roman" w:hAnsi="Times New Roman" w:eastAsia="仿宋_GB2312" w:cs="Times New Roman"/>
          <w:b w:val="0"/>
          <w:bCs w:val="0"/>
          <w:color w:val="000000"/>
          <w:sz w:val="32"/>
          <w:szCs w:val="32"/>
        </w:rPr>
        <w:t>制定全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农业科研、农技推广的规划、计划和有关政策并组织实施，</w:t>
      </w:r>
      <w:r>
        <w:rPr>
          <w:rFonts w:hint="default" w:ascii="Times New Roman" w:hAnsi="Times New Roman" w:eastAsia="仿宋_GB2312" w:cs="Times New Roman"/>
          <w:b w:val="0"/>
          <w:bCs w:val="0"/>
          <w:color w:val="000000"/>
          <w:sz w:val="32"/>
          <w:szCs w:val="32"/>
          <w:lang w:eastAsia="zh-CN"/>
        </w:rPr>
        <w:t>牵头</w:t>
      </w:r>
      <w:r>
        <w:rPr>
          <w:rFonts w:hint="default" w:ascii="Times New Roman" w:hAnsi="Times New Roman" w:eastAsia="仿宋_GB2312" w:cs="Times New Roman"/>
          <w:b w:val="0"/>
          <w:bCs w:val="0"/>
          <w:color w:val="000000"/>
          <w:sz w:val="32"/>
          <w:szCs w:val="32"/>
        </w:rPr>
        <w:t>推动农业科技体制改革和科技创新体系建设。</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农业产业技术体系和农技推广体系建设。组织农作物、畜禽、水产养殖等新品种育种攻关和农业先进技术引进、试验、转化、示范、推广。负责农业转基因生物安全监督管理和农业植物新品种保护。</w:t>
      </w:r>
    </w:p>
    <w:p w14:paraId="5765486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14.</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农业农村人才工作。拟订农业农村人才队伍建设规划并组织实施，</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农业教育和农业职业技能开发，</w:t>
      </w:r>
      <w:r>
        <w:rPr>
          <w:rStyle w:val="11"/>
          <w:rFonts w:hint="default" w:ascii="Times New Roman" w:hAnsi="Times New Roman" w:eastAsia="仿宋_GB2312" w:cs="Times New Roman"/>
          <w:b w:val="0"/>
          <w:bCs w:val="0"/>
          <w:color w:val="000000"/>
          <w:sz w:val="32"/>
          <w:szCs w:val="32"/>
        </w:rPr>
        <w:t>承担</w:t>
      </w:r>
      <w:r>
        <w:rPr>
          <w:rFonts w:hint="default" w:ascii="Times New Roman" w:hAnsi="Times New Roman" w:eastAsia="仿宋_GB2312" w:cs="Times New Roman"/>
          <w:b w:val="0"/>
          <w:bCs w:val="0"/>
          <w:color w:val="000000"/>
          <w:sz w:val="32"/>
          <w:szCs w:val="32"/>
        </w:rPr>
        <w:t>新型职业农民</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高素质农民</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培育、农业科技人才培养和农村实用人才培训工作。</w:t>
      </w:r>
    </w:p>
    <w:p w14:paraId="4590585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15.</w:t>
      </w:r>
      <w:r>
        <w:rPr>
          <w:rFonts w:hint="default" w:ascii="Times New Roman" w:hAnsi="Times New Roman" w:eastAsia="仿宋_GB2312" w:cs="Times New Roman"/>
          <w:b w:val="0"/>
          <w:bCs w:val="0"/>
          <w:color w:val="000000"/>
          <w:sz w:val="32"/>
          <w:szCs w:val="32"/>
          <w:lang w:eastAsia="zh-CN"/>
        </w:rPr>
        <w:t>牵头</w:t>
      </w:r>
      <w:r>
        <w:rPr>
          <w:rFonts w:hint="default" w:ascii="Times New Roman" w:hAnsi="Times New Roman" w:eastAsia="仿宋_GB2312" w:cs="Times New Roman"/>
          <w:b w:val="0"/>
          <w:bCs w:val="0"/>
          <w:color w:val="000000"/>
          <w:sz w:val="32"/>
          <w:szCs w:val="32"/>
        </w:rPr>
        <w:t>开</w:t>
      </w:r>
      <w:r>
        <w:rPr>
          <w:rFonts w:hint="default" w:ascii="Times New Roman" w:hAnsi="Times New Roman" w:eastAsia="仿宋_GB2312" w:cs="Times New Roman"/>
          <w:b w:val="0"/>
          <w:bCs w:val="0"/>
          <w:color w:val="000000"/>
          <w:sz w:val="32"/>
          <w:szCs w:val="32"/>
          <w:lang w:eastAsia="zh-CN"/>
        </w:rPr>
        <w:t>展全区</w:t>
      </w:r>
      <w:r>
        <w:rPr>
          <w:rFonts w:hint="default" w:ascii="Times New Roman" w:hAnsi="Times New Roman" w:eastAsia="仿宋_GB2312" w:cs="Times New Roman"/>
          <w:b w:val="0"/>
          <w:bCs w:val="0"/>
          <w:color w:val="000000"/>
          <w:sz w:val="32"/>
          <w:szCs w:val="32"/>
        </w:rPr>
        <w:t>农业对外合作工作</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承办政府间农业</w:t>
      </w:r>
      <w:r>
        <w:rPr>
          <w:rFonts w:hint="default" w:ascii="Times New Roman" w:hAnsi="Times New Roman" w:eastAsia="仿宋_GB2312" w:cs="Times New Roman"/>
          <w:b w:val="0"/>
          <w:bCs w:val="0"/>
          <w:color w:val="000000"/>
          <w:sz w:val="32"/>
          <w:szCs w:val="32"/>
          <w:lang w:eastAsia="zh-CN"/>
        </w:rPr>
        <w:t>涉</w:t>
      </w:r>
      <w:r>
        <w:rPr>
          <w:rFonts w:hint="default" w:ascii="Times New Roman" w:hAnsi="Times New Roman" w:eastAsia="仿宋_GB2312" w:cs="Times New Roman"/>
          <w:b w:val="0"/>
          <w:bCs w:val="0"/>
          <w:color w:val="000000"/>
          <w:sz w:val="32"/>
          <w:szCs w:val="32"/>
        </w:rPr>
        <w:t>外事务</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参与</w:t>
      </w:r>
      <w:r>
        <w:rPr>
          <w:rFonts w:hint="default" w:ascii="Times New Roman" w:hAnsi="Times New Roman" w:eastAsia="仿宋_GB2312" w:cs="Times New Roman"/>
          <w:b w:val="0"/>
          <w:bCs w:val="0"/>
          <w:color w:val="000000"/>
          <w:sz w:val="32"/>
          <w:szCs w:val="32"/>
          <w:lang w:eastAsia="zh-CN"/>
        </w:rPr>
        <w:t>拟</w:t>
      </w:r>
      <w:r>
        <w:rPr>
          <w:rFonts w:hint="default" w:ascii="Times New Roman" w:hAnsi="Times New Roman" w:eastAsia="仿宋_GB2312" w:cs="Times New Roman"/>
          <w:b w:val="0"/>
          <w:bCs w:val="0"/>
          <w:color w:val="000000"/>
          <w:sz w:val="32"/>
          <w:szCs w:val="32"/>
        </w:rPr>
        <w:t>订农</w:t>
      </w:r>
      <w:r>
        <w:rPr>
          <w:rFonts w:hint="default" w:ascii="Times New Roman" w:hAnsi="Times New Roman" w:eastAsia="仿宋_GB2312" w:cs="Times New Roman"/>
          <w:b w:val="0"/>
          <w:bCs w:val="0"/>
          <w:color w:val="000000"/>
          <w:sz w:val="32"/>
          <w:szCs w:val="32"/>
          <w:lang w:eastAsia="zh-CN"/>
        </w:rPr>
        <w:t>业</w:t>
      </w:r>
      <w:r>
        <w:rPr>
          <w:rFonts w:hint="default" w:ascii="Times New Roman" w:hAnsi="Times New Roman" w:eastAsia="仿宋_GB2312" w:cs="Times New Roman"/>
          <w:b w:val="0"/>
          <w:bCs w:val="0"/>
          <w:color w:val="000000"/>
          <w:sz w:val="32"/>
          <w:szCs w:val="32"/>
        </w:rPr>
        <w:t>对外开放</w:t>
      </w:r>
      <w:r>
        <w:rPr>
          <w:rFonts w:hint="default" w:ascii="Times New Roman" w:hAnsi="Times New Roman" w:eastAsia="仿宋_GB2312" w:cs="Times New Roman"/>
          <w:b w:val="0"/>
          <w:bCs w:val="0"/>
          <w:color w:val="000000"/>
          <w:sz w:val="32"/>
          <w:szCs w:val="32"/>
          <w:lang w:eastAsia="zh-CN"/>
        </w:rPr>
        <w:t>政策</w:t>
      </w:r>
      <w:r>
        <w:rPr>
          <w:rFonts w:hint="default" w:ascii="Times New Roman" w:hAnsi="Times New Roman" w:eastAsia="仿宋_GB2312" w:cs="Times New Roman"/>
          <w:b w:val="0"/>
          <w:bCs w:val="0"/>
          <w:color w:val="000000"/>
          <w:sz w:val="32"/>
          <w:szCs w:val="32"/>
        </w:rPr>
        <w:t>和外向型农业发展</w:t>
      </w:r>
      <w:r>
        <w:rPr>
          <w:rFonts w:hint="default" w:ascii="Times New Roman" w:hAnsi="Times New Roman" w:eastAsia="仿宋_GB2312" w:cs="Times New Roman"/>
          <w:b w:val="0"/>
          <w:bCs w:val="0"/>
          <w:color w:val="000000"/>
          <w:sz w:val="32"/>
          <w:szCs w:val="32"/>
          <w:lang w:eastAsia="zh-CN"/>
        </w:rPr>
        <w:t>规划</w:t>
      </w:r>
      <w:r>
        <w:rPr>
          <w:rFonts w:hint="default" w:ascii="Times New Roman" w:hAnsi="Times New Roman" w:eastAsia="仿宋_GB2312" w:cs="Times New Roman"/>
          <w:b w:val="0"/>
          <w:bCs w:val="0"/>
          <w:color w:val="000000"/>
          <w:sz w:val="32"/>
          <w:szCs w:val="32"/>
        </w:rPr>
        <w:t>，指导外向型农业发展</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组织开展农业贸易促进和有关国际交流合作</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组织开展农业投资促进活动，推动农业开放合作。</w:t>
      </w:r>
    </w:p>
    <w:p w14:paraId="063A4C4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16.</w:t>
      </w:r>
      <w:r>
        <w:rPr>
          <w:rFonts w:hint="default" w:ascii="Times New Roman" w:hAnsi="Times New Roman" w:eastAsia="仿宋_GB2312" w:cs="Times New Roman"/>
          <w:b w:val="0"/>
          <w:bCs w:val="0"/>
          <w:color w:val="000000"/>
          <w:sz w:val="32"/>
          <w:szCs w:val="32"/>
        </w:rPr>
        <w:t>编制全区烟叶种植规划方案，督促检查烟叶种植方案贯彻落实。协调烟草工业、商业做好相关工作。组织实施区级烟草扶持项目。</w:t>
      </w:r>
    </w:p>
    <w:p w14:paraId="5E5960B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17.</w:t>
      </w:r>
      <w:r>
        <w:rPr>
          <w:rFonts w:hint="default" w:ascii="Times New Roman" w:hAnsi="Times New Roman" w:eastAsia="仿宋_GB2312" w:cs="Times New Roman"/>
          <w:b w:val="0"/>
          <w:bCs w:val="0"/>
          <w:color w:val="000000"/>
          <w:sz w:val="32"/>
          <w:szCs w:val="32"/>
        </w:rPr>
        <w:t>依法依规负责农业农村安全生产和职业健康监督管理工作。负责农业机械、农</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兽</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药、</w:t>
      </w:r>
      <w:r>
        <w:rPr>
          <w:rFonts w:hint="default" w:ascii="Times New Roman" w:hAnsi="Times New Roman" w:eastAsia="仿宋_GB2312" w:cs="Times New Roman"/>
          <w:b w:val="0"/>
          <w:bCs w:val="0"/>
          <w:color w:val="000000"/>
          <w:sz w:val="32"/>
          <w:szCs w:val="32"/>
          <w:lang w:eastAsia="zh-CN"/>
        </w:rPr>
        <w:t>饲</w:t>
      </w:r>
      <w:r>
        <w:rPr>
          <w:rFonts w:hint="default" w:ascii="Times New Roman" w:hAnsi="Times New Roman" w:eastAsia="仿宋_GB2312" w:cs="Times New Roman"/>
          <w:b w:val="0"/>
          <w:bCs w:val="0"/>
          <w:color w:val="000000"/>
          <w:sz w:val="32"/>
          <w:szCs w:val="32"/>
        </w:rPr>
        <w:t>料、渔业、畜禽屠宰行业安全生产和职业健康的监督管理。负责组织实施农村沼气项目的安全生产和职业健康监督管理。对农业园区的安全生产和职业健康工作实施行业监督管理。负责</w:t>
      </w:r>
      <w:r>
        <w:rPr>
          <w:rFonts w:hint="default" w:ascii="Times New Roman" w:hAnsi="Times New Roman" w:eastAsia="仿宋_GB2312" w:cs="Times New Roman"/>
          <w:b w:val="0"/>
          <w:bCs w:val="0"/>
          <w:color w:val="000000"/>
          <w:sz w:val="32"/>
          <w:szCs w:val="32"/>
          <w:lang w:val="en-US" w:eastAsia="zh-CN"/>
        </w:rPr>
        <w:t>制定</w:t>
      </w:r>
      <w:r>
        <w:rPr>
          <w:rFonts w:hint="default" w:ascii="Times New Roman" w:hAnsi="Times New Roman" w:eastAsia="仿宋_GB2312" w:cs="Times New Roman"/>
          <w:b w:val="0"/>
          <w:bCs w:val="0"/>
          <w:color w:val="000000"/>
          <w:sz w:val="32"/>
          <w:szCs w:val="32"/>
        </w:rPr>
        <w:t>职责范围内的安全生产年度监督检查计划并组织实施。</w:t>
      </w:r>
    </w:p>
    <w:p w14:paraId="19328CC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18.</w:t>
      </w:r>
      <w:r>
        <w:rPr>
          <w:rFonts w:hint="default" w:ascii="Times New Roman" w:hAnsi="Times New Roman" w:eastAsia="仿宋_GB2312" w:cs="Times New Roman"/>
          <w:b w:val="0"/>
          <w:bCs w:val="0"/>
          <w:color w:val="000000"/>
          <w:sz w:val="32"/>
          <w:szCs w:val="32"/>
          <w:lang w:eastAsia="zh-CN"/>
        </w:rPr>
        <w:t>统筹协调和监督指导全区农业综合执法。负责</w:t>
      </w:r>
      <w:r>
        <w:rPr>
          <w:rFonts w:hint="default" w:ascii="Times New Roman" w:hAnsi="Times New Roman" w:eastAsia="仿宋_GB2312" w:cs="Times New Roman"/>
          <w:b w:val="0"/>
          <w:bCs w:val="0"/>
          <w:color w:val="000000"/>
          <w:sz w:val="32"/>
          <w:szCs w:val="32"/>
          <w:lang w:val="en-US" w:eastAsia="zh-CN"/>
        </w:rPr>
        <w:t>监督指导涉农重大案件查处和跨区域执法的组织协调工作，负责本</w:t>
      </w:r>
      <w:r>
        <w:rPr>
          <w:rFonts w:hint="default" w:ascii="Times New Roman" w:hAnsi="Times New Roman" w:eastAsia="仿宋_GB2312" w:cs="Times New Roman"/>
          <w:b w:val="0"/>
          <w:bCs w:val="0"/>
          <w:color w:val="000000"/>
          <w:sz w:val="32"/>
          <w:szCs w:val="32"/>
          <w:lang w:eastAsia="zh-CN"/>
        </w:rPr>
        <w:t>区涉农违法</w:t>
      </w:r>
      <w:r>
        <w:rPr>
          <w:rFonts w:hint="default" w:ascii="Times New Roman" w:hAnsi="Times New Roman" w:eastAsia="仿宋_GB2312" w:cs="Times New Roman"/>
          <w:b w:val="0"/>
          <w:bCs w:val="0"/>
          <w:color w:val="000000"/>
          <w:sz w:val="32"/>
          <w:szCs w:val="32"/>
        </w:rPr>
        <w:t>案件</w:t>
      </w:r>
      <w:r>
        <w:rPr>
          <w:rFonts w:hint="default" w:ascii="Times New Roman" w:hAnsi="Times New Roman" w:eastAsia="仿宋_GB2312" w:cs="Times New Roman"/>
          <w:b w:val="0"/>
          <w:bCs w:val="0"/>
          <w:color w:val="000000"/>
          <w:sz w:val="32"/>
          <w:szCs w:val="32"/>
          <w:lang w:eastAsia="zh-CN"/>
        </w:rPr>
        <w:t>办理。</w:t>
      </w:r>
      <w:r>
        <w:rPr>
          <w:rFonts w:hint="default" w:ascii="Times New Roman" w:hAnsi="Times New Roman" w:eastAsia="仿宋_GB2312" w:cs="Times New Roman"/>
          <w:b w:val="0"/>
          <w:bCs w:val="0"/>
          <w:color w:val="000000"/>
          <w:sz w:val="32"/>
          <w:szCs w:val="32"/>
        </w:rPr>
        <w:t>推进农业依法行政。</w:t>
      </w:r>
    </w:p>
    <w:p w14:paraId="17322EE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19.</w:t>
      </w:r>
      <w:r>
        <w:rPr>
          <w:rFonts w:hint="default" w:ascii="Times New Roman" w:hAnsi="Times New Roman" w:eastAsia="仿宋_GB2312" w:cs="Times New Roman"/>
          <w:b w:val="0"/>
          <w:bCs w:val="0"/>
          <w:color w:val="000000"/>
          <w:sz w:val="32"/>
          <w:szCs w:val="32"/>
        </w:rPr>
        <w:t>负责职责范围内的生态环境保护、审批服务便民化等工作。</w:t>
      </w:r>
    </w:p>
    <w:p w14:paraId="207E39F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eastAsia" w:ascii="楷体_GB2312" w:hAnsi="楷体_GB2312" w:eastAsia="楷体_GB2312" w:cs="楷体_GB2312"/>
          <w:sz w:val="32"/>
          <w:szCs w:val="32"/>
          <w:highlight w:val="none"/>
        </w:rPr>
      </w:pPr>
      <w:r>
        <w:rPr>
          <w:rFonts w:hint="eastAsia" w:ascii="Times New Roman" w:hAnsi="Times New Roman" w:eastAsia="仿宋_GB2312" w:cs="Times New Roman"/>
          <w:b w:val="0"/>
          <w:bCs w:val="0"/>
          <w:color w:val="000000"/>
          <w:sz w:val="32"/>
          <w:szCs w:val="32"/>
          <w:highlight w:val="none"/>
          <w:lang w:val="en-US" w:eastAsia="zh-CN"/>
        </w:rPr>
        <w:t>20.</w:t>
      </w:r>
      <w:r>
        <w:rPr>
          <w:rFonts w:hint="default" w:ascii="Times New Roman" w:hAnsi="Times New Roman" w:eastAsia="仿宋_GB2312" w:cs="Times New Roman"/>
          <w:b w:val="0"/>
          <w:bCs w:val="0"/>
          <w:color w:val="000000"/>
          <w:sz w:val="32"/>
          <w:szCs w:val="32"/>
          <w:highlight w:val="none"/>
        </w:rPr>
        <w:t>完成</w:t>
      </w:r>
      <w:r>
        <w:rPr>
          <w:rFonts w:hint="default" w:ascii="Times New Roman" w:hAnsi="Times New Roman" w:eastAsia="仿宋_GB2312" w:cs="Times New Roman"/>
          <w:b w:val="0"/>
          <w:bCs w:val="0"/>
          <w:color w:val="000000"/>
          <w:sz w:val="32"/>
          <w:szCs w:val="32"/>
          <w:highlight w:val="none"/>
          <w:lang w:eastAsia="zh-CN"/>
        </w:rPr>
        <w:t>区</w:t>
      </w:r>
      <w:r>
        <w:rPr>
          <w:rFonts w:hint="default" w:ascii="Times New Roman" w:hAnsi="Times New Roman" w:eastAsia="仿宋_GB2312" w:cs="Times New Roman"/>
          <w:b w:val="0"/>
          <w:bCs w:val="0"/>
          <w:color w:val="000000"/>
          <w:sz w:val="32"/>
          <w:szCs w:val="32"/>
          <w:highlight w:val="none"/>
        </w:rPr>
        <w:t>委、</w:t>
      </w:r>
      <w:r>
        <w:rPr>
          <w:rFonts w:hint="default" w:ascii="Times New Roman" w:hAnsi="Times New Roman" w:eastAsia="仿宋_GB2312" w:cs="Times New Roman"/>
          <w:b w:val="0"/>
          <w:bCs w:val="0"/>
          <w:color w:val="000000"/>
          <w:sz w:val="32"/>
          <w:szCs w:val="32"/>
          <w:highlight w:val="none"/>
          <w:lang w:eastAsia="zh-CN"/>
        </w:rPr>
        <w:t>区</w:t>
      </w:r>
      <w:r>
        <w:rPr>
          <w:rFonts w:hint="default" w:ascii="Times New Roman" w:hAnsi="Times New Roman" w:eastAsia="仿宋_GB2312" w:cs="Times New Roman"/>
          <w:b w:val="0"/>
          <w:bCs w:val="0"/>
          <w:color w:val="000000"/>
          <w:sz w:val="32"/>
          <w:szCs w:val="32"/>
          <w:highlight w:val="none"/>
        </w:rPr>
        <w:t>政府交办的其他任务。</w:t>
      </w:r>
    </w:p>
    <w:p w14:paraId="72E7AE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w:t>
      </w:r>
      <w:r>
        <w:rPr>
          <w:rFonts w:hint="eastAsia" w:ascii="楷体_GB2312" w:hAnsi="楷体_GB2312" w:eastAsia="楷体_GB2312" w:cs="楷体_GB2312"/>
          <w:sz w:val="32"/>
          <w:szCs w:val="32"/>
          <w:highlight w:val="none"/>
          <w:lang w:val="en-US" w:eastAsia="zh-CN"/>
        </w:rPr>
        <w:t>区农业农村局</w:t>
      </w:r>
      <w:r>
        <w:rPr>
          <w:rFonts w:hint="eastAsia" w:ascii="楷体_GB2312" w:hAnsi="楷体_GB2312" w:eastAsia="楷体_GB2312" w:cs="楷体_GB2312"/>
          <w:sz w:val="32"/>
          <w:szCs w:val="32"/>
          <w:highlight w:val="none"/>
          <w:lang w:val="en-US"/>
        </w:rPr>
        <w:t>202</w:t>
      </w: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rPr>
        <w:t>年重点工作</w:t>
      </w:r>
    </w:p>
    <w:p w14:paraId="542129B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76"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围绕2025年目标任务，重点在以下几个方面着力，推动农业农村工作取得新成效、迈上新台阶。</w:t>
      </w:r>
    </w:p>
    <w:p w14:paraId="03FE2FA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76" w:lineRule="exact"/>
        <w:ind w:right="0" w:rightChars="0" w:firstLine="640" w:firstLineChars="200"/>
        <w:textAlignment w:val="auto"/>
        <w:rPr>
          <w:rFonts w:hint="default" w:ascii="Times New Roman" w:hAnsi="Times New Roman" w:eastAsia="仿宋_GB2312" w:cs="Times New Roman"/>
          <w:color w:val="auto"/>
          <w:kern w:val="2"/>
          <w:sz w:val="32"/>
          <w:szCs w:val="32"/>
          <w:rtl w:val="0"/>
          <w:lang w:val="en-US" w:eastAsia="zh-CN" w:bidi="ar-SA"/>
        </w:rPr>
      </w:pPr>
      <w:r>
        <w:rPr>
          <w:rFonts w:hint="default" w:ascii="Times New Roman" w:hAnsi="Times New Roman" w:eastAsia="楷体" w:cs="Times New Roman"/>
          <w:sz w:val="32"/>
          <w:szCs w:val="32"/>
          <w:lang w:val="en-US" w:eastAsia="zh-CN"/>
        </w:rPr>
        <w:t>一是全力提高稳产保供能力。</w:t>
      </w:r>
      <w:r>
        <w:rPr>
          <w:rFonts w:hint="default" w:ascii="Times New Roman" w:hAnsi="Times New Roman" w:eastAsia="仿宋_GB2312" w:cs="Times New Roman"/>
          <w:sz w:val="32"/>
          <w:szCs w:val="32"/>
          <w:rtl w:val="0"/>
          <w:lang w:val="en-US" w:eastAsia="zh-CN"/>
        </w:rPr>
        <w:t>抓小春粮油田间管理，及时及早对整地质量差和播种基础不好的田块进行查苗补种、疏密补缺，重点抓好开沟排湿、看苗追肥、化学除草、病虫害查治和防冻减灾等各项管理措施，以肥补晚、以管促壮、精管细管，为明年夏粮增收奠定坚实的基础。坚持开展常态化摸排，因地施策、综合治理，持续巩固拓展撂荒地整治成效，全区撂荒耕地基本实现动态清零。抓好优质粮油扩面增产，全年粮食总播面39万亩以上、总产量13万吨以上，油料总播面20万亩以上、总产量3.3万吨以上。2025年全区小春粮食种植面积10万亩，总产量2.56万吨以上。坚持“稳定发展生猪、突破性发展肉牛羊、巩固提升土鸡”产业发展思路，力争全年出栏生猪62万头、肉牛羊11万头（只）、土鸡500万只以上。高质量发展特色</w:t>
      </w:r>
      <w:r>
        <w:rPr>
          <w:rFonts w:hint="eastAsia" w:ascii="Times New Roman" w:hAnsi="Times New Roman" w:eastAsia="仿宋_GB2312" w:cs="Times New Roman"/>
          <w:sz w:val="32"/>
          <w:szCs w:val="32"/>
          <w:rtl w:val="0"/>
          <w:lang w:val="en-US" w:eastAsia="zh-CN"/>
        </w:rPr>
        <w:t>经济作物</w:t>
      </w:r>
      <w:r>
        <w:rPr>
          <w:rFonts w:hint="default" w:ascii="Times New Roman" w:hAnsi="Times New Roman" w:eastAsia="仿宋_GB2312" w:cs="Times New Roman"/>
          <w:sz w:val="32"/>
          <w:szCs w:val="32"/>
          <w:rtl w:val="0"/>
          <w:lang w:val="en-US" w:eastAsia="zh-CN"/>
        </w:rPr>
        <w:t>。持续巩固提升以猕猴桃、桃、李为主的特色水果产业5.5万亩，总产量达到2.4万吨以上；优化蔬菜种植茬口衔接，全年蔬菜种植面积稳定在18万亩以上、总产量达到43万吨以上。</w:t>
      </w:r>
    </w:p>
    <w:p w14:paraId="41A1EB4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76" w:lineRule="exact"/>
        <w:ind w:right="0" w:rightChars="0" w:firstLine="640" w:firstLineChars="200"/>
        <w:textAlignment w:val="auto"/>
        <w:rPr>
          <w:rFonts w:hint="default" w:ascii="Times New Roman" w:hAnsi="Times New Roman" w:eastAsia="仿宋_GB2312" w:cs="Times New Roman"/>
          <w:color w:val="auto"/>
          <w:kern w:val="2"/>
          <w:sz w:val="32"/>
          <w:szCs w:val="32"/>
          <w:rtl w:val="0"/>
          <w:lang w:val="en-US" w:eastAsia="zh-CN" w:bidi="ar-SA"/>
        </w:rPr>
      </w:pPr>
      <w:r>
        <w:rPr>
          <w:rFonts w:hint="default" w:ascii="Times New Roman" w:hAnsi="Times New Roman" w:eastAsia="楷体" w:cs="Times New Roman"/>
          <w:color w:val="auto"/>
          <w:kern w:val="2"/>
          <w:sz w:val="32"/>
          <w:szCs w:val="32"/>
          <w:rtl w:val="0"/>
          <w:lang w:val="en-US" w:eastAsia="zh-CN" w:bidi="ar-SA"/>
        </w:rPr>
        <w:t>二是持续抓好和美乡村建设。</w:t>
      </w:r>
      <w:r>
        <w:rPr>
          <w:rFonts w:hint="default" w:ascii="Times New Roman" w:hAnsi="Times New Roman" w:eastAsia="仿宋_GB2312" w:cs="Times New Roman"/>
          <w:color w:val="auto"/>
          <w:kern w:val="2"/>
          <w:sz w:val="32"/>
          <w:szCs w:val="32"/>
          <w:rtl w:val="0"/>
          <w:lang w:val="en-US" w:eastAsia="zh-CN" w:bidi="ar-SA"/>
        </w:rPr>
        <w:t>统筹推进产业发展、乡村建设、乡村治理“三大行动”，加快推进宜居宜业和美乡村建设，力争将天雄村创建成全国宜居宜业和美乡村示范村。持续巩固拓展脱贫攻坚成果，严格落实“四个不摘”要求，常态</w:t>
      </w:r>
      <w:r>
        <w:rPr>
          <w:rFonts w:hint="eastAsia" w:ascii="Times New Roman" w:hAnsi="Times New Roman" w:eastAsia="仿宋_GB2312" w:cs="Times New Roman"/>
          <w:color w:val="auto"/>
          <w:kern w:val="2"/>
          <w:sz w:val="32"/>
          <w:szCs w:val="32"/>
          <w:rtl w:val="0"/>
          <w:lang w:val="en-US" w:eastAsia="zh-CN" w:bidi="ar-SA"/>
        </w:rPr>
        <w:t>化</w:t>
      </w:r>
      <w:r>
        <w:rPr>
          <w:rFonts w:hint="default" w:ascii="Times New Roman" w:hAnsi="Times New Roman" w:eastAsia="仿宋_GB2312" w:cs="Times New Roman"/>
          <w:color w:val="auto"/>
          <w:kern w:val="2"/>
          <w:sz w:val="32"/>
          <w:szCs w:val="32"/>
          <w:rtl w:val="0"/>
          <w:lang w:val="en-US" w:eastAsia="zh-CN" w:bidi="ar-SA"/>
        </w:rPr>
        <w:t>开展防返贫动态监测和帮扶，深入贯彻落实中央</w:t>
      </w:r>
      <w:r>
        <w:rPr>
          <w:rFonts w:hint="eastAsia" w:ascii="Times New Roman" w:hAnsi="Times New Roman" w:eastAsia="仿宋_GB2312" w:cs="Times New Roman"/>
          <w:color w:val="auto"/>
          <w:kern w:val="2"/>
          <w:sz w:val="32"/>
          <w:szCs w:val="32"/>
          <w:rtl w:val="0"/>
          <w:lang w:val="en-US" w:eastAsia="zh-CN" w:bidi="ar-SA"/>
        </w:rPr>
        <w:t>和</w:t>
      </w:r>
      <w:r>
        <w:rPr>
          <w:rFonts w:hint="default" w:ascii="Times New Roman" w:hAnsi="Times New Roman" w:eastAsia="仿宋_GB2312" w:cs="Times New Roman"/>
          <w:color w:val="auto"/>
          <w:kern w:val="2"/>
          <w:sz w:val="32"/>
          <w:szCs w:val="32"/>
          <w:rtl w:val="0"/>
          <w:lang w:val="en-US" w:eastAsia="zh-CN" w:bidi="ar-SA"/>
        </w:rPr>
        <w:t>省、市各级关于巩固脱贫成果同乡村振兴有效衔接工作要求，用好用活东西部协作资源，持续拓展协作帮扶领域，有序推进各项重点工作。</w:t>
      </w:r>
    </w:p>
    <w:p w14:paraId="0F1D00F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76" w:lineRule="exact"/>
        <w:ind w:right="0" w:rightChars="0" w:firstLine="640" w:firstLineChars="200"/>
        <w:textAlignment w:val="auto"/>
        <w:rPr>
          <w:rFonts w:hint="default" w:ascii="Times New Roman" w:hAnsi="Times New Roman" w:eastAsia="楷体" w:cs="Times New Roman"/>
          <w:color w:val="auto"/>
          <w:kern w:val="2"/>
          <w:sz w:val="32"/>
          <w:szCs w:val="32"/>
          <w:rtl w:val="0"/>
          <w:lang w:val="en-US" w:eastAsia="zh-CN" w:bidi="ar-SA"/>
        </w:rPr>
      </w:pPr>
      <w:r>
        <w:rPr>
          <w:rFonts w:hint="default" w:ascii="Times New Roman" w:hAnsi="Times New Roman" w:eastAsia="楷体" w:cs="Times New Roman"/>
          <w:color w:val="auto"/>
          <w:kern w:val="2"/>
          <w:sz w:val="32"/>
          <w:szCs w:val="32"/>
          <w:rtl w:val="0"/>
          <w:lang w:val="en-US" w:eastAsia="zh-CN" w:bidi="ar-SA"/>
        </w:rPr>
        <w:t>三是做靓产业结构。</w:t>
      </w:r>
      <w:r>
        <w:rPr>
          <w:rFonts w:hint="default" w:ascii="Times New Roman" w:hAnsi="Times New Roman" w:eastAsia="仿宋_GB2312" w:cs="Times New Roman"/>
          <w:color w:val="auto"/>
          <w:kern w:val="2"/>
          <w:sz w:val="32"/>
          <w:szCs w:val="32"/>
          <w:rtl w:val="0"/>
          <w:lang w:val="en-US" w:eastAsia="zh-CN" w:bidi="ar-SA"/>
        </w:rPr>
        <w:t>积极对接争取种业振兴支持项目，构建完善王家贡米、虎跳小麦研究所，加快建成华西牛繁育基地，持续做好昭化特色支柱产业的选种育种工作。突出抓好品牌打造，深度挖掘品牌价值，提升竞争优势。加快推进“王家贡米”“紫云猕猴桃”产业示范带建设，大力推行订单生产模式，力争2025年“王家贡米”生产面积达到5万亩以上，发展订单面积3万亩。持续深化与省农科院合作，引进加工龙头企业，培育从事农业耕、种、防、收等专业化社会化服务组织。着力推动一产“接二连三”，持续健全和完善农产品加工销售链条。着力探索符合山区农业发展实际的适度规模发展路子，全面推行“大园区+小农户（业主）”发展模式，带动农户充分参与、充分受益。</w:t>
      </w:r>
    </w:p>
    <w:p w14:paraId="38A3EA8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76" w:lineRule="exact"/>
        <w:ind w:right="0" w:rightChars="0" w:firstLine="640" w:firstLineChars="200"/>
        <w:textAlignment w:val="auto"/>
        <w:rPr>
          <w:rFonts w:hint="default" w:ascii="Times New Roman" w:hAnsi="Times New Roman" w:eastAsia="仿宋_GB2312" w:cs="Times New Roman"/>
          <w:color w:val="auto"/>
          <w:kern w:val="2"/>
          <w:sz w:val="32"/>
          <w:szCs w:val="32"/>
          <w:rtl w:val="0"/>
          <w:lang w:val="en-US" w:eastAsia="zh-CN" w:bidi="ar-SA"/>
        </w:rPr>
      </w:pPr>
      <w:r>
        <w:rPr>
          <w:rFonts w:hint="default" w:ascii="Times New Roman" w:hAnsi="Times New Roman" w:eastAsia="楷体" w:cs="Times New Roman"/>
          <w:color w:val="auto"/>
          <w:kern w:val="2"/>
          <w:sz w:val="32"/>
          <w:szCs w:val="32"/>
          <w:rtl w:val="0"/>
          <w:lang w:val="en-US" w:eastAsia="zh-CN" w:bidi="ar-SA"/>
        </w:rPr>
        <w:t>四是激发农村改革活力。</w:t>
      </w:r>
      <w:r>
        <w:rPr>
          <w:rFonts w:hint="default" w:ascii="Times New Roman" w:hAnsi="Times New Roman" w:eastAsia="仿宋_GB2312" w:cs="Times New Roman"/>
          <w:color w:val="auto"/>
          <w:kern w:val="2"/>
          <w:sz w:val="32"/>
          <w:szCs w:val="32"/>
          <w:rtl w:val="0"/>
          <w:lang w:val="en-US" w:eastAsia="zh-CN" w:bidi="ar-SA"/>
        </w:rPr>
        <w:t>规范培育服务主体，优化农业社会化服务名录库，深入开展示范组织创建工作，持续完善“1+5+N”区、镇、村三级现代农业社会化服务体系，规范实施社会化服务项目，推广典型服务模式，加强农业经营主体培育，更新完善主体名录库，推广龙头企业做两端（种业和加工营销）、合作社搞服务、家庭农场（小农户）发展种养分工合作方式，逐步提升联农带农的覆盖面和紧密度。在红岩镇、卫子镇创建生猪、肉牛羊产业化联合体，巩固提升农业经营主体发展联盟、家庭农场协会、联合社（4个）、联合体（5个）。深入推广“村集体经济组织+农业经营主体+农户”模式创新试点。拟争取</w:t>
      </w:r>
      <w:r>
        <w:rPr>
          <w:rFonts w:hint="eastAsia" w:ascii="Times New Roman" w:hAnsi="Times New Roman" w:eastAsia="仿宋_GB2312" w:cs="Times New Roman"/>
          <w:color w:val="auto"/>
          <w:kern w:val="2"/>
          <w:sz w:val="32"/>
          <w:szCs w:val="32"/>
          <w:rtl w:val="0"/>
          <w:lang w:val="en-US" w:eastAsia="zh-CN" w:bidi="ar-SA"/>
        </w:rPr>
        <w:t>中央和省级</w:t>
      </w:r>
      <w:r>
        <w:rPr>
          <w:rFonts w:hint="default" w:ascii="Times New Roman" w:hAnsi="Times New Roman" w:eastAsia="仿宋_GB2312" w:cs="Times New Roman"/>
          <w:color w:val="auto"/>
          <w:kern w:val="2"/>
          <w:sz w:val="32"/>
          <w:szCs w:val="32"/>
          <w:rtl w:val="0"/>
          <w:lang w:val="en-US" w:eastAsia="zh-CN" w:bidi="ar-SA"/>
        </w:rPr>
        <w:t>扶持村集体经济7个，到位资金1050万元，力争全区新型农村集体经济经营性收入达到1300万元。</w:t>
      </w:r>
    </w:p>
    <w:p w14:paraId="0061103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76" w:lineRule="exact"/>
        <w:ind w:right="0" w:rightChars="0" w:firstLine="640" w:firstLineChars="200"/>
        <w:textAlignment w:val="auto"/>
        <w:rPr>
          <w:rFonts w:hint="default" w:ascii="Times New Roman" w:hAnsi="Times New Roman" w:eastAsia="仿宋_GB2312" w:cs="Times New Roman"/>
          <w:color w:val="auto"/>
          <w:kern w:val="2"/>
          <w:sz w:val="32"/>
          <w:szCs w:val="32"/>
          <w:rtl w:val="0"/>
          <w:lang w:val="en-US" w:eastAsia="zh-CN" w:bidi="ar-SA"/>
        </w:rPr>
      </w:pPr>
      <w:r>
        <w:rPr>
          <w:rFonts w:hint="default" w:ascii="Times New Roman" w:hAnsi="Times New Roman" w:eastAsia="楷体" w:cs="Times New Roman"/>
          <w:color w:val="auto"/>
          <w:kern w:val="2"/>
          <w:sz w:val="32"/>
          <w:szCs w:val="32"/>
          <w:rtl w:val="0"/>
          <w:lang w:val="en-US" w:eastAsia="zh-CN" w:bidi="ar-SA"/>
        </w:rPr>
        <w:t>五是加强强制免疫病种的基础免疫。</w:t>
      </w:r>
      <w:r>
        <w:rPr>
          <w:rFonts w:hint="default" w:ascii="Times New Roman" w:hAnsi="Times New Roman" w:eastAsia="仿宋_GB2312" w:cs="Times New Roman"/>
          <w:color w:val="auto"/>
          <w:kern w:val="2"/>
          <w:sz w:val="32"/>
          <w:szCs w:val="32"/>
          <w:rtl w:val="0"/>
          <w:lang w:val="en-US" w:eastAsia="zh-CN" w:bidi="ar-SA"/>
        </w:rPr>
        <w:t>加强技术培训，严格量化考核验收评估，持续常态化非洲猪瘟防控，持续强化人畜共患病防控。2025年狂犬病防控方面，免疫密度力争达到城镇95%，农村90%国家要求。强化动物疫病流调监测，持续开展兽医社会化服务机制的创新，力争在完善卫子畜牧兽医社会化服务体系之后，在昭化区片区再推广一个，最终在昭化区形成动物疫病防控三大片区格局。计划在2025年内指导、督促我区内具有引领作用的新好、四海三联、佳和、牧康、四家公司创建成四个省级净化场和一个省级无疫小区。</w:t>
      </w:r>
    </w:p>
    <w:p w14:paraId="5EB2882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76" w:lineRule="exact"/>
        <w:ind w:right="0" w:rightChars="0" w:firstLine="640" w:firstLineChars="200"/>
        <w:textAlignment w:val="auto"/>
        <w:rPr>
          <w:rFonts w:hint="default" w:ascii="Times New Roman" w:hAnsi="Times New Roman" w:eastAsia="仿宋_GB2312" w:cs="Times New Roman"/>
          <w:b w:val="0"/>
          <w:bCs w:val="0"/>
          <w:color w:val="000000" w:themeColor="text1"/>
          <w:sz w:val="32"/>
          <w:szCs w:val="32"/>
          <w:rtl w:val="0"/>
          <w:lang w:val="en-US" w:eastAsia="zh-CN"/>
          <w14:textFill>
            <w14:solidFill>
              <w14:schemeClr w14:val="tx1"/>
            </w14:solidFill>
          </w14:textFill>
        </w:rPr>
      </w:pPr>
      <w:r>
        <w:rPr>
          <w:rFonts w:hint="default" w:ascii="Times New Roman" w:hAnsi="Times New Roman" w:eastAsia="楷体" w:cs="Times New Roman"/>
          <w:color w:val="auto"/>
          <w:kern w:val="2"/>
          <w:sz w:val="32"/>
          <w:szCs w:val="32"/>
          <w:rtl w:val="0"/>
          <w:lang w:val="en-US" w:eastAsia="zh-CN" w:bidi="ar-SA"/>
        </w:rPr>
        <w:t>六是全力抓好重点项目建设。</w:t>
      </w:r>
      <w:r>
        <w:rPr>
          <w:rFonts w:hint="default" w:ascii="Times New Roman" w:hAnsi="Times New Roman" w:eastAsia="仿宋_GB2312" w:cs="Times New Roman"/>
          <w:b w:val="0"/>
          <w:bCs w:val="0"/>
          <w:color w:val="000000" w:themeColor="text1"/>
          <w:sz w:val="32"/>
          <w:szCs w:val="32"/>
          <w:rtl w:val="0"/>
          <w:lang w:val="en-US" w:eastAsia="zh-CN"/>
          <w14:textFill>
            <w14:solidFill>
              <w14:schemeClr w14:val="tx1"/>
            </w14:solidFill>
          </w14:textFill>
        </w:rPr>
        <w:t>坚持重点工作任务项目化推进，谋划储备的昭化区现代粮油复合产业融合示范园建设项目拟申报2025年市重点项目；加快推动市重点项目昭化区气候智慧型净零农业发展示范项目（高标准农田建设）前期工作，总投资7400万元。拟争取2025年增发国债项目4个，总投资5.6534亿元，项目为昭化区高标准农田建设项目（一、二、三期），昭化区现代粮油复合产业融合示范园建设项目。全力以赴抓好绿色种养循环农业试点、耕地轮作休耕、农膜回收项目、“天府菜油”产业融合发展等重大项目建设。加快推进昭化镇猕猴桃省级优势特色产业乡镇建设。全力争取省级财政猕猴桃产业“三链同构”全链融合发展项目，总投资3500万元，财政补助1000万元。加快推进市农发集团华西牛繁育基地、信德农牧30万只非笼养蛋鸡供港基地、鹄坤农牧1000头肉牛养殖基地（二期）等重点项目建设，力争所有项目在2025年上半年全部建成投产，新增肉牛存栏1000头，蛋鸡存栏30万只。力争四川三游君丞投资有限公司土鸡冷链物流产业园、肉牛羊屠宰加工冷链物流项目开工建设。</w:t>
      </w:r>
    </w:p>
    <w:p w14:paraId="4C58BF3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76" w:lineRule="exact"/>
        <w:ind w:right="0" w:rightChars="0" w:firstLine="640" w:firstLineChars="200"/>
        <w:textAlignment w:val="auto"/>
        <w:rPr>
          <w:rFonts w:hint="eastAsia"/>
        </w:rPr>
      </w:pPr>
      <w:r>
        <w:rPr>
          <w:rFonts w:hint="default" w:ascii="Times New Roman" w:hAnsi="Times New Roman" w:eastAsia="楷体" w:cs="Times New Roman"/>
          <w:color w:val="auto"/>
          <w:kern w:val="2"/>
          <w:sz w:val="32"/>
          <w:szCs w:val="32"/>
          <w:rtl w:val="0"/>
          <w:lang w:val="en-US" w:eastAsia="zh-CN" w:bidi="ar-SA"/>
        </w:rPr>
        <w:t>七是加强创新创先示范。</w:t>
      </w:r>
      <w:r>
        <w:rPr>
          <w:rFonts w:hint="default" w:ascii="Times New Roman" w:hAnsi="Times New Roman" w:eastAsia="仿宋_GB2312" w:cs="Times New Roman"/>
          <w:b w:val="0"/>
          <w:bCs w:val="0"/>
          <w:color w:val="000000" w:themeColor="text1"/>
          <w:kern w:val="2"/>
          <w:sz w:val="32"/>
          <w:szCs w:val="32"/>
          <w:rtl w:val="0"/>
          <w:lang w:val="en-US" w:eastAsia="zh-CN" w:bidi="ar-SA"/>
          <w14:textFill>
            <w14:solidFill>
              <w14:schemeClr w14:val="tx1"/>
            </w14:solidFill>
          </w14:textFill>
        </w:rPr>
        <w:t>聚焦“创星”，积极争创等级园区。按照“以粮为主、粮经统筹”定位，启动2025年园区新建规划、省级园区升星工作（力争将广元市昭化区粮食现代农业园区创成省五星级现代农业园区），争创国家级现代农业示范区。扎实推进“天府粮仓·百县千片”建设。成片成带高质量推进小春千亩高产片2个、面积3000亩，百亩超高产攻关田建设2个、面积300亩，成片成带高质量推进油菜千亩高产片6个、面积11700亩，百亩超高产攻关田建设3个、面积500亩。打造农业社会化服务的行业标杆和县域样板，以点带面、示范引导农业社会化服务加快推进，争创广元市昭化区2025年省级财政农业社会化服务整县推进试点，力争获取省级扶持资金1000万元。</w:t>
      </w:r>
    </w:p>
    <w:p w14:paraId="5DEFC1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770476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区农业农村局单位下属二级预算单位0个，其中行政单位0个，参照公务员法管理的事业单位0个，其他事业单位0个。</w:t>
      </w:r>
    </w:p>
    <w:p w14:paraId="3933DA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35C287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区农业农村局单位所有收入和支出均纳入部门预算管理。收入包括：一般公共预算拨款收入；支出包括：社会保障和就业支出、卫生健康支出、农林水支出、住房保障支出。区农业农村局单位2025年收支预算总数</w:t>
      </w:r>
      <w:r>
        <w:rPr>
          <w:rFonts w:hint="default" w:ascii="Times New Roman" w:hAnsi="Times New Roman" w:eastAsia="仿宋_GB2312" w:cs="Times New Roman"/>
          <w:color w:val="auto"/>
          <w:sz w:val="32"/>
          <w:szCs w:val="32"/>
          <w:lang w:val="en-US" w:eastAsia="zh-CN"/>
        </w:rPr>
        <w:t>6386.22</w:t>
      </w:r>
      <w:r>
        <w:rPr>
          <w:rFonts w:hint="eastAsia" w:ascii="仿宋_GB2312" w:hAnsi="仿宋_GB2312" w:eastAsia="仿宋_GB2312" w:cs="仿宋_GB2312"/>
          <w:sz w:val="32"/>
          <w:szCs w:val="32"/>
          <w:lang w:val="en-US" w:eastAsia="zh-CN"/>
        </w:rPr>
        <w:t>万元,比2024年收支预算总数增加4235.98万元，</w:t>
      </w:r>
      <w:r>
        <w:rPr>
          <w:rFonts w:hint="default" w:ascii="Times New Roman" w:hAnsi="Times New Roman" w:eastAsia="仿宋_GB2312" w:cs="Times New Roman"/>
          <w:color w:val="auto"/>
          <w:sz w:val="32"/>
          <w:szCs w:val="32"/>
          <w:highlight w:val="none"/>
          <w:lang w:val="en-US" w:eastAsia="zh-CN"/>
        </w:rPr>
        <w:t>2025年与原乡村振兴局合并上级项目资金预算增加</w:t>
      </w:r>
      <w:r>
        <w:rPr>
          <w:rFonts w:hint="eastAsia" w:ascii="仿宋_GB2312" w:hAnsi="仿宋_GB2312" w:eastAsia="仿宋_GB2312" w:cs="仿宋_GB2312"/>
          <w:sz w:val="32"/>
          <w:szCs w:val="32"/>
          <w:lang w:val="en-US" w:eastAsia="zh-CN"/>
        </w:rPr>
        <w:t>。</w:t>
      </w:r>
    </w:p>
    <w:p w14:paraId="5BF4E8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7AED12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区农业农村局单位2025年收入预算6386.22万元，其中：一般公共预算拨款收入6386.22万元，占100%；</w:t>
      </w:r>
    </w:p>
    <w:p w14:paraId="14E941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28FC0A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区农业农村局单位2025年支出预算6386.22万元，其中：基本支出2110.83万元，占33.05%；项目支出4275.38万元，占66.95%</w:t>
      </w:r>
      <w:r>
        <w:rPr>
          <w:rFonts w:hint="eastAsia" w:ascii="仿宋_GB2312" w:hAnsi="仿宋_GB2312" w:eastAsia="仿宋_GB2312" w:cs="仿宋_GB2312"/>
          <w:b w:val="0"/>
          <w:bCs w:val="0"/>
          <w:sz w:val="32"/>
          <w:szCs w:val="32"/>
          <w:lang w:val="en-US" w:eastAsia="zh-CN"/>
        </w:rPr>
        <w:t>。</w:t>
      </w:r>
    </w:p>
    <w:p w14:paraId="4EE082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0833BC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区农业农村局单位2025年财政拨款收支预算总数6386.22万元,比2024年财政拨款收支预算总数增加4235.98万元，</w:t>
      </w:r>
      <w:r>
        <w:rPr>
          <w:rFonts w:hint="default" w:ascii="Times New Roman" w:hAnsi="Times New Roman" w:eastAsia="仿宋_GB2312" w:cs="Times New Roman"/>
          <w:color w:val="auto"/>
          <w:sz w:val="32"/>
          <w:szCs w:val="32"/>
          <w:highlight w:val="none"/>
          <w:lang w:val="en-US" w:eastAsia="zh-CN"/>
        </w:rPr>
        <w:t>2025年与原乡村振兴局合并上级项目资金预算增加</w:t>
      </w:r>
      <w:r>
        <w:rPr>
          <w:rFonts w:hint="eastAsia" w:ascii="仿宋_GB2312" w:hAnsi="仿宋_GB2312" w:eastAsia="仿宋_GB2312" w:cs="仿宋_GB2312"/>
          <w:sz w:val="32"/>
          <w:szCs w:val="32"/>
          <w:lang w:val="en-US" w:eastAsia="zh-CN"/>
        </w:rPr>
        <w:t>。收入包括：本年一般公共预算拨款收入6386.22万元、政府性基金预算拨款收入0万元；支出包括：社会保障和就业支出294.02万元、卫生健康支出95.57万元、农林水支出5840.24万元、住房保障支出156.39万元。</w:t>
      </w:r>
    </w:p>
    <w:p w14:paraId="0C58DD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033F70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17F810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区农业农村局单位2025年一般公共预算当年拨款6386.22万元，比2024年预算数增加4235.98万元，主要原因是</w:t>
      </w:r>
      <w:r>
        <w:rPr>
          <w:rFonts w:hint="default" w:ascii="Times New Roman" w:hAnsi="Times New Roman" w:eastAsia="仿宋_GB2312" w:cs="Times New Roman"/>
          <w:color w:val="auto"/>
          <w:sz w:val="32"/>
          <w:szCs w:val="32"/>
          <w:highlight w:val="none"/>
          <w:lang w:val="en-US" w:eastAsia="zh-CN"/>
        </w:rPr>
        <w:t>2025年与原乡村振兴局合并上级项目资金预算增加</w:t>
      </w:r>
      <w:r>
        <w:rPr>
          <w:rFonts w:hint="eastAsia" w:ascii="仿宋_GB2312" w:hAnsi="仿宋_GB2312" w:eastAsia="仿宋_GB2312" w:cs="仿宋_GB2312"/>
          <w:sz w:val="32"/>
          <w:szCs w:val="32"/>
          <w:lang w:val="en-US" w:eastAsia="zh-CN"/>
        </w:rPr>
        <w:t>。</w:t>
      </w:r>
    </w:p>
    <w:p w14:paraId="2C9E13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7AB6AB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社会保障和就业支出294.02万元，占4.6%、卫生健康支出95.57万元，占1.49%、农林水支出5840.24万元，占91.45%、住房保障支出156.39万元，占2.46%。</w:t>
      </w:r>
    </w:p>
    <w:p w14:paraId="62E14F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205A16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1.社会保障和就业（类）行政事业单位养老支出（款）机关事业单位基本养老保险缴费支出（项）2025年预算数为208.52万元，主要用于：实施养老保险制度由单位缴纳的基本养老保险支出。</w:t>
      </w:r>
    </w:p>
    <w:p w14:paraId="2213CD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2.社会保障和就业（类）行政事业单位养老支出（款）机关事业单位职业年金缴费支出（项）2025年预算数为40.98万元，主要用于：实施养老保险制度由单位缴纳的职业年金支出。</w:t>
      </w:r>
    </w:p>
    <w:p w14:paraId="5583B3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3.社会保障和就业（类）其他社会保障和就业支出（款）其他社会保障和就业支出（项）2025年预算数为40.98万元，主要用于：反映从上述项目以外其他用于社会保障和就业方面的支</w:t>
      </w:r>
      <w:r>
        <w:rPr>
          <w:rFonts w:hint="eastAsia" w:ascii="仿宋_GB2312" w:hAnsi="仿宋_GB2312" w:eastAsia="仿宋_GB2312" w:cs="仿宋_GB2312"/>
          <w:sz w:val="32"/>
          <w:szCs w:val="32"/>
          <w:highlight w:val="none"/>
          <w:lang w:val="en-US" w:eastAsia="zh-CN"/>
        </w:rPr>
        <w:t>出。</w:t>
      </w:r>
    </w:p>
    <w:p w14:paraId="74458A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4.卫生健康（类）行政事业单位医疗（款）行政单位医疗（项）2025年预算数为26.81万元，主要用于：机关及参公管理事业单位按规定由单位缴纳的基本医疗保险支出。</w:t>
      </w:r>
    </w:p>
    <w:p w14:paraId="2754EA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5.卫生健康（类）行政事业单位医疗（款）事业单位医疗（项）2025年预算数为68.76万元，主要用于：事业单位按规定由单位缴纳的基本医疗保险支出。</w:t>
      </w:r>
    </w:p>
    <w:p w14:paraId="017E5B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6.农林水（类）农业农村（款）行政运行（项）2025年预算数为698.71万元</w:t>
      </w:r>
      <w:r>
        <w:rPr>
          <w:rFonts w:hint="eastAsia" w:ascii="仿宋_GB2312" w:hAnsi="仿宋_GB2312" w:eastAsia="仿宋_GB2312" w:cs="仿宋_GB2312"/>
          <w:sz w:val="32"/>
          <w:szCs w:val="32"/>
          <w:highlight w:val="none"/>
          <w:lang w:val="en-US" w:eastAsia="zh-CN"/>
        </w:rPr>
        <w:t>，主要用于：反映行政单位（包括实行公务员管理事业单位）的基本支出。</w:t>
      </w:r>
    </w:p>
    <w:p w14:paraId="62A0E8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7.农林水（类）农业农村（款）事业运行（项）2025年预算数为976.13万元，</w:t>
      </w:r>
      <w:r>
        <w:rPr>
          <w:rFonts w:hint="eastAsia" w:ascii="仿宋_GB2312" w:hAnsi="仿宋_GB2312" w:eastAsia="仿宋_GB2312" w:cs="仿宋_GB2312"/>
          <w:sz w:val="32"/>
          <w:szCs w:val="32"/>
          <w:highlight w:val="none"/>
          <w:lang w:val="en-US" w:eastAsia="zh-CN"/>
        </w:rPr>
        <w:t>主要用于：反映用于农业事业单位基本支出，事业单位设施</w:t>
      </w:r>
      <w:r>
        <w:rPr>
          <w:rFonts w:hint="eastAsia" w:ascii="仿宋_GB2312" w:hAnsi="仿宋_GB2312" w:eastAsia="仿宋_GB2312" w:cs="仿宋_GB2312"/>
          <w:sz w:val="32"/>
          <w:szCs w:val="32"/>
          <w:lang w:val="en-US" w:eastAsia="zh-CN"/>
        </w:rPr>
        <w:t>、系统运行与资产维护等方面的支出</w:t>
      </w:r>
      <w:r>
        <w:rPr>
          <w:rFonts w:hint="eastAsia" w:ascii="仿宋_GB2312" w:hAnsi="仿宋_GB2312" w:eastAsia="仿宋_GB2312" w:cs="仿宋_GB2312"/>
          <w:sz w:val="32"/>
          <w:szCs w:val="32"/>
          <w:highlight w:val="none"/>
          <w:lang w:val="en-US" w:eastAsia="zh-CN"/>
        </w:rPr>
        <w:t>。</w:t>
      </w:r>
    </w:p>
    <w:p w14:paraId="752433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8.农林水（类）农业农村（款）其他农业农村支出（项）2025年预算数为278.4万元，</w:t>
      </w:r>
      <w:r>
        <w:rPr>
          <w:rFonts w:hint="eastAsia" w:ascii="仿宋_GB2312" w:hAnsi="仿宋_GB2312" w:eastAsia="仿宋_GB2312" w:cs="仿宋_GB2312"/>
          <w:sz w:val="32"/>
          <w:szCs w:val="32"/>
          <w:highlight w:val="none"/>
          <w:lang w:val="en-US" w:eastAsia="zh-CN"/>
        </w:rPr>
        <w:t>主要用于：反映除上述项目以外其他用于农业农村方面的支出。</w:t>
      </w:r>
    </w:p>
    <w:p w14:paraId="5DA0922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9.农林水（类）其他脱贫攻坚成果衔接乡村振兴（款）其他脱贫攻坚成果衔接乡村振兴支出（项）2025年预算数为3896万元，</w:t>
      </w:r>
      <w:r>
        <w:rPr>
          <w:rFonts w:hint="eastAsia" w:ascii="仿宋_GB2312" w:hAnsi="仿宋_GB2312" w:eastAsia="仿宋_GB2312" w:cs="仿宋_GB2312"/>
          <w:sz w:val="32"/>
          <w:szCs w:val="32"/>
          <w:highlight w:val="none"/>
          <w:lang w:val="en-US" w:eastAsia="zh-CN"/>
        </w:rPr>
        <w:t>主要用于：反映除上述项目以外其他用于巩固拓展脱贫攻坚成果同乡村振兴有效衔接方面的支出。</w:t>
      </w:r>
    </w:p>
    <w:p w14:paraId="18B802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仿宋_GB2312" w:hAnsi="仿宋_GB2312" w:eastAsia="仿宋_GB2312" w:cs="仿宋_GB2312"/>
          <w:sz w:val="32"/>
          <w:szCs w:val="32"/>
          <w:highlight w:val="none"/>
          <w:lang w:val="en-US" w:eastAsia="zh-CN"/>
        </w:rPr>
        <w:t>10.住房保障（类）住房改革支出（款）住房公积金（项）</w:t>
      </w:r>
      <w:r>
        <w:rPr>
          <w:rFonts w:hint="eastAsia" w:ascii="仿宋_GB2312" w:hAnsi="仿宋_GB2312" w:eastAsia="仿宋_GB2312" w:cs="仿宋_GB2312"/>
          <w:sz w:val="32"/>
          <w:szCs w:val="32"/>
          <w:lang w:val="en-US" w:eastAsia="zh-CN"/>
        </w:rPr>
        <w:t>2025年预算数为156.39万元，主要用于：部门按规定为职工缴纳的住房公积金支出。</w:t>
      </w:r>
    </w:p>
    <w:p w14:paraId="0331A6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4EFB7E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区农业农村局单位2025年一般公共预算基本支出2110.83万元，其中：</w:t>
      </w:r>
    </w:p>
    <w:p w14:paraId="0A5754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人员经费1901.08万元，主要包括：基本工资、津贴补贴、奖金、绩效工资、机关事业单位基本养老保险缴付、职工基本医疗保险缴费、其他社会保障缴费、住房公积金、对个人和家庭的补助等支出。</w:t>
      </w:r>
    </w:p>
    <w:p w14:paraId="6107DA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公用经费209.75万元，主要包括：办公费、印刷费、电费、邮电费、物业管理费、差旅费、维修（护）费、会议费、培训费、公务接待费、劳务费、工会经费、其他交通费用、其他商品和服务等支出。</w:t>
      </w:r>
    </w:p>
    <w:p w14:paraId="5847BF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2CE5C5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区农业农村局单位2025年“三公”经费财政拨款预算数16.74万元，其中：公务接待费16.74万元，公务用车购置及运行维护费0万元，因公出国（境）经费0万元。</w:t>
      </w:r>
    </w:p>
    <w:p w14:paraId="6EEC47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1ABC7E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公务接待费与2024年预算相比增长2.43万元</w:t>
      </w:r>
      <w:bookmarkStart w:id="0" w:name="_GoBack"/>
      <w:bookmarkEnd w:id="0"/>
      <w:r>
        <w:rPr>
          <w:rFonts w:hint="eastAsia" w:ascii="仿宋_GB2312" w:hAnsi="仿宋_GB2312" w:eastAsia="仿宋_GB2312" w:cs="仿宋_GB2312"/>
          <w:sz w:val="32"/>
          <w:szCs w:val="32"/>
          <w:highlight w:val="none"/>
          <w:lang w:val="en-US" w:eastAsia="zh-CN"/>
        </w:rPr>
        <w:t>，主要原因是</w:t>
      </w:r>
      <w:r>
        <w:rPr>
          <w:rFonts w:hint="default" w:ascii="Times New Roman" w:hAnsi="Times New Roman" w:eastAsia="仿宋_GB2312" w:cs="Times New Roman"/>
          <w:color w:val="auto"/>
          <w:sz w:val="32"/>
          <w:szCs w:val="32"/>
          <w:highlight w:val="none"/>
          <w:lang w:val="en-US" w:eastAsia="zh-CN"/>
        </w:rPr>
        <w:t>2025年与原乡村振兴局合并</w:t>
      </w:r>
      <w:r>
        <w:rPr>
          <w:rFonts w:hint="eastAsia" w:ascii="Times New Roman" w:hAnsi="Times New Roman" w:eastAsia="仿宋_GB2312" w:cs="Times New Roman"/>
          <w:color w:val="auto"/>
          <w:sz w:val="32"/>
          <w:szCs w:val="32"/>
          <w:highlight w:val="none"/>
          <w:lang w:val="en-US" w:eastAsia="zh-CN"/>
        </w:rPr>
        <w:t>公务接待预算</w:t>
      </w:r>
      <w:r>
        <w:rPr>
          <w:rFonts w:hint="default" w:ascii="Times New Roman" w:hAnsi="Times New Roman" w:eastAsia="仿宋_GB2312" w:cs="Times New Roman"/>
          <w:color w:val="auto"/>
          <w:sz w:val="32"/>
          <w:szCs w:val="32"/>
          <w:highlight w:val="none"/>
          <w:lang w:val="en-US" w:eastAsia="zh-CN"/>
        </w:rPr>
        <w:t>增加</w:t>
      </w:r>
      <w:r>
        <w:rPr>
          <w:rFonts w:hint="eastAsia" w:ascii="仿宋_GB2312" w:hAnsi="仿宋_GB2312" w:eastAsia="仿宋_GB2312" w:cs="仿宋_GB2312"/>
          <w:sz w:val="32"/>
          <w:szCs w:val="32"/>
          <w:highlight w:val="none"/>
          <w:lang w:val="en-US" w:eastAsia="zh-CN"/>
        </w:rPr>
        <w:t>。</w:t>
      </w:r>
    </w:p>
    <w:p w14:paraId="33BFD8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04E9EE57">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45C42BE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bCs/>
          <w:sz w:val="32"/>
          <w:szCs w:val="32"/>
          <w:lang w:val="en-US"/>
        </w:rPr>
      </w:pPr>
      <w:r>
        <w:rPr>
          <w:rFonts w:hint="eastAsia" w:ascii="仿宋_GB2312" w:hAnsi="仿宋_GB2312" w:eastAsia="仿宋_GB2312" w:cs="仿宋_GB2312"/>
          <w:sz w:val="32"/>
          <w:szCs w:val="32"/>
          <w:lang w:val="en-US" w:eastAsia="zh-CN"/>
        </w:rPr>
        <w:t>公务用车购置及运行维护费与2024年预算相比持平。</w:t>
      </w:r>
    </w:p>
    <w:p w14:paraId="56C018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单位现有公务用车1辆，其中：轿车0辆，旅行车（含商务车）0辆，越野车1辆。</w:t>
      </w:r>
    </w:p>
    <w:p w14:paraId="23BC40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7B72A2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2025年安排公务用车运行维护费0万元，用于0辆公务用车燃油、过路（桥）、维修、保险等方面支出。</w:t>
      </w:r>
    </w:p>
    <w:p w14:paraId="6AFA23C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5183E9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20292B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007466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区农业农村局单位2025年无政府性基金预算拨款安排的支出。</w:t>
      </w:r>
    </w:p>
    <w:p w14:paraId="31417C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1A4099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区农业农村局单位2025年无国有资本经营预算拨款安排的支出。</w:t>
      </w:r>
    </w:p>
    <w:p w14:paraId="23572C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518C8D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15DEDF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2025年，区农业农村局单位的机关运行经费财政拨款预算为209.75万元，比2024年预算增加15.73万元，增长8.11%。主要原因</w:t>
      </w:r>
      <w:r>
        <w:rPr>
          <w:rFonts w:hint="default" w:ascii="Times New Roman" w:hAnsi="Times New Roman" w:eastAsia="仿宋_GB2312" w:cs="Times New Roman"/>
          <w:color w:val="auto"/>
          <w:sz w:val="32"/>
          <w:szCs w:val="32"/>
          <w:highlight w:val="none"/>
          <w:lang w:val="en-US" w:eastAsia="zh-CN"/>
        </w:rPr>
        <w:t>2025年与原乡村振兴局合并</w:t>
      </w:r>
      <w:r>
        <w:rPr>
          <w:rFonts w:hint="eastAsia" w:ascii="Times New Roman" w:hAnsi="Times New Roman" w:eastAsia="仿宋_GB2312" w:cs="Times New Roman"/>
          <w:color w:val="auto"/>
          <w:sz w:val="32"/>
          <w:szCs w:val="32"/>
          <w:highlight w:val="none"/>
          <w:lang w:val="en-US" w:eastAsia="zh-CN"/>
        </w:rPr>
        <w:t>。</w:t>
      </w:r>
    </w:p>
    <w:p w14:paraId="4460B0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7BD54A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2025年区农业农村局单位安排政府采购预算0万元，其中：政府采购货物预算0万元、政府采购工程预算0万元、政府采购服务预算0万元。</w:t>
      </w:r>
    </w:p>
    <w:p w14:paraId="75E1AC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2ECE33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截至2024年底，区农业农村局单位共有车辆5辆，其中，领导干部用车0辆、定向保障用车0辆、执法执勤用车1辆，其他用车4辆。单位价值200万元以上大型设备0台（套）。</w:t>
      </w:r>
    </w:p>
    <w:p w14:paraId="4E7803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2025年部门预算安排车辆购置经费0万元。其中，财政拨款预算安排0万元，非财政拨款安排0万元。拟购置定向保障用车0辆、执法执勤用车0辆。安排大型设备购置经费0万元</w:t>
      </w:r>
    </w:p>
    <w:p w14:paraId="210EA5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06EB5A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2025年区农业农村局单位开展绩效目标管理的项目13个，涉及预算4275.38万元。其中：人员类项目0个，涉及预算0万元；运转类项目9个，涉及预算320.38万元；特定目标类项目4个，涉及预算3955.00万元。</w:t>
      </w:r>
    </w:p>
    <w:p w14:paraId="565B08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54FA52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指市财政当年安排的财政预算收入。按现行管理制度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14:paraId="1EBFD31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（三）社会保障和就业（类）行政事业单位养老支出（款）机关事业单位职业年金缴费支出（项）：</w:t>
      </w:r>
      <w:r>
        <w:rPr>
          <w:rFonts w:hint="eastAsia" w:ascii="仿宋_GB2312" w:hAnsi="仿宋_GB2312" w:eastAsia="仿宋_GB2312" w:cs="仿宋_GB2312"/>
          <w:sz w:val="32"/>
          <w:szCs w:val="32"/>
          <w:lang w:val="en-US" w:eastAsia="zh-CN"/>
        </w:rPr>
        <w:t>指部门实施养老保险制度由单位缴纳的职业年金的支出。</w:t>
      </w:r>
    </w:p>
    <w:p w14:paraId="6A7562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楷体_GB2312" w:hAnsi="楷体_GB2312" w:eastAsia="楷体_GB2312" w:cs="楷体_GB2312"/>
          <w:sz w:val="32"/>
          <w:szCs w:val="32"/>
          <w:lang w:val="en-US" w:eastAsia="zh-CN"/>
        </w:rPr>
        <w:t>（四）社会保障和就业（类）其他社会保障和就业支出（款）其他社会保障和就业支出（项）：</w:t>
      </w:r>
      <w:r>
        <w:rPr>
          <w:rFonts w:hint="eastAsia" w:ascii="仿宋_GB2312" w:hAnsi="仿宋_GB2312" w:eastAsia="仿宋_GB2312" w:cs="仿宋_GB2312"/>
          <w:sz w:val="32"/>
          <w:szCs w:val="32"/>
          <w:lang w:val="en-US" w:eastAsia="zh-CN"/>
        </w:rPr>
        <w:t>反映从上述项目以外其他用于社会保障和</w:t>
      </w:r>
      <w:r>
        <w:rPr>
          <w:rFonts w:hint="eastAsia" w:ascii="仿宋_GB2312" w:hAnsi="仿宋_GB2312" w:eastAsia="仿宋_GB2312" w:cs="仿宋_GB2312"/>
          <w:sz w:val="32"/>
          <w:szCs w:val="32"/>
          <w:highlight w:val="none"/>
          <w:lang w:val="en-US" w:eastAsia="zh-CN"/>
        </w:rPr>
        <w:t>就业方面的支出。</w:t>
      </w:r>
      <w:r>
        <w:rPr>
          <w:rFonts w:hint="eastAsia" w:ascii="仿宋_GB2312" w:hAnsi="仿宋_GB2312" w:eastAsia="仿宋_GB2312" w:cs="仿宋_GB2312"/>
          <w:sz w:val="32"/>
          <w:szCs w:val="32"/>
          <w:highlight w:val="yellow"/>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（七）农林水（类）农业农村（款）行政运行（项）：</w:t>
      </w:r>
      <w:r>
        <w:rPr>
          <w:rFonts w:hint="eastAsia" w:ascii="仿宋_GB2312" w:hAnsi="仿宋_GB2312" w:eastAsia="仿宋_GB2312" w:cs="仿宋_GB2312"/>
          <w:sz w:val="32"/>
          <w:szCs w:val="32"/>
          <w:highlight w:val="none"/>
          <w:lang w:val="en-US" w:eastAsia="zh-CN"/>
        </w:rPr>
        <w:t>反映行政单位（包括实行公务员管理事业单位）的基本支出。</w:t>
      </w:r>
    </w:p>
    <w:p w14:paraId="2EE7F3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楷体_GB2312" w:hAnsi="楷体_GB2312" w:eastAsia="楷体_GB2312" w:cs="楷体_GB2312"/>
          <w:sz w:val="32"/>
          <w:szCs w:val="32"/>
          <w:lang w:val="en-US" w:eastAsia="zh-CN"/>
        </w:rPr>
        <w:t>（八）农林水（类）农业农村（款）事业运行（项）：</w:t>
      </w:r>
      <w:r>
        <w:rPr>
          <w:rFonts w:hint="eastAsia" w:ascii="仿宋_GB2312" w:hAnsi="仿宋_GB2312" w:eastAsia="仿宋_GB2312" w:cs="仿宋_GB2312"/>
          <w:sz w:val="32"/>
          <w:szCs w:val="32"/>
          <w:highlight w:val="none"/>
          <w:lang w:val="en-US" w:eastAsia="zh-CN"/>
        </w:rPr>
        <w:t>反映用于农业事业单位基本支出，事业单位设施、系统运行与资产维护等方面的支出。</w:t>
      </w:r>
    </w:p>
    <w:p w14:paraId="74DBDA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楷体_GB2312" w:hAnsi="楷体_GB2312" w:eastAsia="楷体_GB2312" w:cs="楷体_GB2312"/>
          <w:sz w:val="32"/>
          <w:szCs w:val="32"/>
          <w:lang w:val="en-US" w:eastAsia="zh-CN"/>
        </w:rPr>
        <w:t>（九）农林水（类）农业农村（款）</w:t>
      </w:r>
      <w:r>
        <w:rPr>
          <w:rFonts w:hint="eastAsia" w:ascii="仿宋_GB2312" w:hAnsi="仿宋_GB2312" w:eastAsia="仿宋_GB2312" w:cs="仿宋_GB2312"/>
          <w:sz w:val="32"/>
          <w:szCs w:val="32"/>
          <w:lang w:val="en-US" w:eastAsia="zh-CN"/>
        </w:rPr>
        <w:t>其</w:t>
      </w:r>
      <w:r>
        <w:rPr>
          <w:rFonts w:hint="eastAsia" w:ascii="楷体_GB2312" w:hAnsi="楷体_GB2312" w:eastAsia="楷体_GB2312" w:cs="楷体_GB2312"/>
          <w:sz w:val="32"/>
          <w:szCs w:val="32"/>
          <w:lang w:val="en-US" w:eastAsia="zh-CN"/>
        </w:rPr>
        <w:t>他农业农村支出（项）：</w:t>
      </w:r>
      <w:r>
        <w:rPr>
          <w:rFonts w:hint="eastAsia" w:ascii="仿宋_GB2312" w:hAnsi="仿宋_GB2312" w:eastAsia="仿宋_GB2312" w:cs="仿宋_GB2312"/>
          <w:sz w:val="32"/>
          <w:szCs w:val="32"/>
          <w:highlight w:val="none"/>
          <w:lang w:val="en-US" w:eastAsia="zh-CN"/>
        </w:rPr>
        <w:t>反映除上述项目以外其他用于农业农村方面的支出。</w:t>
      </w:r>
    </w:p>
    <w:p w14:paraId="075A98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楷体_GB2312" w:hAnsi="楷体_GB2312" w:eastAsia="楷体_GB2312" w:cs="楷体_GB2312"/>
          <w:sz w:val="32"/>
          <w:szCs w:val="32"/>
          <w:lang w:val="en-US" w:eastAsia="zh-CN"/>
        </w:rPr>
        <w:t>（十）农林水（类）其他脱贫攻坚成果衔接乡村振兴（款）其他脱贫攻坚成果衔接乡村振兴（项）：</w:t>
      </w:r>
      <w:r>
        <w:rPr>
          <w:rFonts w:hint="eastAsia" w:ascii="仿宋_GB2312" w:hAnsi="仿宋_GB2312" w:eastAsia="仿宋_GB2312" w:cs="仿宋_GB2312"/>
          <w:sz w:val="32"/>
          <w:szCs w:val="32"/>
          <w:highlight w:val="none"/>
          <w:lang w:val="en-US" w:eastAsia="zh-CN"/>
        </w:rPr>
        <w:t>反映除上述项目以外其他用于巩固拓展脱贫攻坚成果同乡村振兴有效衔接方面的支出。</w:t>
      </w:r>
    </w:p>
    <w:p w14:paraId="453C57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（十七）住房保障（类）住房改革支出（款）住房公积金（项）：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（十八）基本支出：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（十九）项目支出：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1737C7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（二十）“三公”经费：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（二十一）机关运行经费：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日常维修费、办公用房电费、办公用房物业管理费以及其他费用。</w:t>
      </w:r>
    </w:p>
    <w:p w14:paraId="4B903A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65D206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14BD35F0">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14:paraId="341568D1">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14:paraId="0E3F3F5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27C9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59CD9E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K6RU/X9AQAA/wMAAA4AAAAAAAAAAQAgAAAAHwEAAGRycy9lMm9Eb2MueG1s&#10;UEsFBgAAAAAGAAYAWQEAAI4FAAAAAA==&#10;">
              <v:fill on="f" focussize="0,0"/>
              <v:stroke on="f"/>
              <v:imagedata o:title=""/>
              <o:lock v:ext="edit" aspectratio="f"/>
              <v:textbox inset="0mm,0mm,0mm,0mm" style="mso-fit-shape-to-text:t;">
                <w:txbxContent>
                  <w:p w14:paraId="159CD9E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decimal"/>
      <w:lvlText w:val="%1."/>
      <w:lvlJc w:val="left"/>
      <w:pPr>
        <w:tabs>
          <w:tab w:val="left" w:pos="312"/>
        </w:tabs>
        <w:ind w:left="1600" w:leftChars="0" w:firstLine="0" w:firstLineChars="0"/>
      </w:p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1EE03315"/>
    <w:rsid w:val="31A7210A"/>
    <w:rsid w:val="798F619B"/>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before="0" w:after="140" w:line="276" w:lineRule="auto"/>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2"/>
    <w:autoRedefine/>
    <w:qFormat/>
    <w:uiPriority w:val="0"/>
  </w:style>
  <w:style w:type="paragraph" w:styleId="7">
    <w:name w:val="table of figures"/>
    <w:basedOn w:val="1"/>
    <w:next w:val="1"/>
    <w:qFormat/>
    <w:uiPriority w:val="0"/>
    <w:pPr>
      <w:ind w:left="400" w:leftChars="200" w:hanging="200" w:hangingChars="200"/>
    </w:pPr>
    <w:rPr>
      <w:rFonts w:ascii="Times New Roman" w:hAnsi="Times New Roman" w:eastAsia="宋体" w:cs="Times New Roman"/>
      <w:lang w:bidi="ar-SA"/>
    </w:rPr>
  </w:style>
  <w:style w:type="paragraph" w:styleId="8">
    <w:name w:val="Normal (Web)"/>
    <w:basedOn w:val="1"/>
    <w:autoRedefine/>
    <w:qFormat/>
    <w:uiPriority w:val="0"/>
    <w:rPr>
      <w:sz w:val="24"/>
    </w:rPr>
  </w:style>
  <w:style w:type="table" w:styleId="10">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默认段落字体1"/>
    <w:autoRedefine/>
    <w:qFormat/>
    <w:uiPriority w:val="0"/>
  </w:style>
  <w:style w:type="paragraph" w:customStyle="1" w:styleId="13">
    <w:name w:val="Heading"/>
    <w:basedOn w:val="1"/>
    <w:next w:val="2"/>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extended-properties" xmlns:vt="http://schemas.openxmlformats.org/officeDocument/2006/docPropsVTypes">
  <Pages>20</Pages>
  <Words>8884</Words>
  <Characters>9903</Characters>
  <TotalTime>7</TotalTime>
  <ScaleCrop>false</ScaleCrop>
  <LinksUpToDate>false</LinksUpToDate>
  <CharactersWithSpaces>9930</CharactersWithSpaces>
  <Application>WPS Office_12.8.2.1116_F1E327BC-269C-435d-A152-05C5408002CA</Applicat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uos</cp:lastModifiedBy>
  <dcterms:modified xsi:type="dcterms:W3CDTF">2025-02-11T11:33:16Z</dcterms:modified>
  <cp:revision>2</cp:revision>
</cp:core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96081F72B7444D3C8C1C7DDAED24732C_13</vt:lpwstr>
  </property>
  <property fmtid="{D5CDD505-2E9C-101B-9397-08002B2CF9AE}" pid="4" name="KSOTemplateDocerSaveRecord">
    <vt:lpwstr>eyJoZGlkIjoiYzc3ODU2NDA0OWJmMDM0NjhkYjhkZGU5OTdhYzI3MGMiLCJ1c2VySWQiOiIxMzU5ODk1NTQxIn0=</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fc99e0-7a47-4c46-bfe0-21568e9d81a0}">
  <ds:schemaRefs/>
</ds:datastoreItem>
</file>

<file path=customXml/itemProps3.xml><?xml version="1.0" encoding="utf-8"?>
<ds:datastoreItem xmlns:ds="http://schemas.openxmlformats.org/officeDocument/2006/customXml" ds:itemID="{7fe1141e-1f33-4114-abdb-9ec59ed5a6cc}">
  <ds:schemaRefs/>
</ds:datastoreItem>
</file>

<file path=customXml/itemProps4.xml><?xml version="1.0" encoding="utf-8"?>
<ds:datastoreItem xmlns:ds="http://schemas.openxmlformats.org/officeDocument/2006/customXml" ds:itemID="{6e1a3b68-7839-4f27-b7fd-bf46a27c839d}">
  <ds:schemaRefs/>
</ds:datastoreItem>
</file>

<file path=docProps/app.xml><?xml version="1.0" encoding="utf-8"?>
<Properties xmlns="http://schemas.openxmlformats.org/officeDocument/2006/extended-properties" xmlns:vt="http://schemas.openxmlformats.org/officeDocument/2006/docPropsVTypes">
  <Pages>19</Pages>
  <Words>8877</Words>
  <Characters>9896</Characters>
  <TotalTime>16</TotalTime>
  <ScaleCrop>false</ScaleCrop>
  <LinksUpToDate>false</LinksUpToDate>
  <CharactersWithSpaces>9923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WPS_1649411251</cp:lastModifiedBy>
  <dcterms:modified xsi:type="dcterms:W3CDTF">2025-02-13T00:47:01Z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96081F72B7444D3C8C1C7DDAED24732C_13</vt:lpwstr>
  </property>
  <property fmtid="{D5CDD505-2E9C-101B-9397-08002B2CF9AE}" pid="4" name="KSOTemplateDocerSaveRecord">
    <vt:lpwstr>eyJoZGlkIjoiYzc3ODU2NDA0OWJmMDM0NjhkYjhkZGU5OTdhYzI3MGMiLCJ1c2VySWQiOiIxMzU5ODk1NTQxIn0=</vt:lpwstr>
  </property>
</Properties>
</file>