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64B1F5">
      <w:pPr>
        <w:spacing w:line="360" w:lineRule="auto"/>
        <w:jc w:val="center"/>
        <w:rPr>
          <w:rFonts w:hint="default" w:ascii="Times New Roman" w:hAnsi="Times New Roman" w:eastAsia="黑体" w:cs="Times New Roman"/>
          <w:b w:val="0"/>
          <w:bCs w:val="0"/>
          <w:color w:val="000000" w:themeColor="text1"/>
          <w:kern w:val="2"/>
          <w:sz w:val="72"/>
          <w:szCs w:val="24"/>
          <w14:textFill>
            <w14:solidFill>
              <w14:schemeClr w14:val="tx1"/>
            </w14:solidFill>
          </w14:textFill>
        </w:rPr>
      </w:pPr>
    </w:p>
    <w:p w14:paraId="08CF2443">
      <w:pPr>
        <w:pStyle w:val="2"/>
        <w:rPr>
          <w:rFonts w:hint="default"/>
          <w:b w:val="0"/>
          <w:bCs w:val="0"/>
          <w:color w:val="000000" w:themeColor="text1"/>
          <w14:textFill>
            <w14:solidFill>
              <w14:schemeClr w14:val="tx1"/>
            </w14:solidFill>
          </w14:textFill>
        </w:rPr>
      </w:pPr>
    </w:p>
    <w:p w14:paraId="34BFC4CD">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t>2023年度</w:t>
      </w:r>
      <w:bookmarkStart w:id="70" w:name="_GoBack"/>
      <w:bookmarkEnd w:id="70"/>
    </w:p>
    <w:p w14:paraId="082B3AC1">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t>广元市昭化区乡村振兴局</w:t>
      </w:r>
    </w:p>
    <w:p w14:paraId="5F204A68">
      <w:pPr>
        <w:spacing w:line="1400" w:lineRule="exact"/>
        <w:jc w:val="center"/>
        <w:rPr>
          <w:rFonts w:hint="default" w:ascii="Times New Roman" w:hAnsi="Times New Roman" w:eastAsia="方正小标宋简体" w:cs="Times New Roman"/>
          <w:b w:val="0"/>
          <w:bCs w:val="0"/>
          <w:color w:val="000000" w:themeColor="text1"/>
          <w:kern w:val="2"/>
          <w:sz w:val="52"/>
          <w:szCs w:val="24"/>
          <w:highlight w:val="white"/>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t>单位决算</w:t>
      </w:r>
    </w:p>
    <w:p w14:paraId="42C2DDB6">
      <w:pPr>
        <w:keepNext/>
        <w:keepLines/>
        <w:spacing w:line="576" w:lineRule="exact"/>
        <w:jc w:val="center"/>
        <w:rPr>
          <w:rFonts w:hint="default" w:ascii="Times New Roman" w:hAnsi="Times New Roman" w:eastAsia="黑体" w:cs="Times New Roman"/>
          <w:b w:val="0"/>
          <w:bCs w:val="0"/>
          <w:color w:val="000000" w:themeColor="text1"/>
          <w:kern w:val="2"/>
          <w:sz w:val="48"/>
          <w:szCs w:val="24"/>
          <w14:textFill>
            <w14:solidFill>
              <w14:schemeClr w14:val="tx1"/>
            </w14:solidFill>
          </w14:textFill>
        </w:rPr>
        <w:sectPr>
          <w:pgSz w:w="12240" w:h="15840"/>
          <w:pgMar w:top="2098" w:right="1474" w:bottom="1984" w:left="1587" w:header="720" w:footer="720" w:gutter="0"/>
          <w:lnNumType w:countBy="0" w:distance="360"/>
          <w:pgNumType w:fmt="decimal" w:start="0"/>
          <w:cols w:space="720" w:num="1"/>
        </w:sectPr>
      </w:pPr>
    </w:p>
    <w:p w14:paraId="28A5D6E2">
      <w:pPr>
        <w:keepNext/>
        <w:keepLines/>
        <w:spacing w:line="576" w:lineRule="exact"/>
        <w:jc w:val="center"/>
        <w:rPr>
          <w:rFonts w:hint="eastAsia" w:ascii="方正小标宋简体" w:hAnsi="方正小标宋简体" w:eastAsia="方正小标宋简体" w:cs="方正小标宋简体"/>
          <w:b w:val="0"/>
          <w:bCs w:val="0"/>
          <w:color w:val="000000" w:themeColor="text1"/>
          <w:kern w:val="2"/>
          <w:sz w:val="44"/>
          <w:szCs w:val="2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22"/>
          <w14:textFill>
            <w14:solidFill>
              <w14:schemeClr w14:val="tx1"/>
            </w14:solidFill>
          </w14:textFill>
        </w:rPr>
        <w:t>目    录</w:t>
      </w:r>
    </w:p>
    <w:p w14:paraId="62A457C7">
      <w:pPr>
        <w:keepNext/>
        <w:keepLines/>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楷体_GB2312" w:hAnsi="楷体_GB2312" w:eastAsia="楷体_GB2312" w:cs="楷体_GB2312"/>
          <w:b w:val="0"/>
          <w:bCs w:val="0"/>
          <w:color w:val="000000" w:themeColor="text1"/>
          <w:kern w:val="2"/>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14:textFill>
            <w14:solidFill>
              <w14:schemeClr w14:val="tx1"/>
            </w14:solidFill>
          </w14:textFill>
        </w:rPr>
        <w:t>公开时间：2024年</w:t>
      </w:r>
      <w:r>
        <w:rPr>
          <w:rFonts w:hint="eastAsia" w:ascii="楷体_GB2312" w:hAnsi="楷体_GB2312" w:eastAsia="楷体_GB2312" w:cs="楷体_GB2312"/>
          <w:b w:val="0"/>
          <w:bCs w:val="0"/>
          <w:color w:val="000000" w:themeColor="text1"/>
          <w:kern w:val="2"/>
          <w:sz w:val="32"/>
          <w:szCs w:val="32"/>
          <w:lang w:val="en-US" w:eastAsia="zh-CN"/>
          <w14:textFill>
            <w14:solidFill>
              <w14:schemeClr w14:val="tx1"/>
            </w14:solidFill>
          </w14:textFill>
        </w:rPr>
        <w:t>9</w:t>
      </w:r>
      <w:r>
        <w:rPr>
          <w:rFonts w:hint="eastAsia" w:ascii="楷体_GB2312" w:hAnsi="楷体_GB2312" w:eastAsia="楷体_GB2312" w:cs="楷体_GB2312"/>
          <w:b w:val="0"/>
          <w:bCs w:val="0"/>
          <w:color w:val="000000" w:themeColor="text1"/>
          <w:kern w:val="2"/>
          <w:sz w:val="32"/>
          <w:szCs w:val="32"/>
          <w14:textFill>
            <w14:solidFill>
              <w14:schemeClr w14:val="tx1"/>
            </w14:solidFill>
          </w14:textFill>
        </w:rPr>
        <w:t>月</w:t>
      </w:r>
      <w:r>
        <w:rPr>
          <w:rFonts w:hint="eastAsia" w:ascii="楷体_GB2312" w:hAnsi="楷体_GB2312" w:eastAsia="楷体_GB2312" w:cs="楷体_GB2312"/>
          <w:b w:val="0"/>
          <w:bCs w:val="0"/>
          <w:color w:val="000000" w:themeColor="text1"/>
          <w:kern w:val="2"/>
          <w:sz w:val="32"/>
          <w:szCs w:val="32"/>
          <w:lang w:val="en-US" w:eastAsia="zh-CN"/>
          <w14:textFill>
            <w14:solidFill>
              <w14:schemeClr w14:val="tx1"/>
            </w14:solidFill>
          </w14:textFill>
        </w:rPr>
        <w:t>25</w:t>
      </w:r>
      <w:r>
        <w:rPr>
          <w:rFonts w:hint="eastAsia" w:ascii="楷体_GB2312" w:hAnsi="楷体_GB2312" w:eastAsia="楷体_GB2312" w:cs="楷体_GB2312"/>
          <w:b w:val="0"/>
          <w:bCs w:val="0"/>
          <w:color w:val="000000" w:themeColor="text1"/>
          <w:kern w:val="2"/>
          <w:sz w:val="32"/>
          <w:szCs w:val="32"/>
          <w14:textFill>
            <w14:solidFill>
              <w14:schemeClr w14:val="tx1"/>
            </w14:solidFill>
          </w14:textFill>
        </w:rPr>
        <w:t>日</w:t>
      </w:r>
    </w:p>
    <w:p w14:paraId="2DA79EFF">
      <w:pPr>
        <w:pStyle w:val="9"/>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253CB1FF">
      <w:pPr>
        <w:pStyle w:val="9"/>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val="0"/>
          <w:color w:val="000000" w:themeColor="text1"/>
          <w:sz w:val="44"/>
          <w:szCs w:val="24"/>
          <w14:textFill>
            <w14:solidFill>
              <w14:schemeClr w14:val="tx1"/>
            </w14:solidFill>
          </w14:textFill>
        </w:rPr>
        <w:fldChar w:fldCharType="begin"/>
      </w:r>
      <w:r>
        <w:rPr>
          <w:rFonts w:hint="default" w:ascii="Times New Roman" w:hAnsi="Times New Roman" w:eastAsia="方正小标宋简体" w:cs="Times New Roman"/>
          <w:b w:val="0"/>
          <w:bCs w:val="0"/>
          <w:color w:val="000000" w:themeColor="text1"/>
          <w:sz w:val="44"/>
          <w:szCs w:val="24"/>
          <w14:textFill>
            <w14:solidFill>
              <w14:schemeClr w14:val="tx1"/>
            </w14:solidFill>
          </w14:textFill>
        </w:rPr>
        <w:instrText xml:space="preserve">TOC \o "1-2" \h \u </w:instrText>
      </w:r>
      <w:r>
        <w:rPr>
          <w:rFonts w:hint="default" w:ascii="Times New Roman" w:hAnsi="Times New Roman" w:eastAsia="方正小标宋简体" w:cs="Times New Roman"/>
          <w:b w:val="0"/>
          <w:bCs w:val="0"/>
          <w:color w:val="000000" w:themeColor="text1"/>
          <w:sz w:val="44"/>
          <w:szCs w:val="24"/>
          <w14:textFill>
            <w14:solidFill>
              <w14:schemeClr w14:val="tx1"/>
            </w14:solidFill>
          </w14:textFill>
        </w:rPr>
        <w:fldChar w:fldCharType="separate"/>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_Toc19012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第一部分 单位概况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_Toc19012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64DFF8EB">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_Toc7359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40"/>
        </w:rPr>
        <w:t>一、主要职责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_Toc7359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35A6BE15">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_Toc8796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40"/>
        </w:rPr>
        <w:t>二、机构设置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_Toc8796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69AC87A6">
      <w:pPr>
        <w:pStyle w:val="9"/>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_Toc5061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第二部分 2023年度单位决算情况说明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_Toc5061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1EA036AA">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_Toc3191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一、收入支出决算总体情况说明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_Toc3191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44563B7">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_Toc141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二、收入决算情况说明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0F5DA4B">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_Toc31484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三、支出决算情况说明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_Toc31484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47BEB36D">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_Toc29710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四、财政拨款收入支出决算总体情况说明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_Toc29710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6D223C4C">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_Toc19050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_Toc19050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81AAF02">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_Toc21133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_Toc21133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A30F19A">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_Toc26802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七、财政拨款“三公”经费支出决算情况说明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_Toc26802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648CF62B">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_Toc27147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_Toc27147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41703D3D">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_Toc27733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九、国有资本经营预算支出决算情况说明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_Toc27733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DF22EDF">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_Toc7525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_Toc7525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9A22595">
      <w:pPr>
        <w:pStyle w:val="9"/>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_Toc16796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第三部分 名</w:t>
      </w:r>
      <w:r>
        <w:rPr>
          <w:rFonts w:hint="default" w:ascii="Times New Roman" w:hAnsi="Times New Roman" w:eastAsia="仿宋_GB2312" w:cs="Times New Roman"/>
          <w:bCs w:val="0"/>
          <w:kern w:val="44"/>
          <w:sz w:val="32"/>
          <w:szCs w:val="32"/>
        </w:rPr>
        <w:t>词解释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_Toc16796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65D0636C">
      <w:pPr>
        <w:pStyle w:val="9"/>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_Toc20789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lang w:val="en-US" w:eastAsia="zh-CN"/>
        </w:rPr>
        <w:t xml:space="preserve">第四部分 </w:t>
      </w:r>
      <w:r>
        <w:rPr>
          <w:rFonts w:hint="default" w:ascii="Times New Roman" w:hAnsi="Times New Roman" w:eastAsia="仿宋_GB2312" w:cs="Times New Roman"/>
          <w:bCs w:val="0"/>
          <w:kern w:val="2"/>
          <w:sz w:val="32"/>
          <w:szCs w:val="32"/>
        </w:rPr>
        <w:t>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_Toc20789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4092490F">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_Toc1632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lang w:val="en-US" w:eastAsia="zh-CN"/>
        </w:rPr>
        <w:t>附件1</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_Toc1632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73357C5B">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_Toc28913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40"/>
          <w:lang w:val="en-US" w:eastAsia="zh-CN" w:bidi="ar-SA"/>
        </w:rPr>
        <w:t>附件2</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_Toc28913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EE8CDF1">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_Toc12600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40"/>
          <w:lang w:val="en-US" w:eastAsia="zh-CN" w:bidi="ar-SA"/>
        </w:rPr>
        <w:t>附件3</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_Toc12600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48E23A4">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_Toc21986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40"/>
          <w:lang w:val="en-US" w:eastAsia="zh-CN" w:bidi="ar-SA"/>
        </w:rPr>
        <w:t>附件4</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_Toc21986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495C4EC2">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_Toc18194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40"/>
          <w:lang w:val="en-US" w:eastAsia="zh-CN" w:bidi="ar-SA"/>
        </w:rPr>
        <w:t>附件5</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_Toc18194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CF3157F">
      <w:pPr>
        <w:pStyle w:val="9"/>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_Toc26341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第</w:t>
      </w:r>
      <w:r>
        <w:rPr>
          <w:rFonts w:hint="default" w:ascii="Times New Roman" w:hAnsi="Times New Roman" w:eastAsia="仿宋_GB2312" w:cs="Times New Roman"/>
          <w:bCs w:val="0"/>
          <w:kern w:val="44"/>
          <w:sz w:val="32"/>
          <w:szCs w:val="32"/>
        </w:rPr>
        <w:t>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_Toc26341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1D64E577">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_Toc14967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一、收入支出决算总表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_Toc14967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DED4F2B">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_Toc16144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二、收入决算表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3B52AE34">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_Toc10764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三、支出决算表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_Toc10764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358394DD">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_Toc23220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四、财政拨款收入支出决算总表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_Toc23220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6B58CDC">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_Toc8211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五、财政拨款支出决算明细表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_Toc8211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B64B95D">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_Toc1374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六、一般公共预算财政拨款支出决算表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198188F5">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_Toc17143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七、一般公共预算财政拨款支出决算明细表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_Toc17143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DC00483">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_Toc22705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八、一般公共预算财政拨款基本支出决算表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_Toc22705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1D1E1F0D">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_Toc10019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九、一般公共预算财政拨款项目支出决算表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_Toc10019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4AA8043F">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_Toc23387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十、政府性基金预算财政拨款收入支出决算表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_Toc23387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6674071">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_Toc13499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十一、国有资本经营预算财政拨款收入支出决算表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_Toc13499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77FA1A8">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_Toc2164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十二、国有资本经营预算财政拨款支出决算表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463E33B">
      <w:pPr>
        <w:pStyle w:val="11"/>
        <w:keepNext w:val="0"/>
        <w:keepLines w:val="0"/>
        <w:pageBreakBefore w:val="0"/>
        <w:widowControl w:val="0"/>
        <w:tabs>
          <w:tab w:val="right" w:leader="dot" w:pos="9179"/>
        </w:tabs>
        <w:kinsoku/>
        <w:wordWrap/>
        <w:overflowPunct/>
        <w:topLinePunct w:val="0"/>
        <w:autoSpaceDE w:val="0"/>
        <w:autoSpaceDN w:val="0"/>
        <w:bidi w:val="0"/>
        <w:adjustRightInd/>
        <w:snapToGrid/>
        <w:spacing w:line="576" w:lineRule="exact"/>
        <w:textAlignment w:val="auto"/>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_Toc26605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十三、财政拨款“三公”经费支出决算表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_Toc26605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E064DE8">
      <w:pPr>
        <w:pStyle w:val="15"/>
        <w:pageBreakBefore w:val="0"/>
        <w:widowControl w:val="0"/>
        <w:kinsoku/>
        <w:wordWrap/>
        <w:overflowPunct/>
        <w:topLinePunct w:val="0"/>
        <w:autoSpaceDE w:val="0"/>
        <w:autoSpaceDN w:val="0"/>
        <w:bidi w:val="0"/>
        <w:adjustRightInd/>
        <w:snapToGrid/>
        <w:spacing w:line="576" w:lineRule="exact"/>
        <w:ind w:left="0" w:leftChars="0" w:firstLine="0" w:firstLineChars="0"/>
        <w:textAlignment w:val="auto"/>
        <w:rPr>
          <w:rFonts w:hint="default" w:ascii="Times New Roman" w:hAnsi="Times New Roman" w:eastAsia="方正小标宋简体" w:cs="Times New Roman"/>
          <w:b w:val="0"/>
          <w:bCs w:val="0"/>
          <w:color w:val="000000" w:themeColor="text1"/>
          <w:sz w:val="44"/>
          <w:szCs w:val="24"/>
          <w14:textFill>
            <w14:solidFill>
              <w14:schemeClr w14:val="tx1"/>
            </w14:solidFill>
          </w14:textFill>
        </w:rPr>
        <w:sectPr>
          <w:footerReference r:id="rId3" w:type="default"/>
          <w:pgSz w:w="12240" w:h="15840"/>
          <w:pgMar w:top="2098" w:right="1474" w:bottom="1984" w:left="1587" w:header="720" w:footer="1559" w:gutter="0"/>
          <w:lnNumType w:countBy="0" w:distance="360"/>
          <w:pgNumType w:fmt="decimal" w:start="1"/>
          <w:cols w:space="720" w:num="1"/>
        </w:sectPr>
      </w:pPr>
      <w:r>
        <w:rPr>
          <w:rFonts w:hint="default" w:ascii="Times New Roman" w:hAnsi="Times New Roman" w:eastAsia="方正小标宋简体" w:cs="Times New Roman"/>
          <w:bCs w:val="0"/>
          <w:color w:val="000000" w:themeColor="text1"/>
          <w:szCs w:val="24"/>
          <w14:textFill>
            <w14:solidFill>
              <w14:schemeClr w14:val="tx1"/>
            </w14:solidFill>
          </w14:textFill>
        </w:rPr>
        <w:fldChar w:fldCharType="end"/>
      </w:r>
    </w:p>
    <w:p w14:paraId="66FB4FD2">
      <w:pPr>
        <w:overflowPunct w:val="0"/>
        <w:topLinePunct/>
        <w:jc w:val="center"/>
        <w:outlineLvl w:val="0"/>
        <w:rPr>
          <w:rFonts w:hint="default" w:ascii="Times New Roman" w:hAnsi="Times New Roman" w:eastAsia="方正小标宋简体" w:cs="Times New Roman"/>
          <w:b w:val="0"/>
          <w:bCs w:val="0"/>
          <w:color w:val="000000" w:themeColor="text1"/>
          <w:sz w:val="44"/>
          <w:szCs w:val="24"/>
          <w14:textFill>
            <w14:solidFill>
              <w14:schemeClr w14:val="tx1"/>
            </w14:solidFill>
          </w14:textFill>
        </w:rPr>
      </w:pPr>
      <w:bookmarkStart w:id="0" w:name="_Toc19012"/>
      <w:bookmarkStart w:id="1" w:name="_Toc9137"/>
      <w:r>
        <w:rPr>
          <w:rFonts w:hint="default" w:ascii="Times New Roman" w:hAnsi="Times New Roman" w:eastAsia="方正小标宋简体" w:cs="Times New Roman"/>
          <w:b w:val="0"/>
          <w:bCs w:val="0"/>
          <w:color w:val="000000" w:themeColor="text1"/>
          <w:sz w:val="44"/>
          <w:szCs w:val="24"/>
          <w14:textFill>
            <w14:solidFill>
              <w14:schemeClr w14:val="tx1"/>
            </w14:solidFill>
          </w14:textFill>
        </w:rPr>
        <w:t>第一部分 单位概况</w:t>
      </w:r>
      <w:bookmarkEnd w:id="0"/>
      <w:bookmarkEnd w:id="1"/>
    </w:p>
    <w:p w14:paraId="5A7F1CD3">
      <w:pPr>
        <w:pStyle w:val="2"/>
        <w:overflowPunct w:val="0"/>
        <w:topLinePunct/>
        <w:spacing w:before="72" w:beforeLines="0"/>
        <w:rPr>
          <w:rFonts w:hint="default" w:ascii="Times New Roman" w:hAnsi="Times New Roman" w:cs="Times New Roman"/>
          <w:b w:val="0"/>
          <w:bCs w:val="0"/>
          <w:color w:val="000000" w:themeColor="text1"/>
          <w:sz w:val="30"/>
          <w:szCs w:val="24"/>
          <w14:textFill>
            <w14:solidFill>
              <w14:schemeClr w14:val="tx1"/>
            </w14:solidFill>
          </w14:textFill>
        </w:rPr>
      </w:pPr>
    </w:p>
    <w:p w14:paraId="77ADD17A">
      <w:pPr>
        <w:pStyle w:val="4"/>
        <w:keepNext w:val="0"/>
        <w:keepLines w:val="0"/>
        <w:pageBreakBefore w:val="0"/>
        <w:widowControl w:val="0"/>
        <w:kinsoku/>
        <w:wordWrap/>
        <w:overflowPunct w:val="0"/>
        <w:topLinePunct/>
        <w:autoSpaceDE w:val="0"/>
        <w:autoSpaceDN w:val="0"/>
        <w:bidi w:val="0"/>
        <w:adjustRightInd/>
        <w:spacing w:line="576" w:lineRule="exact"/>
        <w:ind w:firstLine="640" w:firstLineChars="200"/>
        <w:jc w:val="both"/>
        <w:textAlignment w:val="auto"/>
        <w:outlineLvl w:val="1"/>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bookmarkStart w:id="2" w:name="_Toc7359"/>
      <w:bookmarkStart w:id="3" w:name="_Toc6373"/>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一、主要职责</w:t>
      </w:r>
      <w:bookmarkEnd w:id="2"/>
      <w:bookmarkEnd w:id="3"/>
    </w:p>
    <w:p w14:paraId="62CEAA3F">
      <w:pPr>
        <w:keepNext w:val="0"/>
        <w:keepLines w:val="0"/>
        <w:pageBreakBefore w:val="0"/>
        <w:widowControl w:val="0"/>
        <w:kinsoku/>
        <w:wordWrap/>
        <w:overflowPunct w:val="0"/>
        <w:topLinePunct/>
        <w:autoSpaceDE w:val="0"/>
        <w:autoSpaceDN w:val="0"/>
        <w:bidi w:val="0"/>
        <w:adjustRightInd/>
        <w:spacing w:line="576" w:lineRule="exact"/>
        <w:ind w:firstLine="640" w:firstLineChars="200"/>
        <w:jc w:val="both"/>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（一）单位主要职能</w:t>
      </w:r>
    </w:p>
    <w:p w14:paraId="76AE08B0">
      <w:pPr>
        <w:keepNext w:val="0"/>
        <w:keepLines w:val="0"/>
        <w:pageBreakBefore w:val="0"/>
        <w:widowControl w:val="0"/>
        <w:kinsoku/>
        <w:wordWrap/>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1.贯彻执行国家乡村振兴的方针、政策和法律、法规，拟订有关具体政策措施并组织实施。</w:t>
      </w:r>
    </w:p>
    <w:p w14:paraId="1E26E5B9">
      <w:pPr>
        <w:keepNext w:val="0"/>
        <w:keepLines w:val="0"/>
        <w:pageBreakBefore w:val="0"/>
        <w:widowControl w:val="0"/>
        <w:kinsoku/>
        <w:wordWrap/>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拟订全区乡村振兴中长期规划和年度计划，组织、协调和指导全区产业扶贫、科技扶贫、智力扶贫、特殊类区扶贫开发工作，组织和指导社会扶贫工作，负责联络区外机构东西部协作工作，组织定点扶贫与扶贫协作工作，组织扶贫开发对外交流与合作及外资外援扶贫项目的引进与实施。</w:t>
      </w:r>
    </w:p>
    <w:p w14:paraId="311A8C8F">
      <w:pPr>
        <w:keepNext w:val="0"/>
        <w:keepLines w:val="0"/>
        <w:pageBreakBefore w:val="0"/>
        <w:widowControl w:val="0"/>
        <w:kinsoku/>
        <w:wordWrap/>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3.承担衔接资金管理责任。拟订全区乡村振兴衔接资金使用管理和项目管理办法，负责有关项目、资金、基金、物资的分配、管理、使用、稽查审计、绩效考评、统计监测等监督工作。</w:t>
      </w:r>
    </w:p>
    <w:p w14:paraId="4F4AC696">
      <w:pPr>
        <w:keepNext w:val="0"/>
        <w:keepLines w:val="0"/>
        <w:pageBreakBefore w:val="0"/>
        <w:widowControl w:val="0"/>
        <w:kinsoku/>
        <w:wordWrap/>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4.负责乡村振兴研究及信息工作，组织贫困群众生产技能和劳动力转移培训。</w:t>
      </w:r>
    </w:p>
    <w:p w14:paraId="3077C73A">
      <w:pPr>
        <w:keepNext w:val="0"/>
        <w:keepLines w:val="0"/>
        <w:pageBreakBefore w:val="0"/>
        <w:widowControl w:val="0"/>
        <w:kinsoku/>
        <w:wordWrap/>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5.负责乡村振兴信访接待、处理、管理工作，协调、指导有关的社会稳定工作。</w:t>
      </w:r>
    </w:p>
    <w:p w14:paraId="04DC3A11">
      <w:pPr>
        <w:keepNext w:val="0"/>
        <w:keepLines w:val="0"/>
        <w:pageBreakBefore w:val="0"/>
        <w:widowControl w:val="0"/>
        <w:kinsoku/>
        <w:wordWrap/>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6.承担区政府公布的有关行政审批事项。</w:t>
      </w:r>
    </w:p>
    <w:p w14:paraId="24F0565D">
      <w:pPr>
        <w:keepNext w:val="0"/>
        <w:keepLines w:val="0"/>
        <w:pageBreakBefore w:val="0"/>
        <w:widowControl w:val="0"/>
        <w:kinsoku/>
        <w:wordWrap/>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7.承担区委区政府乡村振兴领导小组、区革命老区建设领导小组的具体工作。</w:t>
      </w:r>
    </w:p>
    <w:p w14:paraId="6EC5E9F1">
      <w:pPr>
        <w:pStyle w:val="2"/>
        <w:keepNext w:val="0"/>
        <w:keepLines w:val="0"/>
        <w:pageBreakBefore w:val="0"/>
        <w:widowControl w:val="0"/>
        <w:kinsoku/>
        <w:wordWrap/>
        <w:autoSpaceDE w:val="0"/>
        <w:autoSpaceDN w:val="0"/>
        <w:bidi w:val="0"/>
        <w:adjustRightInd/>
        <w:spacing w:before="0" w:before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8.承办区政府交办的其他事项。</w:t>
      </w:r>
    </w:p>
    <w:p w14:paraId="04DC4008">
      <w:pPr>
        <w:keepNext w:val="0"/>
        <w:keepLines w:val="0"/>
        <w:pageBreakBefore w:val="0"/>
        <w:widowControl w:val="0"/>
        <w:kinsoku/>
        <w:wordWrap/>
        <w:overflowPunct w:val="0"/>
        <w:topLinePunct/>
        <w:autoSpaceDE w:val="0"/>
        <w:autoSpaceDN w:val="0"/>
        <w:bidi w:val="0"/>
        <w:adjustRightInd/>
        <w:spacing w:line="576" w:lineRule="exact"/>
        <w:ind w:firstLine="640" w:firstLineChars="200"/>
        <w:jc w:val="both"/>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（二）2023年重点工作完成情况</w:t>
      </w:r>
    </w:p>
    <w:p w14:paraId="7986CE9A">
      <w:pPr>
        <w:keepNext w:val="0"/>
        <w:keepLines w:val="0"/>
        <w:pageBreakBefore w:val="0"/>
        <w:widowControl w:val="0"/>
        <w:kinsoku/>
        <w:wordWrap/>
        <w:overflowPunct/>
        <w:topLinePunct w:val="0"/>
        <w:autoSpaceDE w:val="0"/>
        <w:autoSpaceDN w:val="0"/>
        <w:bidi w:val="0"/>
        <w:adjustRightInd/>
        <w:snapToGrid w:val="0"/>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持续做好有效衔接工作，全面巩固拓展脱贫攻坚成果。一是持续发挥衔接引领作用。印发《昭化区2023年巩固拓展脱贫攻坚成果同乡村振兴有效衔接工作要点》《昭化区乡村建设行动中期建设任务清单和2023年度建设任务清单》《防止返贫监测帮扶集中排查工作方案》，积极抓好巩固脱贫成果责任衔接、政策衔接、工作衔接和成效巩固，全面补齐产业就业、综合保障、乡村建设、乡村治理等短板弱项。牵头完成省级巩固脱贫成果后评估县际交叉考核和第三方实地考核，配合完成省市级乡村振兴战略实绩考核和省级乡村振兴成效显著县创建。牵头承办各类会议31场。二是扎实开展防返贫动态监测帮扶。建立防止返贫全覆盖网格化管理体系，落实排查干部1200人，多渠道推广防止返贫监测帮扶政策“明白纸”，累计推送风险预警信息5517条</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新增监测对象100户333人，累计纳入监测对象311户892人，逐户落实监测联系人，均落实低保兜底、产业扶持、医疗保障等帮扶措施，全区未发生一人一户返贫致贫。三是切实开展农村“厕所革命”。印发《广元市昭化区2023年农村人居环境整治（厕所革命）项目建设实施方案》，全面完成农村“厕所革命”整村推进示范村建设15个、户厕改造3931户的建设任务，任务完成率100%，全区卫生厕所普及率达到97%以上、改厕群众满意度达95%以上。四是扎实开展问题整改。牵头做好中省督查巡察、媒体暗访、审计、中央纪委定点帮扶专项调研等各类问题，举一反三，逐一建立问题台账、责任台账和整改台账，确保各类问题得到有效解决，同步开展问题整改“回头看”“回头查”，切实确保问题整改到位。</w:t>
      </w:r>
    </w:p>
    <w:p w14:paraId="4B6D9814">
      <w:pPr>
        <w:keepNext w:val="0"/>
        <w:keepLines w:val="0"/>
        <w:pageBreakBefore w:val="0"/>
        <w:widowControl w:val="0"/>
        <w:kinsoku/>
        <w:wordWrap/>
        <w:autoSpaceDE w:val="0"/>
        <w:autoSpaceDN w:val="0"/>
        <w:bidi w:val="0"/>
        <w:adjustRightInd/>
        <w:snapToGrid w:val="0"/>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2.有序推进衔接项目建设，切实提升资金使用绩效。一是扎实推进衔接资金项目建设。2023年共规划财政衔接资金项目219个，到位各级财政衔接资金15</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129万元，中省两级衔接资金用于产业发展占比分别为62.3%、63.4%。认真做好2023年度实施计划编制，完成统筹整合财政涉农资金使用方案编制、印发和备案，统筹整合财政涉农资金2.04亿元，实施整合资金项目273个。二是做优重点村帮扶。围绕《昭化区关于扎实做好乡村振兴重点帮扶村工作的实施意见》总体要求，制定年度工作计划，明确任务、细化措施，对15个重点帮扶村实施项目34个、落实衔接资金1</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043.88万元。柏林沟镇赤岚村、卫子镇千秋村成功创建省级重点帮扶优秀村。三是强化扶贫项目资产管理。开展乡村振兴专项调研，清理脱贫攻坚期和过渡期扶贫资金、帮扶资金项目资产，形成脱贫攻坚期资产规模22.39亿元，过渡期资产规模3.89亿元。印发《昭化区扶贫帮扶产业“四个一批”项目管理工作实施方案》，按照“巩固一批、提升一批、盘活一批、另起炉灶一批”总体思路，不断探索多元业态产业经营模式。</w:t>
      </w:r>
    </w:p>
    <w:p w14:paraId="7A461F5B">
      <w:pPr>
        <w:keepNext w:val="0"/>
        <w:keepLines w:val="0"/>
        <w:pageBreakBefore w:val="0"/>
        <w:widowControl w:val="0"/>
        <w:kinsoku/>
        <w:wordWrap/>
        <w:autoSpaceDE w:val="0"/>
        <w:autoSpaceDN w:val="0"/>
        <w:bidi w:val="0"/>
        <w:adjustRightInd/>
        <w:snapToGrid w:val="0"/>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3.不断强化巩固区域合作，持续深化拱昭东西部协作。一是强化组织领导。印发《昭化区2023年东西部协作工作要点》《关于下达2023年东西部协作项目资金计划的通知》，</w:t>
      </w:r>
      <w:r>
        <w:rPr>
          <w:rFonts w:hint="eastAsia" w:eastAsia="仿宋_GB2312" w:cs="Times New Roman"/>
          <w:b w:val="0"/>
          <w:bCs w:val="0"/>
          <w:color w:val="000000" w:themeColor="text1"/>
          <w:sz w:val="32"/>
          <w:szCs w:val="32"/>
          <w:lang w:eastAsia="zh-CN"/>
          <w14:textFill>
            <w14:solidFill>
              <w14:schemeClr w14:val="tx1"/>
            </w14:solidFill>
          </w14:textFill>
        </w:rPr>
        <w:t>修订完善了《广元市昭化区东西部协作项目资金管理办法》，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持续加大协作力度，规范工作流程，提升工作水平，推动各项工作任务落地落实。二是推进项目建设。2023年度规划东西部协作项目8个，计划投资3</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900万元，截止</w:t>
      </w:r>
      <w:r>
        <w:rPr>
          <w:rFonts w:hint="eastAsia" w:eastAsia="仿宋_GB2312" w:cs="Times New Roman"/>
          <w:b w:val="0"/>
          <w:bCs w:val="0"/>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底已全面完工。三是加强劳务协作。举办乡村振兴干部和人才培训班22期1367人次，持续实施“周末工程师”柔性引才计划，推行医疗、教育专业人才“组团式”帮扶模式。举办劳务协作培训班17场次，精准提升农村劳动力就业技能，帮助农村劳动力实现东部地区就业3033人</w:t>
      </w:r>
      <w:r>
        <w:rPr>
          <w:rFonts w:hint="eastAsia" w:eastAsia="仿宋_GB2312" w:cs="Times New Roman"/>
          <w:b w:val="0"/>
          <w:bCs w:val="0"/>
          <w:color w:val="000000" w:themeColor="text1"/>
          <w:sz w:val="32"/>
          <w:szCs w:val="32"/>
          <w:lang w:eastAsia="zh-CN"/>
          <w14:textFill>
            <w14:solidFill>
              <w14:schemeClr w14:val="tx1"/>
            </w14:solidFill>
          </w14:textFill>
        </w:rPr>
        <w:t>，其中</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脱贫人口462人。统筹安排“春风行动东西部劳务协作”专车，提供“点对点、门对门、一对一”返岗服务，全力保障劳动力返岗就业。四是推进示范村建设。学习浙江省“千万工程”经验，深入推进天雄村乡村振兴示范村建设，连续两年累计统筹东西部协作、社会帮扶等各类资金1</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600余万元，推动天雄村生产、生活、生态融合发展。今年以来，国家乡村振兴局副局长黄艳、全国工商联副主席方光华等领导先后到天雄村考察调研，对天雄村的发展变化给予充分肯定。《天雄村：雄起在乡村振兴大路上》案例被《中国乡村振兴》刊载推广，并入选“八八战略”杭州实践100例。</w:t>
      </w:r>
    </w:p>
    <w:p w14:paraId="6EB0CFFC">
      <w:pPr>
        <w:keepNext w:val="0"/>
        <w:keepLines w:val="0"/>
        <w:pageBreakBefore w:val="0"/>
        <w:widowControl w:val="0"/>
        <w:kinsoku/>
        <w:wordWrap/>
        <w:autoSpaceDE w:val="0"/>
        <w:autoSpaceDN w:val="0"/>
        <w:bidi w:val="0"/>
        <w:adjustRightInd/>
        <w:snapToGrid w:val="0"/>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4.持续抓好生态平安建设，营造良好营商环境。一是加强平安昭化建设。及时办理12345政务服务热线和“有事来协商”平台来信，</w:t>
      </w:r>
      <w:r>
        <w:rPr>
          <w:rFonts w:hint="eastAsia" w:eastAsia="仿宋_GB2312" w:cs="Times New Roman"/>
          <w:b w:val="0"/>
          <w:bCs w:val="0"/>
          <w:color w:val="000000" w:themeColor="text1"/>
          <w:sz w:val="32"/>
          <w:szCs w:val="32"/>
          <w:lang w:eastAsia="zh-CN"/>
          <w14:textFill>
            <w14:solidFill>
              <w14:schemeClr w14:val="tx1"/>
            </w14:solidFill>
          </w14:textFill>
        </w:rPr>
        <w:t>全年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办理群众来访信件5件，接待来访群众22人次、电话访16人次，信访件及时签收率、及时办结率和回访信访群众满意率均达100%。二是扎实做好依法治区和法治政府建设。进一步强化学法普法，切实营造普法宣传良好氛围，干部学法考试参考率和合格率均为100%，局党组专题研究依法治区工作2次，会前学法2场54人次。三是常态化推进扫黑除恶、统计、人社、群团、机要、保密和政务内网工作，持续推进文化、体育和广播电视事业，切实加强妇儿“两纲”工作。四是奋力完成经济领域目标任务。全年完成固定资产项目入库4个，总投资6151万元，已申报项目固定资产投资4</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654万元，占目标任务的119%。争取资金下达任务</w:t>
      </w:r>
      <w:r>
        <w:rPr>
          <w:rFonts w:hint="eastAsia" w:eastAsia="仿宋_GB2312" w:cs="Times New Roman"/>
          <w:b w:val="0"/>
          <w:bCs w:val="0"/>
          <w:color w:val="000000" w:themeColor="text1"/>
          <w:sz w:val="32"/>
          <w:szCs w:val="32"/>
          <w:lang w:eastAsia="zh-CN"/>
          <w14:textFill>
            <w14:solidFill>
              <w14:schemeClr w14:val="tx1"/>
            </w14:solidFill>
          </w14:textFill>
        </w:rPr>
        <w:t>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12</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520万元，已争取到位资金15</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943万元，完成目标任务的127%。全年招商引资目标任务2</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400万元，与广元市青舍旅游开发有限公司签订投资协议，完成项目投资2</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500万元，各项经济领域指标全面完成。</w:t>
      </w:r>
    </w:p>
    <w:p w14:paraId="5545E06E">
      <w:pPr>
        <w:keepNext w:val="0"/>
        <w:keepLines w:val="0"/>
        <w:pageBreakBefore w:val="0"/>
        <w:widowControl w:val="0"/>
        <w:kinsoku/>
        <w:wordWrap/>
        <w:autoSpaceDE w:val="0"/>
        <w:autoSpaceDN w:val="0"/>
        <w:bidi w:val="0"/>
        <w:adjustRightInd/>
        <w:snapToGrid w:val="0"/>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全面落实党建和党风廉政意识形态工作责任。一是切实推进从严治党。坚持把抓好党建作为最大政绩，围绕中心工作履行主体责任、抓好党建工作，严格执行《党委（党组）落实全面从严治党主体责任规定》，制定2023年党建工作要点和责任清单，召开党员大会9次、支委会12次、书记讲党课3次，专题研究党建工作2次，全面对2022年党建述职中查摆出的问题进行整改落实。二是强化理论武装。采取领导上党课、专题领学、集中交流研讨等形式，持续学深悟透习近平新时代中国特色社会主义思想、党的二十大精神，推动中央和省委、市委和区委各项决策部署在乡村振兴工作中落地生根，全年开展集中学习研讨16次，进行交流发言24人次，组织全体党员开展“学习强国”学习和知识竞赛，参学覆盖率达100%。三是强化引领示范。严格落实“三会一课”，持续开展以重温入党誓词、“红色星期六”等主题党日活动16次，充分发挥党组织党员在创建天府旅游名县、全域旅游示范区等工作中的先锋模范作用。四是抓强作风效能。对上下班纪律、请销假、去向告知、服务态度、参会纪律等事项进行再要求，常态化实行干部岗位职责管理，有效促进干部机关作风大转变，工作效率大提升。机关管理及项目实施监管全年安全无事故，干部职工当年无违纪违规违法行为发生。五是抓牢意识形态。认真落实意识形态工作“一岗双责”，严格执行《昭化区意识形态工作定期提示制度》，建立健全研判机制，在理论武装、舆论引导、弘扬社会文明等方面，牢牢掌握意识形态领导主动权，全力打好意识形态工作主动战。</w:t>
      </w:r>
    </w:p>
    <w:p w14:paraId="5DAC6D7B">
      <w:pPr>
        <w:pStyle w:val="4"/>
        <w:keepNext w:val="0"/>
        <w:keepLines w:val="0"/>
        <w:pageBreakBefore w:val="0"/>
        <w:widowControl w:val="0"/>
        <w:kinsoku/>
        <w:wordWrap/>
        <w:overflowPunct w:val="0"/>
        <w:topLinePunct/>
        <w:autoSpaceDE w:val="0"/>
        <w:autoSpaceDN w:val="0"/>
        <w:bidi w:val="0"/>
        <w:adjustRightInd/>
        <w:spacing w:line="576" w:lineRule="exact"/>
        <w:ind w:firstLine="640" w:firstLineChars="200"/>
        <w:jc w:val="both"/>
        <w:textAlignment w:val="auto"/>
        <w:outlineLvl w:val="1"/>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bookmarkStart w:id="4" w:name="_Toc6912"/>
      <w:bookmarkStart w:id="5" w:name="_Toc8796"/>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二、机构设置</w:t>
      </w:r>
      <w:bookmarkEnd w:id="4"/>
      <w:bookmarkEnd w:id="5"/>
    </w:p>
    <w:p w14:paraId="5E223A32">
      <w:pPr>
        <w:keepNext w:val="0"/>
        <w:keepLines w:val="0"/>
        <w:pageBreakBefore w:val="0"/>
        <w:widowControl w:val="0"/>
        <w:kinsoku/>
        <w:wordWrap/>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广元市昭化区乡村振兴局部门属于一级预算单位，下属二级预算单位0个，其中行政单位</w:t>
      </w:r>
      <w:r>
        <w:rPr>
          <w:rFonts w:hint="eastAsia" w:eastAsia="仿宋_GB2312" w:cs="Times New Roman"/>
          <w:b w:val="0"/>
          <w:bCs w:val="0"/>
          <w:color w:val="000000" w:themeColor="text1"/>
          <w:kern w:val="2"/>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个，参照公务员法管理的事业单位0个，其他事业单位0个。</w:t>
      </w:r>
    </w:p>
    <w:p w14:paraId="7C9847E3">
      <w:pPr>
        <w:keepNext w:val="0"/>
        <w:keepLines w:val="0"/>
        <w:pageBreakBefore w:val="0"/>
        <w:widowControl w:val="0"/>
        <w:kinsoku/>
        <w:wordWrap/>
        <w:overflowPunct w:val="0"/>
        <w:topLinePunct/>
        <w:autoSpaceDE w:val="0"/>
        <w:autoSpaceDN w:val="0"/>
        <w:bidi w:val="0"/>
        <w:adjustRightIn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纳入2023年度单位决算编制范围的独立编制机构包括：广元市昭化区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乡村振兴局</w:t>
      </w:r>
    </w:p>
    <w:p w14:paraId="2AB5C812">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324178B7">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082534D1">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11804A4A">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26C32E46">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3952B2E2">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7B5A8893">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1848F217">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7E60F114">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662D954D">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495721ED">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41B6220E">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758090C6">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1EB4B744">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5A62BE55">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3185700E">
      <w:pPr>
        <w:pStyle w:val="15"/>
        <w:widowControl w:val="0"/>
        <w:numPr>
          <w:ilvl w:val="0"/>
          <w:numId w:val="0"/>
        </w:numPr>
        <w:autoSpaceDE w:val="0"/>
        <w:autoSpaceDN w:val="0"/>
        <w:spacing w:line="560" w:lineRule="exact"/>
        <w:rPr>
          <w:rFonts w:hint="default" w:ascii="Times New Roman" w:hAnsi="Times New Roman" w:cs="Times New Roman"/>
          <w:b w:val="0"/>
          <w:bCs w:val="0"/>
          <w:color w:val="000000" w:themeColor="text1"/>
          <w:lang w:val="en-US" w:eastAsia="zh-CN"/>
          <w14:textFill>
            <w14:solidFill>
              <w14:schemeClr w14:val="tx1"/>
            </w14:solidFill>
          </w14:textFill>
        </w:rPr>
      </w:pPr>
    </w:p>
    <w:p w14:paraId="72EF335B">
      <w:pPr>
        <w:overflowPunct w:val="0"/>
        <w:topLinePunct/>
        <w:jc w:val="center"/>
        <w:outlineLvl w:val="0"/>
        <w:rPr>
          <w:rFonts w:hint="default" w:ascii="Times New Roman" w:hAnsi="Times New Roman" w:eastAsia="方正小标宋简体" w:cs="Times New Roman"/>
          <w:b w:val="0"/>
          <w:bCs w:val="0"/>
          <w:color w:val="000000" w:themeColor="text1"/>
          <w:sz w:val="44"/>
          <w:szCs w:val="24"/>
          <w14:textFill>
            <w14:solidFill>
              <w14:schemeClr w14:val="tx1"/>
            </w14:solidFill>
          </w14:textFill>
        </w:rPr>
      </w:pPr>
    </w:p>
    <w:p w14:paraId="47A3DF06">
      <w:pPr>
        <w:overflowPunct w:val="0"/>
        <w:topLinePunct/>
        <w:jc w:val="center"/>
        <w:outlineLvl w:val="0"/>
        <w:rPr>
          <w:rFonts w:hint="default" w:ascii="Times New Roman" w:hAnsi="Times New Roman" w:eastAsia="方正小标宋简体" w:cs="Times New Roman"/>
          <w:b w:val="0"/>
          <w:bCs w:val="0"/>
          <w:color w:val="000000" w:themeColor="text1"/>
          <w:sz w:val="44"/>
          <w:szCs w:val="24"/>
          <w14:textFill>
            <w14:solidFill>
              <w14:schemeClr w14:val="tx1"/>
            </w14:solidFill>
          </w14:textFill>
        </w:rPr>
      </w:pPr>
      <w:bookmarkStart w:id="6" w:name="_Toc5061"/>
      <w:bookmarkStart w:id="7" w:name="_Toc20346"/>
      <w:r>
        <w:rPr>
          <w:rFonts w:hint="default" w:ascii="Times New Roman" w:hAnsi="Times New Roman" w:eastAsia="方正小标宋简体" w:cs="Times New Roman"/>
          <w:b w:val="0"/>
          <w:bCs w:val="0"/>
          <w:color w:val="000000" w:themeColor="text1"/>
          <w:sz w:val="44"/>
          <w:szCs w:val="24"/>
          <w14:textFill>
            <w14:solidFill>
              <w14:schemeClr w14:val="tx1"/>
            </w14:solidFill>
          </w14:textFill>
        </w:rPr>
        <w:t>第二部分 2023年度单位决算情况说明</w:t>
      </w:r>
      <w:bookmarkEnd w:id="6"/>
      <w:bookmarkEnd w:id="7"/>
    </w:p>
    <w:p w14:paraId="2824AC64">
      <w:pPr>
        <w:pStyle w:val="2"/>
        <w:spacing w:before="72" w:beforeLines="0"/>
        <w:rPr>
          <w:rFonts w:hint="default" w:ascii="Times New Roman" w:hAnsi="Times New Roman" w:cs="Times New Roman"/>
          <w:b w:val="0"/>
          <w:bCs w:val="0"/>
          <w:color w:val="000000" w:themeColor="text1"/>
          <w:sz w:val="30"/>
          <w:szCs w:val="24"/>
          <w14:textFill>
            <w14:solidFill>
              <w14:schemeClr w14:val="tx1"/>
            </w14:solidFill>
          </w14:textFill>
        </w:rPr>
      </w:pPr>
    </w:p>
    <w:p w14:paraId="478FBD2E">
      <w:pPr>
        <w:pStyle w:val="4"/>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8" w:name="_Toc8669"/>
      <w:bookmarkStart w:id="9" w:name="_Toc3191"/>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一、收入支出决算总体情况说明</w:t>
      </w:r>
      <w:bookmarkEnd w:id="8"/>
      <w:bookmarkEnd w:id="9"/>
    </w:p>
    <w:p w14:paraId="0018CC36">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2023年度收、支总计均为7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480.64万元。与2022年度相比，收、支总计减少2</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139.42万元，下降22.2%。主要变动原因是上级专项资金减少。</w:t>
      </w:r>
    </w:p>
    <w:p w14:paraId="68001AC3">
      <w:pPr>
        <w:overflowPunct w:val="0"/>
        <w:topLinePunct/>
        <w:spacing w:line="240" w:lineRule="auto"/>
        <w:ind w:firstLine="480" w:firstLineChars="20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5073650" cy="2866390"/>
            <wp:effectExtent l="4445" t="4445" r="8255" b="571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874A2A">
      <w:pPr>
        <w:overflowPunct w:val="0"/>
        <w:topLinePunct/>
        <w:spacing w:line="576" w:lineRule="exact"/>
        <w:ind w:firstLine="1600" w:firstLineChars="5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（图1：收、支决算总计变动情况图）</w:t>
      </w:r>
    </w:p>
    <w:p w14:paraId="214E4928">
      <w:pPr>
        <w:pStyle w:val="4"/>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0" w:name="_Toc15025"/>
      <w:bookmarkStart w:id="11" w:name="_Toc141"/>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二、收入决算情况说明</w:t>
      </w:r>
      <w:bookmarkEnd w:id="10"/>
      <w:bookmarkEnd w:id="11"/>
    </w:p>
    <w:p w14:paraId="4AFCC0BB">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2023年本年收入合计7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480.64万元，其中：一般公共预算财政拨款收入7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233.87万元，占96.7%；政府性基金预算财政拨款收入246.77万元，占3.3%。</w:t>
      </w:r>
    </w:p>
    <w:p w14:paraId="0E06E078">
      <w:pPr>
        <w:overflowPunct w:val="0"/>
        <w:topLinePunct/>
        <w:ind w:firstLine="480" w:firstLineChars="200"/>
        <w:jc w:val="both"/>
        <w:rPr>
          <w:rFonts w:hint="default" w:ascii="Times New Roman" w:hAnsi="Times New Roman" w:eastAsia="仿宋_GB2312" w:cs="Times New Roman"/>
          <w:b w:val="0"/>
          <w:bCs w:val="0"/>
          <w:color w:val="000000" w:themeColor="text1"/>
          <w:kern w:val="2"/>
          <w:sz w:val="32"/>
          <w:szCs w:val="24"/>
          <w:highlight w:val="yellow"/>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drawing>
          <wp:inline distT="0" distB="0" distL="114300" distR="114300">
            <wp:extent cx="4838700" cy="2619375"/>
            <wp:effectExtent l="0" t="0" r="0" b="9525"/>
            <wp:docPr id="1" name="图表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表 6"/>
                    <pic:cNvPicPr>
                      <a:picLocks noChangeAspect="1"/>
                    </pic:cNvPicPr>
                  </pic:nvPicPr>
                  <pic:blipFill>
                    <a:blip r:embed="rId7"/>
                    <a:stretch>
                      <a:fillRect/>
                    </a:stretch>
                  </pic:blipFill>
                  <pic:spPr>
                    <a:xfrm>
                      <a:off x="0" y="0"/>
                      <a:ext cx="4838700" cy="2619375"/>
                    </a:xfrm>
                    <a:prstGeom prst="rect">
                      <a:avLst/>
                    </a:prstGeom>
                    <a:noFill/>
                    <a:ln>
                      <a:noFill/>
                    </a:ln>
                  </pic:spPr>
                </pic:pic>
              </a:graphicData>
            </a:graphic>
          </wp:inline>
        </w:drawing>
      </w:r>
    </w:p>
    <w:p w14:paraId="75C57D9C">
      <w:pPr>
        <w:overflowPunct w:val="0"/>
        <w:topLinePunct/>
        <w:spacing w:line="576" w:lineRule="exact"/>
        <w:ind w:firstLine="2240" w:firstLineChars="800"/>
        <w:jc w:val="both"/>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（图2：收入决算结构图）</w:t>
      </w:r>
    </w:p>
    <w:p w14:paraId="599E28A6">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2" w:name="_Toc25069"/>
      <w:bookmarkStart w:id="13" w:name="_Toc31484"/>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三、支出决算情况说明</w:t>
      </w:r>
      <w:bookmarkEnd w:id="12"/>
      <w:bookmarkEnd w:id="13"/>
    </w:p>
    <w:p w14:paraId="0C8F161E">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2023年本年支出合计7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480.64万元，其中：基本支出481.52万元，占6.4%；项目支出6</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999.12万元，占93.6%。</w:t>
      </w:r>
    </w:p>
    <w:p w14:paraId="0950C245">
      <w:pPr>
        <w:overflowPunct w:val="0"/>
        <w:topLinePunct/>
        <w:ind w:firstLine="480" w:firstLineChars="200"/>
        <w:jc w:val="both"/>
        <w:rPr>
          <w:rFonts w:hint="default" w:ascii="Times New Roman" w:hAnsi="Times New Roman" w:eastAsia="仿宋_GB2312" w:cs="Times New Roman"/>
          <w:b w:val="0"/>
          <w:bCs w:val="0"/>
          <w:color w:val="000000" w:themeColor="text1"/>
          <w:kern w:val="2"/>
          <w:sz w:val="32"/>
          <w:szCs w:val="24"/>
          <w:highlight w:val="yellow"/>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drawing>
          <wp:inline distT="0" distB="0" distL="114300" distR="114300">
            <wp:extent cx="4838700" cy="2533650"/>
            <wp:effectExtent l="0" t="0" r="0" b="0"/>
            <wp:docPr id="2" name="图表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表 6"/>
                    <pic:cNvPicPr>
                      <a:picLocks noChangeAspect="1"/>
                    </pic:cNvPicPr>
                  </pic:nvPicPr>
                  <pic:blipFill>
                    <a:blip r:embed="rId8"/>
                    <a:stretch>
                      <a:fillRect/>
                    </a:stretch>
                  </pic:blipFill>
                  <pic:spPr>
                    <a:xfrm>
                      <a:off x="0" y="0"/>
                      <a:ext cx="4838700" cy="2533650"/>
                    </a:xfrm>
                    <a:prstGeom prst="rect">
                      <a:avLst/>
                    </a:prstGeom>
                    <a:noFill/>
                    <a:ln>
                      <a:noFill/>
                    </a:ln>
                  </pic:spPr>
                </pic:pic>
              </a:graphicData>
            </a:graphic>
          </wp:inline>
        </w:drawing>
      </w:r>
    </w:p>
    <w:p w14:paraId="471C918E">
      <w:pPr>
        <w:overflowPunct w:val="0"/>
        <w:topLinePunct/>
        <w:spacing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（图3：支出决算结构图）</w:t>
      </w:r>
    </w:p>
    <w:p w14:paraId="5F40C66D">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4" w:name="_Toc29710"/>
      <w:bookmarkStart w:id="15" w:name="_Toc29180"/>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四、财政拨款收入支出决算总体情况说明</w:t>
      </w:r>
      <w:bookmarkEnd w:id="14"/>
      <w:bookmarkEnd w:id="15"/>
    </w:p>
    <w:p w14:paraId="2D0FD10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2023年度财政拨款收、支总计均为7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480.64万元。与2022年度相比，财政拨款收、支总计各增减少2</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139.42万元，下降22.2%。主要变动原因是上级专项资金减少。</w:t>
      </w:r>
    </w:p>
    <w:p w14:paraId="5F41C3A1">
      <w:pPr>
        <w:pStyle w:val="15"/>
        <w:rPr>
          <w:rFonts w:hint="default"/>
          <w:b w:val="0"/>
          <w:bCs w:val="0"/>
          <w:color w:val="000000" w:themeColor="text1"/>
          <w14:textFill>
            <w14:solidFill>
              <w14:schemeClr w14:val="tx1"/>
            </w14:solidFill>
          </w14:textFill>
        </w:rPr>
      </w:pPr>
    </w:p>
    <w:p w14:paraId="4FBDB5AB">
      <w:pPr>
        <w:overflowPunct w:val="0"/>
        <w:topLinePunct/>
        <w:ind w:firstLine="480" w:firstLineChars="200"/>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drawing>
          <wp:inline distT="0" distB="0" distL="114300" distR="114300">
            <wp:extent cx="4838700" cy="2762250"/>
            <wp:effectExtent l="0" t="0" r="0" b="0"/>
            <wp:docPr id="3" name="图表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表 4"/>
                    <pic:cNvPicPr>
                      <a:picLocks noChangeAspect="1"/>
                    </pic:cNvPicPr>
                  </pic:nvPicPr>
                  <pic:blipFill>
                    <a:blip r:embed="rId9"/>
                    <a:stretch>
                      <a:fillRect/>
                    </a:stretch>
                  </pic:blipFill>
                  <pic:spPr>
                    <a:xfrm>
                      <a:off x="0" y="0"/>
                      <a:ext cx="4838700" cy="2762250"/>
                    </a:xfrm>
                    <a:prstGeom prst="rect">
                      <a:avLst/>
                    </a:prstGeom>
                    <a:noFill/>
                    <a:ln>
                      <a:noFill/>
                    </a:ln>
                  </pic:spPr>
                </pic:pic>
              </a:graphicData>
            </a:graphic>
          </wp:inline>
        </w:drawing>
      </w:r>
    </w:p>
    <w:p w14:paraId="108332C4">
      <w:pPr>
        <w:overflowPunct w:val="0"/>
        <w:topLinePunct/>
        <w:spacing w:line="576" w:lineRule="exact"/>
        <w:ind w:firstLine="1280" w:firstLineChars="400"/>
        <w:jc w:val="both"/>
        <w:rPr>
          <w:rFonts w:hint="default" w:ascii="Times New Roman" w:hAnsi="Times New Roman" w:eastAsia="仿宋_GB2312" w:cs="Times New Roman"/>
          <w:b w:val="0"/>
          <w:bCs w:val="0"/>
          <w:i/>
          <w:color w:val="000000" w:themeColor="text1"/>
          <w:kern w:val="2"/>
          <w:sz w:val="32"/>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14:textFill>
            <w14:solidFill>
              <w14:schemeClr w14:val="tx1"/>
            </w14:solidFill>
          </w14:textFill>
        </w:rPr>
        <w:t>（图4：财政拨款收、支决算总计变动情况）</w:t>
      </w:r>
    </w:p>
    <w:p w14:paraId="62B39001">
      <w:pPr>
        <w:overflowPunct w:val="0"/>
        <w:topLinePunct/>
        <w:spacing w:line="576" w:lineRule="exact"/>
        <w:ind w:firstLine="640" w:firstLineChars="20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p>
    <w:p w14:paraId="382EBBD7">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6" w:name="_Toc19050"/>
      <w:bookmarkStart w:id="17" w:name="_Toc24504"/>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五、一般公共预算财政拨款支出决算情况说明</w:t>
      </w:r>
      <w:bookmarkEnd w:id="16"/>
      <w:bookmarkEnd w:id="17"/>
    </w:p>
    <w:p w14:paraId="23388DBA">
      <w:pPr>
        <w:overflowPunct w:val="0"/>
        <w:topLinePunct/>
        <w:spacing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（一）一般公共预算财政拨款支出决算总体情况</w:t>
      </w:r>
    </w:p>
    <w:p w14:paraId="39033BF8">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2023年度一般公共预算财政拨款支出7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233.87万元，占本年支出合计的96.7%。与2022年度相比，一般公共预算财政拨款支出减少2</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386.19万元，下降24.8%。主要变动原因是上级专项资金减少。</w:t>
      </w:r>
    </w:p>
    <w:p w14:paraId="683FBBF9">
      <w:pPr>
        <w:overflowPunct w:val="0"/>
        <w:topLinePunct/>
        <w:ind w:firstLine="480" w:firstLineChars="200"/>
        <w:jc w:val="both"/>
        <w:rPr>
          <w:rFonts w:hint="default" w:ascii="Times New Roman" w:hAnsi="Times New Roman" w:eastAsia="仿宋_GB2312" w:cs="Times New Roman"/>
          <w:b w:val="0"/>
          <w:bCs w:val="0"/>
          <w:color w:val="000000" w:themeColor="text1"/>
          <w:kern w:val="2"/>
          <w:sz w:val="32"/>
          <w:szCs w:val="24"/>
          <w:highlight w:val="yellow"/>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drawing>
          <wp:inline distT="0" distB="0" distL="114300" distR="114300">
            <wp:extent cx="4430395" cy="2386965"/>
            <wp:effectExtent l="0" t="0" r="8255" b="13335"/>
            <wp:docPr id="4" name="图表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表 8"/>
                    <pic:cNvPicPr>
                      <a:picLocks noChangeAspect="1"/>
                    </pic:cNvPicPr>
                  </pic:nvPicPr>
                  <pic:blipFill>
                    <a:blip r:embed="rId10"/>
                    <a:stretch>
                      <a:fillRect/>
                    </a:stretch>
                  </pic:blipFill>
                  <pic:spPr>
                    <a:xfrm>
                      <a:off x="0" y="0"/>
                      <a:ext cx="4430395" cy="2386965"/>
                    </a:xfrm>
                    <a:prstGeom prst="rect">
                      <a:avLst/>
                    </a:prstGeom>
                    <a:noFill/>
                    <a:ln>
                      <a:noFill/>
                    </a:ln>
                  </pic:spPr>
                </pic:pic>
              </a:graphicData>
            </a:graphic>
          </wp:inline>
        </w:drawing>
      </w:r>
    </w:p>
    <w:p w14:paraId="7C4E2008">
      <w:pPr>
        <w:overflowPunct w:val="0"/>
        <w:topLinePunct/>
        <w:spacing w:line="576" w:lineRule="exact"/>
        <w:ind w:firstLine="640" w:firstLineChars="200"/>
        <w:jc w:val="both"/>
        <w:rPr>
          <w:rFonts w:hint="default" w:ascii="Times New Roman" w:hAnsi="Times New Roman" w:eastAsia="仿宋_GB2312" w:cs="Times New Roman"/>
          <w:b w:val="0"/>
          <w:bCs w:val="0"/>
          <w:i/>
          <w:color w:val="000000" w:themeColor="text1"/>
          <w:kern w:val="2"/>
          <w:sz w:val="32"/>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14:textFill>
            <w14:solidFill>
              <w14:schemeClr w14:val="tx1"/>
            </w14:solidFill>
          </w14:textFill>
        </w:rPr>
        <w:t>（图5：一般公共预算财政拨款支出决算变动情况）</w:t>
      </w:r>
    </w:p>
    <w:p w14:paraId="44717B15">
      <w:pPr>
        <w:overflowPunct w:val="0"/>
        <w:topLinePunct/>
        <w:spacing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（二）一般公共预算财政拨款支出决算结构情况</w:t>
      </w:r>
    </w:p>
    <w:p w14:paraId="76EBFD7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2023年度一般公共预算财政拨款支出7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233.87万元，主要用于以下方面: 社会保障和就业支出45.74万元，占0.6%；卫生健康支出17.63万元，占0.2%；农林水支出7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136.20万元，占98.7%；住房保障支出34.30万元，占0.5%。</w:t>
      </w:r>
    </w:p>
    <w:p w14:paraId="7DE348BC">
      <w:pPr>
        <w:overflowPunct w:val="0"/>
        <w:topLinePunct/>
        <w:ind w:firstLine="480" w:firstLineChars="200"/>
        <w:jc w:val="both"/>
        <w:rPr>
          <w:rFonts w:hint="default" w:ascii="Times New Roman" w:hAnsi="Times New Roman" w:eastAsia="仿宋_GB2312" w:cs="Times New Roman"/>
          <w:b w:val="0"/>
          <w:bCs w:val="0"/>
          <w:color w:val="000000" w:themeColor="text1"/>
          <w:kern w:val="2"/>
          <w:sz w:val="32"/>
          <w:szCs w:val="24"/>
          <w:highlight w:val="yellow"/>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drawing>
          <wp:inline distT="0" distB="0" distL="114300" distR="114300">
            <wp:extent cx="4229735" cy="2447925"/>
            <wp:effectExtent l="0" t="0" r="18415" b="9525"/>
            <wp:docPr id="5" name="图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表 1"/>
                    <pic:cNvPicPr>
                      <a:picLocks noChangeAspect="1"/>
                    </pic:cNvPicPr>
                  </pic:nvPicPr>
                  <pic:blipFill>
                    <a:blip r:embed="rId11"/>
                    <a:stretch>
                      <a:fillRect/>
                    </a:stretch>
                  </pic:blipFill>
                  <pic:spPr>
                    <a:xfrm>
                      <a:off x="0" y="0"/>
                      <a:ext cx="4229735" cy="2447925"/>
                    </a:xfrm>
                    <a:prstGeom prst="rect">
                      <a:avLst/>
                    </a:prstGeom>
                    <a:noFill/>
                    <a:ln>
                      <a:noFill/>
                    </a:ln>
                  </pic:spPr>
                </pic:pic>
              </a:graphicData>
            </a:graphic>
          </wp:inline>
        </w:drawing>
      </w:r>
    </w:p>
    <w:p w14:paraId="67C9FCCB">
      <w:pPr>
        <w:overflowPunct w:val="0"/>
        <w:topLinePunct/>
        <w:spacing w:line="576" w:lineRule="exact"/>
        <w:ind w:firstLine="960" w:firstLineChars="300"/>
        <w:jc w:val="both"/>
        <w:rPr>
          <w:rFonts w:hint="default" w:ascii="Times New Roman" w:hAnsi="Times New Roman" w:eastAsia="仿宋_GB2312" w:cs="Times New Roman"/>
          <w:b w:val="0"/>
          <w:bCs w:val="0"/>
          <w:i/>
          <w:color w:val="000000" w:themeColor="text1"/>
          <w:kern w:val="2"/>
          <w:sz w:val="32"/>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14:textFill>
            <w14:solidFill>
              <w14:schemeClr w14:val="tx1"/>
            </w14:solidFill>
          </w14:textFill>
        </w:rPr>
        <w:t>（图6：一般公共预算财政拨款支出决算结构）</w:t>
      </w:r>
    </w:p>
    <w:p w14:paraId="1AA064F8">
      <w:pPr>
        <w:overflowPunct w:val="0"/>
        <w:topLinePunct/>
        <w:spacing w:line="576" w:lineRule="exact"/>
        <w:ind w:firstLine="640" w:firstLineChars="200"/>
        <w:jc w:val="both"/>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（三）一般公共预算财政拨款支出决算具体情况</w:t>
      </w:r>
    </w:p>
    <w:p w14:paraId="4497AF68">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2023年度一般公共预算支出全年预算数为7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233.87万元，支出决算数为7</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233.87万元，完成全年预算数的100%。其中：</w:t>
      </w:r>
    </w:p>
    <w:p w14:paraId="0CF7798B">
      <w:pPr>
        <w:overflowPunct w:val="0"/>
        <w:topLinePunct/>
        <w:spacing w:line="576" w:lineRule="exact"/>
        <w:ind w:firstLine="640" w:firstLineChars="200"/>
        <w:jc w:val="both"/>
        <w:rPr>
          <w:rStyle w:val="14"/>
          <w:rFonts w:hint="default" w:ascii="Times New Roman" w:hAnsi="Times New Roman" w:eastAsia="仿宋"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1.社会保障和就业支出（类）行政事业单位养老保险支出（款）机关事业单位基本养老保险缴费支出（项）</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：支出决算为45.74万元，完成预算100</w:t>
      </w:r>
      <w:r>
        <w:rPr>
          <w:rStyle w:val="14"/>
          <w:rFonts w:hint="default" w:ascii="Times New Roman" w:hAnsi="Times New Roman" w:eastAsia="仿宋" w:cs="Times New Roman"/>
          <w:b w:val="0"/>
          <w:bCs w:val="0"/>
          <w:color w:val="000000" w:themeColor="text1"/>
          <w:sz w:val="32"/>
          <w:szCs w:val="24"/>
          <w14:textFill>
            <w14:solidFill>
              <w14:schemeClr w14:val="tx1"/>
            </w14:solidFill>
          </w14:textFill>
        </w:rPr>
        <w:t>%</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，决算数等于预算数。</w:t>
      </w:r>
    </w:p>
    <w:p w14:paraId="1AFFBF19">
      <w:pPr>
        <w:overflowPunct w:val="0"/>
        <w:topLinePunct/>
        <w:spacing w:line="576" w:lineRule="exact"/>
        <w:ind w:firstLine="640" w:firstLineChars="200"/>
        <w:rPr>
          <w:rFonts w:hint="default" w:ascii="Times New Roman" w:hAnsi="Times New Roman" w:eastAsia="仿宋_GB2312" w:cs="Times New Roman"/>
          <w:b w:val="0"/>
          <w:bCs w:val="0"/>
          <w:color w:val="000000" w:themeColor="text1"/>
          <w:kern w:val="2"/>
          <w:sz w:val="32"/>
          <w:szCs w:val="24"/>
          <w:highlight w:val="yellow"/>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2.卫生健康支出（类）行政事业单位医疗（款）行政单位医疗（项）</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：支出决算为17.63万元，完成预算100</w:t>
      </w:r>
      <w:r>
        <w:rPr>
          <w:rStyle w:val="14"/>
          <w:rFonts w:hint="default" w:ascii="Times New Roman" w:hAnsi="Times New Roman" w:eastAsia="仿宋" w:cs="Times New Roman"/>
          <w:b w:val="0"/>
          <w:bCs w:val="0"/>
          <w:color w:val="000000" w:themeColor="text1"/>
          <w:sz w:val="32"/>
          <w:szCs w:val="24"/>
          <w14:textFill>
            <w14:solidFill>
              <w14:schemeClr w14:val="tx1"/>
            </w14:solidFill>
          </w14:textFill>
        </w:rPr>
        <w:t>%</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，决算数等于预算数。</w:t>
      </w:r>
    </w:p>
    <w:p w14:paraId="004C5C14">
      <w:pPr>
        <w:overflowPunct w:val="0"/>
        <w:spacing w:line="576" w:lineRule="exact"/>
        <w:rPr>
          <w:rStyle w:val="14"/>
          <w:rFonts w:hint="default" w:ascii="Times New Roman" w:hAnsi="Times New Roman" w:eastAsia="仿宋"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 xml:space="preserve">   3.农林水支出（类）</w:t>
      </w:r>
      <w:r>
        <w:rPr>
          <w:rFonts w:hint="eastAsia" w:eastAsia="仿宋_GB2312" w:cs="Times New Roman"/>
          <w:b w:val="0"/>
          <w:bCs w:val="0"/>
          <w:color w:val="000000" w:themeColor="text1"/>
          <w:sz w:val="32"/>
          <w:szCs w:val="24"/>
          <w:lang w:eastAsia="zh-CN"/>
          <w14:textFill>
            <w14:solidFill>
              <w14:schemeClr w14:val="tx1"/>
            </w14:solidFill>
          </w14:textFill>
        </w:rPr>
        <w:t>巩固拓展脱贫攻坚成果</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衔接乡村振兴</w:t>
      </w:r>
      <w:r>
        <w:rPr>
          <w:rFonts w:hint="default" w:ascii="Times New Roman" w:hAnsi="Times New Roman" w:eastAsia="仿宋" w:cs="Times New Roman"/>
          <w:b w:val="0"/>
          <w:bCs w:val="0"/>
          <w:color w:val="000000" w:themeColor="text1"/>
          <w:sz w:val="32"/>
          <w:szCs w:val="24"/>
          <w14:textFill>
            <w14:solidFill>
              <w14:schemeClr w14:val="tx1"/>
            </w14:solidFill>
          </w14:textFill>
        </w:rPr>
        <w:t>（款）行政运行（项）：支出</w:t>
      </w:r>
      <w:r>
        <w:rPr>
          <w:rStyle w:val="14"/>
          <w:rFonts w:hint="default" w:ascii="Times New Roman" w:hAnsi="Times New Roman" w:eastAsia="仿宋" w:cs="Times New Roman"/>
          <w:b w:val="0"/>
          <w:bCs w:val="0"/>
          <w:color w:val="000000" w:themeColor="text1"/>
          <w:sz w:val="32"/>
          <w:szCs w:val="24"/>
          <w14:textFill>
            <w14:solidFill>
              <w14:schemeClr w14:val="tx1"/>
            </w14:solidFill>
          </w14:textFill>
        </w:rPr>
        <w:t>决算为326.83万元，完成预算100%，</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决算数等于预算数。</w:t>
      </w:r>
    </w:p>
    <w:p w14:paraId="457626CF">
      <w:pPr>
        <w:pStyle w:val="16"/>
        <w:overflowPunct w:val="0"/>
        <w:spacing w:line="576" w:lineRule="exact"/>
        <w:ind w:firstLine="640" w:firstLineChars="200"/>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4.农林水支出（类）</w:t>
      </w:r>
      <w:r>
        <w:rPr>
          <w:rFonts w:hint="eastAsia" w:ascii="Times New Roman" w:hAnsi="Times New Roman" w:eastAsia="仿宋_GB2312" w:cs="Times New Roman"/>
          <w:b w:val="0"/>
          <w:bCs w:val="0"/>
          <w:color w:val="000000" w:themeColor="text1"/>
          <w:sz w:val="32"/>
          <w:szCs w:val="24"/>
          <w:lang w:eastAsia="zh-CN"/>
          <w14:textFill>
            <w14:solidFill>
              <w14:schemeClr w14:val="tx1"/>
            </w14:solidFill>
          </w14:textFill>
        </w:rPr>
        <w:t>巩固拓展脱贫攻坚成果</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衔接乡村振兴（款）事业运行（项）：支出</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决算为57.02万元，完成预算100</w:t>
      </w:r>
      <w:r>
        <w:rPr>
          <w:rStyle w:val="14"/>
          <w:rFonts w:hint="default" w:ascii="Times New Roman" w:hAnsi="Times New Roman" w:eastAsia="仿宋" w:cs="Times New Roman"/>
          <w:b w:val="0"/>
          <w:bCs w:val="0"/>
          <w:color w:val="000000" w:themeColor="text1"/>
          <w:sz w:val="32"/>
          <w:szCs w:val="24"/>
          <w14:textFill>
            <w14:solidFill>
              <w14:schemeClr w14:val="tx1"/>
            </w14:solidFill>
          </w14:textFill>
        </w:rPr>
        <w:t>%</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，决算数等于预算数。</w:t>
      </w:r>
    </w:p>
    <w:p w14:paraId="064477B7">
      <w:pPr>
        <w:pStyle w:val="16"/>
        <w:overflowPunct w:val="0"/>
        <w:topLinePunct/>
        <w:spacing w:line="576" w:lineRule="exact"/>
        <w:ind w:firstLine="640" w:firstLineChars="200"/>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5.农林水支出（类）扶</w:t>
      </w:r>
      <w:r>
        <w:rPr>
          <w:rFonts w:hint="eastAsia" w:ascii="Times New Roman" w:hAnsi="Times New Roman" w:eastAsia="仿宋_GB2312" w:cs="Times New Roman"/>
          <w:b w:val="0"/>
          <w:bCs w:val="0"/>
          <w:color w:val="000000" w:themeColor="text1"/>
          <w:sz w:val="32"/>
          <w:szCs w:val="24"/>
          <w:lang w:eastAsia="zh-CN"/>
          <w14:textFill>
            <w14:solidFill>
              <w14:schemeClr w14:val="tx1"/>
            </w14:solidFill>
          </w14:textFill>
        </w:rPr>
        <w:t>巩固拓展脱贫攻坚成果</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衔接乡村振兴（款）其他</w:t>
      </w:r>
      <w:r>
        <w:rPr>
          <w:rFonts w:hint="eastAsia" w:ascii="Times New Roman" w:hAnsi="Times New Roman" w:eastAsia="仿宋_GB2312" w:cs="Times New Roman"/>
          <w:b w:val="0"/>
          <w:bCs w:val="0"/>
          <w:color w:val="000000" w:themeColor="text1"/>
          <w:sz w:val="32"/>
          <w:szCs w:val="24"/>
          <w:lang w:eastAsia="zh-CN"/>
          <w14:textFill>
            <w14:solidFill>
              <w14:schemeClr w14:val="tx1"/>
            </w14:solidFill>
          </w14:textFill>
        </w:rPr>
        <w:t>巩固拓展脱贫攻坚成果</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衔接乡村振兴支出（项）：</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支出决算为：6</w:t>
      </w:r>
      <w:r>
        <w:rPr>
          <w:rStyle w:val="14"/>
          <w:rFonts w:hint="eastAsia" w:ascii="Times New Roman" w:hAnsi="Times New Roman" w:eastAsia="仿宋_GB2312" w:cs="Times New Roman"/>
          <w:b w:val="0"/>
          <w:bCs w:val="0"/>
          <w:color w:val="000000" w:themeColor="text1"/>
          <w:sz w:val="32"/>
          <w:szCs w:val="24"/>
          <w:lang w:val="en-US" w:eastAsia="zh-CN"/>
          <w14:textFill>
            <w14:solidFill>
              <w14:schemeClr w14:val="tx1"/>
            </w14:solidFill>
          </w14:textFill>
        </w:rPr>
        <w:t>,</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252.35万元，完成预算100</w:t>
      </w:r>
      <w:r>
        <w:rPr>
          <w:rStyle w:val="14"/>
          <w:rFonts w:hint="default" w:ascii="Times New Roman" w:hAnsi="Times New Roman" w:eastAsia="仿宋" w:cs="Times New Roman"/>
          <w:b w:val="0"/>
          <w:bCs w:val="0"/>
          <w:color w:val="000000" w:themeColor="text1"/>
          <w:sz w:val="32"/>
          <w:szCs w:val="24"/>
          <w14:textFill>
            <w14:solidFill>
              <w14:schemeClr w14:val="tx1"/>
            </w14:solidFill>
          </w14:textFill>
        </w:rPr>
        <w:t>%</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，决算数等于预算数。</w:t>
      </w:r>
    </w:p>
    <w:p w14:paraId="1FC3B05B">
      <w:pPr>
        <w:overflowPunct w:val="0"/>
        <w:topLinePunct/>
        <w:spacing w:line="576" w:lineRule="exact"/>
        <w:ind w:firstLine="640" w:firstLineChars="200"/>
        <w:rPr>
          <w:rStyle w:val="14"/>
          <w:rFonts w:hint="default" w:ascii="Times New Roman" w:hAnsi="Times New Roman" w:eastAsia="仿宋"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6.农林水支出（类）普惠金融发展支出（款）其他普惠金融发展支出（项）：</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支出决算为：500万元，完成预算100</w:t>
      </w:r>
      <w:r>
        <w:rPr>
          <w:rStyle w:val="14"/>
          <w:rFonts w:hint="default" w:ascii="Times New Roman" w:hAnsi="Times New Roman" w:eastAsia="仿宋" w:cs="Times New Roman"/>
          <w:b w:val="0"/>
          <w:bCs w:val="0"/>
          <w:color w:val="000000" w:themeColor="text1"/>
          <w:sz w:val="32"/>
          <w:szCs w:val="24"/>
          <w14:textFill>
            <w14:solidFill>
              <w14:schemeClr w14:val="tx1"/>
            </w14:solidFill>
          </w14:textFill>
        </w:rPr>
        <w:t>%</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，决算数等于预算数</w:t>
      </w:r>
    </w:p>
    <w:p w14:paraId="3EB175D8">
      <w:pPr>
        <w:overflowPunct w:val="0"/>
        <w:topLinePunct/>
        <w:spacing w:line="576" w:lineRule="exact"/>
        <w:ind w:firstLine="640" w:firstLineChars="200"/>
        <w:rPr>
          <w:rFonts w:hint="default" w:ascii="Times New Roman" w:hAnsi="Times New Roman" w:eastAsia="仿宋"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7.住房保障支出（类）住房保障支出（款）住房公积金（项）：</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支出决算为34</w:t>
      </w:r>
      <w:r>
        <w:rPr>
          <w:rStyle w:val="14"/>
          <w:rFonts w:hint="default" w:ascii="Times New Roman" w:hAnsi="Times New Roman" w:eastAsia="仿宋" w:cs="Times New Roman"/>
          <w:b w:val="0"/>
          <w:bCs w:val="0"/>
          <w:color w:val="000000" w:themeColor="text1"/>
          <w:sz w:val="32"/>
          <w:szCs w:val="24"/>
          <w14:textFill>
            <w14:solidFill>
              <w14:schemeClr w14:val="tx1"/>
            </w14:solidFill>
          </w14:textFill>
        </w:rPr>
        <w:t>.</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30万元，完成预算100</w:t>
      </w:r>
      <w:r>
        <w:rPr>
          <w:rStyle w:val="14"/>
          <w:rFonts w:hint="default" w:ascii="Times New Roman" w:hAnsi="Times New Roman" w:eastAsia="仿宋" w:cs="Times New Roman"/>
          <w:b w:val="0"/>
          <w:bCs w:val="0"/>
          <w:color w:val="000000" w:themeColor="text1"/>
          <w:sz w:val="32"/>
          <w:szCs w:val="24"/>
          <w14:textFill>
            <w14:solidFill>
              <w14:schemeClr w14:val="tx1"/>
            </w14:solidFill>
          </w14:textFill>
        </w:rPr>
        <w:t>%</w:t>
      </w:r>
      <w:r>
        <w:rPr>
          <w:rStyle w:val="14"/>
          <w:rFonts w:hint="default" w:ascii="Times New Roman" w:hAnsi="Times New Roman" w:eastAsia="仿宋_GB2312" w:cs="Times New Roman"/>
          <w:b w:val="0"/>
          <w:bCs w:val="0"/>
          <w:color w:val="000000" w:themeColor="text1"/>
          <w:sz w:val="32"/>
          <w:szCs w:val="24"/>
          <w14:textFill>
            <w14:solidFill>
              <w14:schemeClr w14:val="tx1"/>
            </w14:solidFill>
          </w14:textFill>
        </w:rPr>
        <w:t>，决算数等于预算数。</w:t>
      </w:r>
    </w:p>
    <w:p w14:paraId="11E24609">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firstLine="640" w:firstLineChars="200"/>
        <w:jc w:val="both"/>
        <w:textAlignment w:val="auto"/>
        <w:outlineLvl w:val="1"/>
        <w:rPr>
          <w:rFonts w:hint="default" w:ascii="Times New Roman" w:hAnsi="Times New Roman" w:eastAsia="Cambria" w:cs="Times New Roman"/>
          <w:b w:val="0"/>
          <w:bCs w:val="0"/>
          <w:color w:val="000000" w:themeColor="text1"/>
          <w:kern w:val="2"/>
          <w:sz w:val="32"/>
          <w:szCs w:val="24"/>
          <w14:textFill>
            <w14:solidFill>
              <w14:schemeClr w14:val="tx1"/>
            </w14:solidFill>
          </w14:textFill>
        </w:rPr>
      </w:pPr>
      <w:bookmarkStart w:id="18" w:name="_Toc21133"/>
      <w:bookmarkStart w:id="19" w:name="_Toc28471"/>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六、一般公共预算财政拨款基本支出决算情况说明</w:t>
      </w:r>
      <w:bookmarkEnd w:id="18"/>
      <w:bookmarkEnd w:id="19"/>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ab/>
      </w:r>
    </w:p>
    <w:p w14:paraId="1439375F">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2023年度一般公共预算财政拨款基本支出481.52万元，其中：</w:t>
      </w:r>
    </w:p>
    <w:p w14:paraId="3E95AF37">
      <w:pPr>
        <w:overflowPunct w:val="0"/>
        <w:topLinePunct/>
        <w:spacing w:line="576" w:lineRule="exact"/>
        <w:ind w:firstLine="640" w:firstLineChars="200"/>
        <w:jc w:val="both"/>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pPr>
      <w:r>
        <w:rPr>
          <w:rFonts w:hint="default" w:ascii="仿宋_GB2312" w:hAnsi="仿宋_GB2312" w:eastAsia="仿宋_GB2312" w:cs="Times New Roman"/>
          <w:b w:val="0"/>
          <w:bCs w:val="0"/>
          <w:color w:val="000000" w:themeColor="text1"/>
          <w:kern w:val="2"/>
          <w:sz w:val="32"/>
          <w:szCs w:val="24"/>
          <w:lang w:val="en-US" w:eastAsia="zh-CN"/>
          <w14:textFill>
            <w14:solidFill>
              <w14:schemeClr w14:val="tx1"/>
            </w14:solidFill>
          </w14:textFill>
        </w:rPr>
        <w:t>人员经费433.7</w:t>
      </w:r>
      <w:r>
        <w:rPr>
          <w:rFonts w:hint="eastAsia" w:ascii="仿宋_GB2312" w:hAnsi="仿宋_GB2312" w:eastAsia="仿宋_GB2312" w:cs="Times New Roman"/>
          <w:b w:val="0"/>
          <w:bCs w:val="0"/>
          <w:color w:val="000000" w:themeColor="text1"/>
          <w:kern w:val="2"/>
          <w:sz w:val="32"/>
          <w:szCs w:val="24"/>
          <w:lang w:val="en-US" w:eastAsia="zh-CN"/>
          <w14:textFill>
            <w14:solidFill>
              <w14:schemeClr w14:val="tx1"/>
            </w14:solidFill>
          </w14:textFill>
        </w:rPr>
        <w:t>5</w:t>
      </w:r>
      <w:r>
        <w:rPr>
          <w:rFonts w:hint="default" w:ascii="仿宋_GB2312" w:hAnsi="仿宋_GB2312" w:eastAsia="仿宋_GB2312" w:cs="Times New Roman"/>
          <w:b w:val="0"/>
          <w:bCs w:val="0"/>
          <w:color w:val="000000" w:themeColor="text1"/>
          <w:kern w:val="2"/>
          <w:sz w:val="32"/>
          <w:szCs w:val="24"/>
          <w:lang w:val="en-US" w:eastAsia="zh-CN"/>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主要包括：基本工资159.12万元、津贴补贴26.05万元、奖金109.21万元、绩效工资27.02万元、机关事业单位基本养老保险缴费45.74万元、职工基本医疗保险缴费17.63万元、住房公积金34.30万元、生活补助14.67万元、奖励金0.0</w:t>
      </w:r>
      <w:r>
        <w:rPr>
          <w:rFonts w:hint="eastAsia" w:eastAsia="仿宋_GB2312" w:cs="Times New Roman"/>
          <w:b w:val="0"/>
          <w:bCs w:val="0"/>
          <w:color w:val="000000" w:themeColor="text1"/>
          <w:kern w:val="2"/>
          <w:sz w:val="32"/>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万元。</w:t>
      </w:r>
    </w:p>
    <w:p w14:paraId="2D0B4D8F">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公用经费47.78万元，主要包括：办公费4.6万元、印刷费0.8万元、水费1.5万元、电费3万元、邮电费1.5万元、差旅费13.5万元、会议费3万元、培训费1.82万元、公务接待费2.48万元、工会经费8.4万元、其他交通费7.18万元。</w:t>
      </w:r>
    </w:p>
    <w:p w14:paraId="1C4B55FB">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20" w:name="_Toc26802"/>
      <w:bookmarkStart w:id="21" w:name="_Toc24403"/>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七、财政拨款“三公”经费支出决算情况说明</w:t>
      </w:r>
      <w:bookmarkEnd w:id="20"/>
      <w:bookmarkEnd w:id="21"/>
    </w:p>
    <w:p w14:paraId="3937457A">
      <w:pPr>
        <w:overflowPunct w:val="0"/>
        <w:topLinePunct/>
        <w:spacing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（一）“三公”经费财政拨款支出决算总体情况说明</w:t>
      </w:r>
    </w:p>
    <w:p w14:paraId="47F9440E">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2023年度“三公”经费财政拨款支出预算为2.48万元，支出决算为2.48万元，完成预算的100%</w:t>
      </w:r>
      <w:r>
        <w:rPr>
          <w:rFonts w:hint="eastAsia"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较上年减少0.04万元，下降1.6%</w:t>
      </w:r>
      <w:r>
        <w:rPr>
          <w:rFonts w:hint="eastAsia"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主要原因是严格控制经费开支。决算数与预算数持平。</w:t>
      </w:r>
    </w:p>
    <w:p w14:paraId="1DD47C0A">
      <w:pPr>
        <w:overflowPunct w:val="0"/>
        <w:topLinePunct/>
        <w:spacing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（二）“三公”经费财政拨款支出决算具体情况说明</w:t>
      </w:r>
    </w:p>
    <w:p w14:paraId="657FF1AA">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2023年度“三公”经费财政拨款支出决算中，因公出国（境）费支出决算0万元，占0%；公务用车购置及运行维护费支出决算0万元，占0%；公务接待费支出决算2.48万元，占100%。具体情况如下：</w:t>
      </w:r>
    </w:p>
    <w:p w14:paraId="4D0F4F77">
      <w:pPr>
        <w:overflowPunct w:val="0"/>
        <w:topLinePunct/>
        <w:ind w:firstLine="480" w:firstLineChars="200"/>
        <w:jc w:val="both"/>
        <w:rPr>
          <w:rFonts w:hint="default" w:ascii="Times New Roman" w:hAnsi="Times New Roman" w:eastAsia="仿宋_GB2312" w:cs="Times New Roman"/>
          <w:b w:val="0"/>
          <w:bCs w:val="0"/>
          <w:color w:val="000000" w:themeColor="text1"/>
          <w:kern w:val="2"/>
          <w:sz w:val="32"/>
          <w:szCs w:val="24"/>
          <w:highlight w:val="yellow"/>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drawing>
          <wp:inline distT="0" distB="0" distL="114300" distR="114300">
            <wp:extent cx="4724400" cy="2667000"/>
            <wp:effectExtent l="0" t="0" r="0" b="0"/>
            <wp:docPr id="6" name="图表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表 2"/>
                    <pic:cNvPicPr>
                      <a:picLocks noChangeAspect="1"/>
                    </pic:cNvPicPr>
                  </pic:nvPicPr>
                  <pic:blipFill>
                    <a:blip r:embed="rId12"/>
                    <a:stretch>
                      <a:fillRect/>
                    </a:stretch>
                  </pic:blipFill>
                  <pic:spPr>
                    <a:xfrm>
                      <a:off x="0" y="0"/>
                      <a:ext cx="4724400" cy="2667000"/>
                    </a:xfrm>
                    <a:prstGeom prst="rect">
                      <a:avLst/>
                    </a:prstGeom>
                    <a:noFill/>
                    <a:ln>
                      <a:noFill/>
                    </a:ln>
                  </pic:spPr>
                </pic:pic>
              </a:graphicData>
            </a:graphic>
          </wp:inline>
        </w:drawing>
      </w:r>
    </w:p>
    <w:p w14:paraId="178DBDF2">
      <w:pPr>
        <w:overflowPunct w:val="0"/>
        <w:topLinePunct/>
        <w:spacing w:line="576" w:lineRule="exact"/>
        <w:ind w:firstLine="960" w:firstLineChars="300"/>
        <w:jc w:val="both"/>
        <w:rPr>
          <w:rFonts w:hint="default" w:ascii="Times New Roman" w:hAnsi="Times New Roman" w:eastAsia="仿宋_GB2312" w:cs="Times New Roman"/>
          <w:b w:val="0"/>
          <w:bCs w:val="0"/>
          <w:color w:val="000000" w:themeColor="text1"/>
          <w:kern w:val="2"/>
          <w:sz w:val="32"/>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14:textFill>
            <w14:solidFill>
              <w14:schemeClr w14:val="tx1"/>
            </w14:solidFill>
          </w14:textFill>
        </w:rPr>
        <w:t>（图7：“三公”经费财政拨款支出结构）</w:t>
      </w:r>
    </w:p>
    <w:p w14:paraId="308BCC6F">
      <w:pPr>
        <w:overflowPunct w:val="0"/>
        <w:topLinePunct/>
        <w:spacing w:line="576" w:lineRule="exact"/>
        <w:ind w:firstLine="640" w:firstLineChars="200"/>
        <w:jc w:val="both"/>
        <w:rPr>
          <w:rFonts w:hint="eastAsia" w:ascii="仿宋_GB2312" w:hAnsi="仿宋_GB2312" w:eastAsia="仿宋_GB2312"/>
          <w:b w:val="0"/>
          <w:bCs w:val="0"/>
          <w:color w:val="000000" w:themeColor="text1"/>
          <w:kern w:val="2"/>
          <w:sz w:val="32"/>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1.因公出国（境）经费</w:t>
      </w:r>
      <w:r>
        <w:rPr>
          <w:rFonts w:hint="eastAsia" w:eastAsia="仿宋_GB2312" w:cs="Times New Roman"/>
          <w:b w:val="0"/>
          <w:bCs w:val="0"/>
          <w:color w:val="000000" w:themeColor="text1"/>
          <w:kern w:val="2"/>
          <w:sz w:val="32"/>
          <w:szCs w:val="24"/>
          <w:lang w:eastAsia="zh-CN"/>
          <w14:textFill>
            <w14:solidFill>
              <w14:schemeClr w14:val="tx1"/>
            </w14:solidFill>
          </w14:textFill>
        </w:rPr>
        <w:t>预算</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0万元</w:t>
      </w:r>
      <w:r>
        <w:rPr>
          <w:rFonts w:hint="eastAsia" w:ascii="仿宋_GB2312" w:hAnsi="仿宋_GB2312" w:eastAsia="仿宋_GB2312" w:cs="Times New Roman"/>
          <w:b w:val="0"/>
          <w:bCs w:val="0"/>
          <w:color w:val="000000" w:themeColor="text1"/>
          <w:kern w:val="2"/>
          <w:sz w:val="32"/>
          <w:szCs w:val="24"/>
          <w14:textFill>
            <w14:solidFill>
              <w14:schemeClr w14:val="tx1"/>
            </w14:solidFill>
          </w14:textFill>
        </w:rPr>
        <w:t>，因公出国（境）经费支出0万元，</w:t>
      </w:r>
      <w:r>
        <w:rPr>
          <w:rFonts w:hint="eastAsia" w:ascii="仿宋_GB2312" w:hAnsi="仿宋_GB2312" w:eastAsia="仿宋_GB2312" w:cs="Times New Roman"/>
          <w:b w:val="0"/>
          <w:bCs w:val="0"/>
          <w:color w:val="000000" w:themeColor="text1"/>
          <w:kern w:val="2"/>
          <w:sz w:val="32"/>
          <w:szCs w:val="24"/>
          <w:lang w:val="en-US" w:eastAsia="zh-CN"/>
          <w14:textFill>
            <w14:solidFill>
              <w14:schemeClr w14:val="tx1"/>
            </w14:solidFill>
          </w14:textFill>
        </w:rPr>
        <w:t>年初未安排预算</w:t>
      </w:r>
      <w:r>
        <w:rPr>
          <w:rFonts w:hint="eastAsia" w:ascii="仿宋_GB2312" w:hAnsi="仿宋_GB2312" w:eastAsia="仿宋_GB2312" w:cs="Times New Roman"/>
          <w:b w:val="0"/>
          <w:bCs w:val="0"/>
          <w:color w:val="000000" w:themeColor="text1"/>
          <w:kern w:val="2"/>
          <w:sz w:val="32"/>
          <w:szCs w:val="24"/>
          <w14:textFill>
            <w14:solidFill>
              <w14:schemeClr w14:val="tx1"/>
            </w14:solidFill>
          </w14:textFill>
        </w:rPr>
        <w:t>。因公出国（境）支出决算与2022年</w:t>
      </w:r>
      <w:r>
        <w:rPr>
          <w:rFonts w:hint="eastAsia" w:ascii="仿宋_GB2312" w:hAnsi="仿宋_GB2312" w:eastAsia="仿宋_GB2312" w:cs="Times New Roman"/>
          <w:b w:val="0"/>
          <w:bCs w:val="0"/>
          <w:color w:val="000000" w:themeColor="text1"/>
          <w:kern w:val="2"/>
          <w:sz w:val="32"/>
          <w:szCs w:val="24"/>
          <w:lang w:eastAsia="zh-CN"/>
          <w14:textFill>
            <w14:solidFill>
              <w14:schemeClr w14:val="tx1"/>
            </w14:solidFill>
          </w14:textFill>
        </w:rPr>
        <w:t>无变化。</w:t>
      </w:r>
    </w:p>
    <w:p w14:paraId="53F34E2A">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2.公务用车购置及运行维护费预算为0万元</w:t>
      </w:r>
      <w:r>
        <w:rPr>
          <w:rFonts w:hint="eastAsia"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支出决算为0万元，完成预算的0%。公务用车购置及运行维护费支出决算</w:t>
      </w:r>
      <w:r>
        <w:rPr>
          <w:rFonts w:hint="eastAsia" w:eastAsia="仿宋_GB2312" w:cs="Times New Roman"/>
          <w:b w:val="0"/>
          <w:bCs w:val="0"/>
          <w:color w:val="000000" w:themeColor="text1"/>
          <w:kern w:val="2"/>
          <w:sz w:val="32"/>
          <w:szCs w:val="24"/>
          <w:lang w:eastAsia="zh-CN"/>
          <w14:textFill>
            <w14:solidFill>
              <w14:schemeClr w14:val="tx1"/>
            </w14:solidFill>
          </w14:textFill>
        </w:rPr>
        <w:t>与</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2022年度持平。</w:t>
      </w:r>
    </w:p>
    <w:p w14:paraId="1433D60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其中：公务用车购置费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4293B5D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公务用车运行维护费支出0万元。</w:t>
      </w:r>
    </w:p>
    <w:p w14:paraId="4E7025A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3.公务接待费预算为2.48万元，支出决算为2.48万元，完成预算的100%。公务接待费支出决算比2022年度减少0.04万元，下降1.6%。主要原因是严格控制经费开支。其中：</w:t>
      </w:r>
    </w:p>
    <w:p w14:paraId="5429E0FD">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国内公务接待支出2.48万元。主要用于用餐费等。国内公务接待25批次，249人次，共计支出2.48万元，具体内容包括：东西部协作工作来访指导工作、省市部门调研考察，友好县区学习交流等发生的餐费及交通费等。</w:t>
      </w:r>
    </w:p>
    <w:p w14:paraId="347FD6F0">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外事接待支出0万元，外事接待0批次，0人，共计支出0万元。</w:t>
      </w:r>
    </w:p>
    <w:p w14:paraId="5CC2F81A">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22" w:name="_Toc27147"/>
      <w:bookmarkStart w:id="23" w:name="_Toc31013"/>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八、政府性基金预算支出决算情况说明</w:t>
      </w:r>
      <w:bookmarkEnd w:id="22"/>
      <w:bookmarkEnd w:id="23"/>
    </w:p>
    <w:p w14:paraId="305E339E">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2023年政府性基金预算拨款支出246.77万元。</w:t>
      </w:r>
    </w:p>
    <w:p w14:paraId="68224A47">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24" w:name="_Toc27733"/>
      <w:bookmarkStart w:id="25" w:name="_Toc23405"/>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九、国有资本经营预算支出决算情况说明</w:t>
      </w:r>
      <w:bookmarkEnd w:id="24"/>
      <w:bookmarkEnd w:id="25"/>
    </w:p>
    <w:p w14:paraId="5FFD9C36">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2023年国有资本经营预算拨款支出0万元。</w:t>
      </w:r>
    </w:p>
    <w:p w14:paraId="1A598CE4">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26" w:name="_Toc7525"/>
      <w:bookmarkStart w:id="27" w:name="_Toc6858"/>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十、其他重要事项的情况说明</w:t>
      </w:r>
      <w:bookmarkEnd w:id="26"/>
      <w:bookmarkEnd w:id="27"/>
    </w:p>
    <w:p w14:paraId="3D9C9694">
      <w:pPr>
        <w:overflowPunct w:val="0"/>
        <w:topLinePunct/>
        <w:spacing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（一）机关运行经费支出情况</w:t>
      </w:r>
    </w:p>
    <w:p w14:paraId="049E7358">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2023年度，广元市昭化区乡村振兴局机关运行经费支出47.78万元，比2022年度增加8.58万元，增长21.9%，</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主要</w:t>
      </w:r>
      <w:r>
        <w:rPr>
          <w:rFonts w:hint="eastAsia" w:eastAsia="仿宋_GB2312" w:cs="Times New Roman"/>
          <w:b w:val="0"/>
          <w:bCs w:val="0"/>
          <w:color w:val="000000" w:themeColor="text1"/>
          <w:kern w:val="2"/>
          <w:sz w:val="32"/>
          <w:szCs w:val="24"/>
          <w:lang w:eastAsia="zh-CN"/>
          <w14:textFill>
            <w14:solidFill>
              <w14:schemeClr w14:val="tx1"/>
            </w14:solidFill>
          </w14:textFill>
        </w:rPr>
        <w:t>原因是</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工作任务增加相应的工作经费增加。</w:t>
      </w:r>
    </w:p>
    <w:p w14:paraId="1CD6A37D">
      <w:pPr>
        <w:overflowPunct w:val="0"/>
        <w:topLinePunct/>
        <w:spacing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（二）政府采购支出情况</w:t>
      </w:r>
    </w:p>
    <w:p w14:paraId="71DED2A9">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szCs w:val="24"/>
          <w:lang w:eastAsia="zh-CN"/>
          <w14:textFill>
            <w14:solidFill>
              <w14:schemeClr w14:val="tx1"/>
            </w14:solidFill>
          </w14:textFill>
        </w:rPr>
      </w:pPr>
      <w:r>
        <w:rPr>
          <w:rFonts w:hint="eastAsia" w:ascii="仿宋_GB2312" w:hAnsi="仿宋_GB2312" w:eastAsia="仿宋_GB2312"/>
          <w:b w:val="0"/>
          <w:bCs w:val="0"/>
          <w:color w:val="000000" w:themeColor="text1"/>
          <w:kern w:val="2"/>
          <w:sz w:val="32"/>
          <w:szCs w:val="24"/>
          <w14:textFill>
            <w14:solidFill>
              <w14:schemeClr w14:val="tx1"/>
            </w14:solidFill>
          </w14:textFill>
        </w:rPr>
        <w:t>2023年，广元市昭化区乡村振兴局</w:t>
      </w:r>
      <w:r>
        <w:rPr>
          <w:rFonts w:hint="eastAsia" w:ascii="仿宋_GB2312" w:hAnsi="仿宋_GB2312" w:eastAsia="仿宋_GB2312"/>
          <w:b w:val="0"/>
          <w:bCs w:val="0"/>
          <w:color w:val="000000" w:themeColor="text1"/>
          <w:kern w:val="2"/>
          <w:sz w:val="32"/>
          <w:szCs w:val="24"/>
          <w:lang w:val="en-US" w:eastAsia="zh-CN"/>
          <w14:textFill>
            <w14:solidFill>
              <w14:schemeClr w14:val="tx1"/>
            </w14:solidFill>
          </w14:textFill>
        </w:rPr>
        <w:t>未发生</w:t>
      </w:r>
      <w:r>
        <w:rPr>
          <w:rFonts w:hint="eastAsia" w:ascii="仿宋_GB2312" w:hAnsi="仿宋_GB2312" w:eastAsia="仿宋_GB2312"/>
          <w:b w:val="0"/>
          <w:bCs w:val="0"/>
          <w:color w:val="000000" w:themeColor="text1"/>
          <w:kern w:val="2"/>
          <w:sz w:val="32"/>
          <w:szCs w:val="24"/>
          <w14:textFill>
            <w14:solidFill>
              <w14:schemeClr w14:val="tx1"/>
            </w14:solidFill>
          </w14:textFill>
        </w:rPr>
        <w:t>政府</w:t>
      </w:r>
      <w:r>
        <w:rPr>
          <w:rFonts w:hint="eastAsia" w:ascii="仿宋_GB2312" w:hAnsi="仿宋_GB2312" w:eastAsia="仿宋_GB2312"/>
          <w:b w:val="0"/>
          <w:bCs w:val="0"/>
          <w:color w:val="000000" w:themeColor="text1"/>
          <w:kern w:val="2"/>
          <w:sz w:val="32"/>
          <w:szCs w:val="24"/>
          <w:highlight w:val="none"/>
          <w14:textFill>
            <w14:solidFill>
              <w14:schemeClr w14:val="tx1"/>
            </w14:solidFill>
          </w14:textFill>
        </w:rPr>
        <w:t>采购支出</w:t>
      </w:r>
      <w:r>
        <w:rPr>
          <w:rFonts w:hint="eastAsia" w:ascii="仿宋_GB2312" w:hAnsi="仿宋_GB2312" w:eastAsia="仿宋_GB2312"/>
          <w:b w:val="0"/>
          <w:bCs w:val="0"/>
          <w:color w:val="000000" w:themeColor="text1"/>
          <w:kern w:val="2"/>
          <w:sz w:val="32"/>
          <w:szCs w:val="24"/>
          <w:highlight w:val="none"/>
          <w:lang w:eastAsia="zh-CN"/>
          <w14:textFill>
            <w14:solidFill>
              <w14:schemeClr w14:val="tx1"/>
            </w14:solidFill>
          </w14:textFill>
        </w:rPr>
        <w:t>。</w:t>
      </w:r>
    </w:p>
    <w:p w14:paraId="3DB80C64">
      <w:pPr>
        <w:overflowPunct w:val="0"/>
        <w:topLinePunct/>
        <w:spacing w:line="576" w:lineRule="exact"/>
        <w:ind w:firstLine="640" w:firstLineChars="200"/>
        <w:jc w:val="both"/>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（三）国有资产占有使用情况</w:t>
      </w:r>
    </w:p>
    <w:p w14:paraId="185CABAD">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截至2023年12月31日，广元市昭化区乡村振兴局共有车辆0辆，其中：副部（省）级及以上领导用车0辆、主要负责人用车0辆、机要通信用车*辆、应急保障用车0辆、执法执勤用车0辆、特种专业技术用车0辆、离退休干部服务用车0辆、其他用车0辆。单价100万元（含）以上设备0台（套）。</w:t>
      </w:r>
    </w:p>
    <w:p w14:paraId="103AD7A4">
      <w:pPr>
        <w:overflowPunct w:val="0"/>
        <w:topLinePunct/>
        <w:spacing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（四）预算绩效管理情况</w:t>
      </w:r>
    </w:p>
    <w:p w14:paraId="09B59572">
      <w:pPr>
        <w:overflowPunct w:val="0"/>
        <w:topLinePunct/>
        <w:spacing w:line="576" w:lineRule="exact"/>
        <w:ind w:firstLine="640" w:firstLineChars="200"/>
        <w:jc w:val="both"/>
        <w:rPr>
          <w:rFonts w:hint="default" w:ascii="Times New Roman" w:hAnsi="Times New Roman" w:eastAsia="仿宋_GB2312" w:cs="Times New Roman"/>
          <w:b w:val="0"/>
          <w:bCs w:val="0"/>
          <w:i/>
          <w:color w:val="000000" w:themeColor="text1"/>
          <w:kern w:val="2"/>
          <w:sz w:val="32"/>
          <w:szCs w:val="24"/>
          <w:highlight w:val="whit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根据预算绩效管理要求，本单位在2023年度预算编制阶段，组织对区本级衔接资金项目1个项目开展了预算事前绩效评估，对5个项目编制了绩效目标，预算执行过程中，选取5个项目开展绩效监控，组织对5个项目开展绩效评价，绩效自评报表见第四部分附件。</w:t>
      </w:r>
    </w:p>
    <w:p w14:paraId="123D210D">
      <w:pPr>
        <w:overflowPunct w:val="0"/>
        <w:topLinePunct/>
        <w:spacing w:line="576" w:lineRule="exact"/>
        <w:jc w:val="center"/>
        <w:outlineLvl w:val="0"/>
        <w:rPr>
          <w:rFonts w:hint="default" w:ascii="Times New Roman" w:hAnsi="Times New Roman" w:eastAsia="黑体" w:cs="Times New Roman"/>
          <w:b w:val="0"/>
          <w:bCs w:val="0"/>
          <w:color w:val="000000" w:themeColor="text1"/>
          <w:kern w:val="44"/>
          <w:sz w:val="44"/>
          <w:szCs w:val="24"/>
          <w14:textFill>
            <w14:solidFill>
              <w14:schemeClr w14:val="tx1"/>
            </w14:solidFill>
          </w14:textFill>
        </w:rPr>
      </w:pPr>
      <w:r>
        <w:rPr>
          <w:rFonts w:hint="default" w:ascii="Times New Roman" w:hAnsi="Times New Roman" w:eastAsia="黑体" w:cs="Times New Roman"/>
          <w:b w:val="0"/>
          <w:bCs w:val="0"/>
          <w:color w:val="000000" w:themeColor="text1"/>
          <w:kern w:val="2"/>
          <w:sz w:val="44"/>
          <w:szCs w:val="24"/>
          <w14:textFill>
            <w14:solidFill>
              <w14:schemeClr w14:val="tx1"/>
            </w14:solidFill>
          </w14:textFill>
        </w:rPr>
        <w:br w:type="page"/>
      </w:r>
      <w:bookmarkStart w:id="28" w:name="_Toc2503"/>
      <w:bookmarkStart w:id="29" w:name="_Toc16796"/>
      <w:r>
        <w:rPr>
          <w:rFonts w:hint="default" w:ascii="Times New Roman" w:hAnsi="Times New Roman" w:eastAsia="黑体" w:cs="Times New Roman"/>
          <w:b w:val="0"/>
          <w:bCs w:val="0"/>
          <w:color w:val="000000" w:themeColor="text1"/>
          <w:kern w:val="2"/>
          <w:sz w:val="44"/>
          <w:szCs w:val="24"/>
          <w14:textFill>
            <w14:solidFill>
              <w14:schemeClr w14:val="tx1"/>
            </w14:solidFill>
          </w14:textFill>
        </w:rPr>
        <w:t>第三部分 名</w:t>
      </w:r>
      <w:r>
        <w:rPr>
          <w:rFonts w:hint="default" w:ascii="Times New Roman" w:hAnsi="Times New Roman" w:eastAsia="黑体" w:cs="Times New Roman"/>
          <w:b w:val="0"/>
          <w:bCs w:val="0"/>
          <w:color w:val="000000" w:themeColor="text1"/>
          <w:kern w:val="44"/>
          <w:sz w:val="44"/>
          <w:szCs w:val="24"/>
          <w14:textFill>
            <w14:solidFill>
              <w14:schemeClr w14:val="tx1"/>
            </w14:solidFill>
          </w14:textFill>
        </w:rPr>
        <w:t>词解释</w:t>
      </w:r>
      <w:bookmarkEnd w:id="28"/>
      <w:bookmarkEnd w:id="29"/>
    </w:p>
    <w:p w14:paraId="3BA16432">
      <w:pPr>
        <w:pStyle w:val="2"/>
        <w:spacing w:before="72" w:beforeLines="0"/>
        <w:rPr>
          <w:rFonts w:hint="default" w:ascii="Times New Roman" w:hAnsi="Times New Roman" w:cs="Times New Roman"/>
          <w:b w:val="0"/>
          <w:bCs w:val="0"/>
          <w:color w:val="000000" w:themeColor="text1"/>
          <w:sz w:val="30"/>
          <w:szCs w:val="24"/>
          <w14:textFill>
            <w14:solidFill>
              <w14:schemeClr w14:val="tx1"/>
            </w14:solidFill>
          </w14:textFill>
        </w:rPr>
      </w:pPr>
    </w:p>
    <w:p w14:paraId="68D5FFA9">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1.财政拨款收入：指单位从同级财政部门取得的财政预算资金。</w:t>
      </w:r>
    </w:p>
    <w:p w14:paraId="1A56A039">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 xml:space="preserve">.其他收入：指单位取得的除上述收入以外的各项收入。 </w:t>
      </w:r>
    </w:p>
    <w:p w14:paraId="53795036">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 xml:space="preserve">.年初结转和结余：指以前年度尚未完成、结转到本年按有关规定继续使用的资金。 </w:t>
      </w:r>
    </w:p>
    <w:p w14:paraId="2294CBCB">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、年末结转和结余：指单位按有关规定结转到下年或以后年度继续使用的资金。</w:t>
      </w:r>
    </w:p>
    <w:p w14:paraId="2EAAA674">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.社会保障和就业（类）行政事业单位养老保险支出（款）机关事业单位基本养老保险缴费支出（项）：指机关事业单位基本养老保险费用支出。</w:t>
      </w:r>
    </w:p>
    <w:p w14:paraId="63277C48">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医疗卫生与计划生育（类）行政事业单位医疗（款）行政单位医疗（项）：指行政单位医疗保险支出。</w:t>
      </w:r>
    </w:p>
    <w:p w14:paraId="6811A395">
      <w:pPr>
        <w:overflowPunct w:val="0"/>
        <w:topLinePunct/>
        <w:spacing w:line="576" w:lineRule="exact"/>
        <w:ind w:firstLine="640" w:firstLineChars="200"/>
        <w:jc w:val="both"/>
        <w:rPr>
          <w:rFonts w:hint="default" w:ascii="Times New Roman" w:hAnsi="Times New Roman" w:eastAsia="仿宋" w:cs="Times New Roman"/>
          <w:b w:val="0"/>
          <w:bCs w:val="0"/>
          <w:color w:val="000000" w:themeColor="text1"/>
          <w:sz w:val="32"/>
          <w:szCs w:val="24"/>
          <w14:textFill>
            <w14:solidFill>
              <w14:schemeClr w14:val="tx1"/>
            </w14:solidFill>
          </w14:textFill>
        </w:rPr>
      </w:pPr>
      <w:r>
        <w:rPr>
          <w:rFonts w:hint="eastAsia" w:eastAsia="仿宋" w:cs="Times New Roman"/>
          <w:b w:val="0"/>
          <w:bCs w:val="0"/>
          <w:color w:val="000000" w:themeColor="text1"/>
          <w:sz w:val="32"/>
          <w:szCs w:val="24"/>
          <w:lang w:val="en-US" w:eastAsia="zh-CN"/>
          <w14:textFill>
            <w14:solidFill>
              <w14:schemeClr w14:val="tx1"/>
            </w14:solidFill>
          </w14:textFill>
        </w:rPr>
        <w:t>7</w:t>
      </w:r>
      <w:r>
        <w:rPr>
          <w:rFonts w:hint="default" w:ascii="Times New Roman" w:hAnsi="Times New Roman" w:eastAsia="仿宋" w:cs="Times New Roman"/>
          <w:b w:val="0"/>
          <w:bCs w:val="0"/>
          <w:color w:val="000000" w:themeColor="text1"/>
          <w:sz w:val="32"/>
          <w:szCs w:val="24"/>
          <w14:textFill>
            <w14:solidFill>
              <w14:schemeClr w14:val="tx1"/>
            </w14:solidFill>
          </w14:textFill>
        </w:rPr>
        <w:t>.农林水支出（类）</w:t>
      </w:r>
      <w:r>
        <w:rPr>
          <w:rFonts w:hint="eastAsia" w:eastAsia="仿宋" w:cs="Times New Roman"/>
          <w:b w:val="0"/>
          <w:bCs w:val="0"/>
          <w:color w:val="000000" w:themeColor="text1"/>
          <w:sz w:val="32"/>
          <w:szCs w:val="24"/>
          <w:lang w:eastAsia="zh-CN"/>
          <w14:textFill>
            <w14:solidFill>
              <w14:schemeClr w14:val="tx1"/>
            </w14:solidFill>
          </w14:textFill>
        </w:rPr>
        <w:t>巩固拓展脱贫攻坚成果</w:t>
      </w:r>
      <w:r>
        <w:rPr>
          <w:rFonts w:hint="default" w:ascii="Times New Roman" w:hAnsi="Times New Roman" w:eastAsia="仿宋" w:cs="Times New Roman"/>
          <w:b w:val="0"/>
          <w:bCs w:val="0"/>
          <w:color w:val="000000" w:themeColor="text1"/>
          <w:sz w:val="32"/>
          <w:szCs w:val="24"/>
          <w14:textFill>
            <w14:solidFill>
              <w14:schemeClr w14:val="tx1"/>
            </w14:solidFill>
          </w14:textFill>
        </w:rPr>
        <w:t>衔接乡村振兴（款）其他农林水支出（项）：行政运行支出、事业运行支出、其他</w:t>
      </w:r>
      <w:r>
        <w:rPr>
          <w:rFonts w:hint="eastAsia" w:eastAsia="仿宋" w:cs="Times New Roman"/>
          <w:b w:val="0"/>
          <w:bCs w:val="0"/>
          <w:color w:val="000000" w:themeColor="text1"/>
          <w:sz w:val="32"/>
          <w:szCs w:val="24"/>
          <w:lang w:eastAsia="zh-CN"/>
          <w14:textFill>
            <w14:solidFill>
              <w14:schemeClr w14:val="tx1"/>
            </w14:solidFill>
          </w14:textFill>
        </w:rPr>
        <w:t>巩固拓展脱贫攻坚成果</w:t>
      </w:r>
      <w:r>
        <w:rPr>
          <w:rFonts w:hint="default" w:ascii="Times New Roman" w:hAnsi="Times New Roman" w:eastAsia="仿宋" w:cs="Times New Roman"/>
          <w:b w:val="0"/>
          <w:bCs w:val="0"/>
          <w:color w:val="000000" w:themeColor="text1"/>
          <w:sz w:val="32"/>
          <w:szCs w:val="24"/>
          <w14:textFill>
            <w14:solidFill>
              <w14:schemeClr w14:val="tx1"/>
            </w14:solidFill>
          </w14:textFill>
        </w:rPr>
        <w:t>衔接乡村振兴支出等</w:t>
      </w:r>
    </w:p>
    <w:p w14:paraId="24A97749">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.住房保障（类）住房保障支出（款）住房公积金（项）：指住房公积金支出。</w:t>
      </w:r>
    </w:p>
    <w:p w14:paraId="7A4CABAA">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.基本支出：指为保障机构正常运转、完成日常工作任务而发生的人员支出和公用支出。</w:t>
      </w:r>
    </w:p>
    <w:p w14:paraId="0BD532FC">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 xml:space="preserve">.项目支出：指在基本支出之外为完成特定行政任务和事业发展目标所发生的支出。 </w:t>
      </w:r>
    </w:p>
    <w:p w14:paraId="53B3068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eastAsia" w:eastAsia="仿宋_GB2312" w:cs="Times New Roman"/>
          <w:b w:val="0"/>
          <w:bCs w:val="0"/>
          <w:color w:val="000000" w:themeColor="text1"/>
          <w:sz w:val="32"/>
          <w:szCs w:val="24"/>
          <w:lang w:val="en-US" w:eastAsia="zh-CN"/>
          <w14:textFill>
            <w14:solidFill>
              <w14:schemeClr w14:val="tx1"/>
            </w14:solidFill>
          </w14:textFill>
        </w:rPr>
        <w:t>11</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2C8205">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1</w:t>
      </w:r>
      <w:r>
        <w:rPr>
          <w:rFonts w:hint="eastAsia" w:eastAsia="仿宋_GB2312" w:cs="Times New Roman"/>
          <w:b w:val="0"/>
          <w:bCs w:val="0"/>
          <w:color w:val="000000" w:themeColor="text1"/>
          <w:sz w:val="32"/>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.机关运行经费：为保障行政单位（含参照公务员法管理的事业单位）运行用于购买货物和服务的各项资金，包括办公及印刷费、邮电费、差旅费、会议费、日常维修费</w:t>
      </w:r>
      <w:r>
        <w:rPr>
          <w:rFonts w:hint="eastAsia" w:eastAsia="仿宋_GB2312" w:cs="Times New Roman"/>
          <w:b w:val="0"/>
          <w:bCs w:val="0"/>
          <w:color w:val="000000" w:themeColor="text1"/>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24"/>
          <w14:textFill>
            <w14:solidFill>
              <w14:schemeClr w14:val="tx1"/>
            </w14:solidFill>
          </w14:textFill>
        </w:rPr>
        <w:t>办公用房水电费及其他费用。</w:t>
      </w:r>
    </w:p>
    <w:p w14:paraId="44AF17E5">
      <w:pPr>
        <w:overflowPunct w:val="0"/>
        <w:topLinePunct/>
        <w:spacing w:line="576" w:lineRule="exact"/>
        <w:ind w:firstLine="880" w:firstLineChars="200"/>
        <w:jc w:val="both"/>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p>
    <w:p w14:paraId="2ADB3FDB">
      <w:pPr>
        <w:overflowPunct w:val="0"/>
        <w:topLinePunct/>
        <w:spacing w:line="576" w:lineRule="exact"/>
        <w:ind w:firstLine="880" w:firstLineChars="200"/>
        <w:jc w:val="both"/>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p>
    <w:p w14:paraId="29198599">
      <w:pPr>
        <w:overflowPunct w:val="0"/>
        <w:topLinePunct/>
        <w:spacing w:line="576" w:lineRule="exact"/>
        <w:ind w:firstLine="880" w:firstLineChars="200"/>
        <w:jc w:val="both"/>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p>
    <w:p w14:paraId="5828C3BC">
      <w:pPr>
        <w:overflowPunct w:val="0"/>
        <w:topLinePunct/>
        <w:spacing w:line="576" w:lineRule="exact"/>
        <w:ind w:firstLine="880" w:firstLineChars="200"/>
        <w:jc w:val="both"/>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p>
    <w:p w14:paraId="7FEB156D">
      <w:pPr>
        <w:overflowPunct w:val="0"/>
        <w:topLinePunct/>
        <w:spacing w:line="576" w:lineRule="exact"/>
        <w:ind w:firstLine="880" w:firstLineChars="200"/>
        <w:jc w:val="both"/>
        <w:rPr>
          <w:rFonts w:hint="default" w:ascii="Times New Roman" w:hAnsi="Times New Roman" w:eastAsia="黑体" w:cs="Times New Roman"/>
          <w:b w:val="0"/>
          <w:bCs w:val="0"/>
          <w:color w:val="000000" w:themeColor="text1"/>
          <w:kern w:val="2"/>
          <w:sz w:val="44"/>
          <w:szCs w:val="24"/>
          <w14:textFill>
            <w14:solidFill>
              <w14:schemeClr w14:val="tx1"/>
            </w14:solidFill>
          </w14:textFill>
        </w:rPr>
        <w:sectPr>
          <w:footerReference r:id="rId4" w:type="default"/>
          <w:pgSz w:w="12240" w:h="15840"/>
          <w:pgMar w:top="2098" w:right="1474" w:bottom="1984" w:left="1587" w:header="720" w:footer="1559" w:gutter="0"/>
          <w:lnNumType w:countBy="0" w:distance="360"/>
          <w:pgNumType w:fmt="decimal" w:start="1"/>
          <w:cols w:space="720" w:num="1"/>
        </w:sectPr>
      </w:pPr>
    </w:p>
    <w:p w14:paraId="3A22EF08">
      <w:pPr>
        <w:numPr>
          <w:ilvl w:val="0"/>
          <w:numId w:val="0"/>
        </w:numPr>
        <w:overflowPunct w:val="0"/>
        <w:topLinePunct/>
        <w:spacing w:line="576" w:lineRule="exact"/>
        <w:jc w:val="center"/>
        <w:outlineLvl w:val="0"/>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bookmarkStart w:id="30" w:name="_Toc22149"/>
      <w:bookmarkStart w:id="31" w:name="_Toc20789"/>
      <w:r>
        <w:rPr>
          <w:rFonts w:hint="eastAsia" w:ascii="Times New Roman" w:hAnsi="Times New Roman" w:eastAsia="黑体" w:cs="Times New Roman"/>
          <w:b w:val="0"/>
          <w:bCs w:val="0"/>
          <w:color w:val="000000" w:themeColor="text1"/>
          <w:kern w:val="2"/>
          <w:sz w:val="44"/>
          <w:szCs w:val="24"/>
          <w:lang w:val="en-US" w:eastAsia="zh-CN"/>
          <w14:textFill>
            <w14:solidFill>
              <w14:schemeClr w14:val="tx1"/>
            </w14:solidFill>
          </w14:textFill>
        </w:rPr>
        <w:t>第四部分</w:t>
      </w:r>
      <w:r>
        <w:rPr>
          <w:rFonts w:hint="eastAsia" w:eastAsia="黑体" w:cs="Times New Roman"/>
          <w:b w:val="0"/>
          <w:bCs w:val="0"/>
          <w:color w:val="000000" w:themeColor="text1"/>
          <w:kern w:val="2"/>
          <w:sz w:val="44"/>
          <w:szCs w:val="24"/>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kern w:val="2"/>
          <w:sz w:val="44"/>
          <w:szCs w:val="24"/>
          <w14:textFill>
            <w14:solidFill>
              <w14:schemeClr w14:val="tx1"/>
            </w14:solidFill>
          </w14:textFill>
        </w:rPr>
        <w:t>附件</w:t>
      </w:r>
      <w:bookmarkEnd w:id="30"/>
      <w:bookmarkEnd w:id="31"/>
    </w:p>
    <w:p w14:paraId="680F1116">
      <w:pPr>
        <w:pStyle w:val="15"/>
        <w:numPr>
          <w:ilvl w:val="0"/>
          <w:numId w:val="0"/>
        </w:numPr>
        <w:outlineLvl w:val="1"/>
        <w:rPr>
          <w:rFonts w:hint="eastAsia" w:ascii="黑体" w:hAnsi="黑体" w:eastAsia="黑体" w:cs="黑体"/>
          <w:b w:val="0"/>
          <w:bCs w:val="0"/>
          <w:color w:val="000000" w:themeColor="text1"/>
          <w:lang w:val="en-US" w:eastAsia="zh-CN"/>
          <w14:textFill>
            <w14:solidFill>
              <w14:schemeClr w14:val="tx1"/>
            </w14:solidFill>
          </w14:textFill>
        </w:rPr>
      </w:pPr>
      <w:bookmarkStart w:id="32" w:name="_Toc1632"/>
      <w:bookmarkStart w:id="33" w:name="_Toc89"/>
      <w:r>
        <w:rPr>
          <w:rFonts w:hint="eastAsia" w:ascii="黑体" w:hAnsi="黑体" w:eastAsia="黑体" w:cs="黑体"/>
          <w:b w:val="0"/>
          <w:bCs w:val="0"/>
          <w:color w:val="000000" w:themeColor="text1"/>
          <w:lang w:val="en-US" w:eastAsia="zh-CN"/>
          <w14:textFill>
            <w14:solidFill>
              <w14:schemeClr w14:val="tx1"/>
            </w14:solidFill>
          </w14:textFill>
        </w:rPr>
        <w:t>附件1</w:t>
      </w:r>
      <w:bookmarkEnd w:id="32"/>
      <w:bookmarkEnd w:id="33"/>
    </w:p>
    <w:p w14:paraId="54DA3527">
      <w:pPr>
        <w:pStyle w:val="15"/>
        <w:spacing w:line="240" w:lineRule="auto"/>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广元市昭化区乡村振兴局部门整体支出绩效目标自评表</w:t>
      </w:r>
    </w:p>
    <w:p w14:paraId="5F33B87D">
      <w:pPr>
        <w:pStyle w:val="15"/>
        <w:spacing w:line="240" w:lineRule="auto"/>
        <w:jc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黑体" w:cs="Times New Roman"/>
          <w:b w:val="0"/>
          <w:bCs w:val="0"/>
          <w:color w:val="000000" w:themeColor="text1"/>
          <w:kern w:val="2"/>
          <w:sz w:val="24"/>
          <w:szCs w:val="24"/>
          <w14:textFill>
            <w14:solidFill>
              <w14:schemeClr w14:val="tx1"/>
            </w14:solidFill>
          </w14:textFill>
        </w:rPr>
        <w:t>（ 2023年度）</w:t>
      </w:r>
    </w:p>
    <w:tbl>
      <w:tblPr>
        <w:tblStyle w:val="12"/>
        <w:tblpPr w:leftFromText="180" w:rightFromText="180" w:vertAnchor="text" w:horzAnchor="page" w:tblpX="1392" w:tblpY="135"/>
        <w:tblOverlap w:val="never"/>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565"/>
        <w:gridCol w:w="1384"/>
        <w:gridCol w:w="705"/>
        <w:gridCol w:w="1990"/>
        <w:gridCol w:w="590"/>
        <w:gridCol w:w="661"/>
        <w:gridCol w:w="494"/>
        <w:gridCol w:w="1215"/>
        <w:gridCol w:w="1434"/>
      </w:tblGrid>
      <w:tr w14:paraId="70C7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E2A2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主管部门</w:t>
            </w:r>
          </w:p>
        </w:tc>
        <w:tc>
          <w:tcPr>
            <w:tcW w:w="212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A592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广元市昭化区乡村振兴局</w:t>
            </w:r>
          </w:p>
        </w:tc>
        <w:tc>
          <w:tcPr>
            <w:tcW w:w="6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99DC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实施单位</w:t>
            </w:r>
          </w:p>
        </w:tc>
        <w:tc>
          <w:tcPr>
            <w:tcW w:w="1635" w:type="pct"/>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2618D0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广元市昭化区乡村振兴局</w:t>
            </w:r>
          </w:p>
        </w:tc>
      </w:tr>
      <w:tr w14:paraId="0C8A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1"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AB9BB76">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项目（政策）资金（万元）</w:t>
            </w:r>
          </w:p>
        </w:tc>
        <w:tc>
          <w:tcPr>
            <w:tcW w:w="1087" w:type="pct"/>
            <w:gridSpan w:val="2"/>
            <w:tcBorders>
              <w:top w:val="nil"/>
              <w:left w:val="single" w:color="000000" w:sz="4" w:space="0"/>
              <w:bottom w:val="single" w:color="000000" w:sz="4" w:space="0"/>
              <w:right w:val="single" w:color="000000" w:sz="4" w:space="0"/>
              <w:tl2br w:val="nil"/>
              <w:tr2bl w:val="nil"/>
            </w:tcBorders>
            <w:noWrap w:val="0"/>
            <w:vAlign w:val="center"/>
          </w:tcPr>
          <w:p w14:paraId="612DC81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年度预算数（万元）</w:t>
            </w:r>
          </w:p>
        </w:tc>
        <w:tc>
          <w:tcPr>
            <w:tcW w:w="1035" w:type="pct"/>
            <w:tcBorders>
              <w:top w:val="nil"/>
              <w:left w:val="single" w:color="000000" w:sz="4" w:space="0"/>
              <w:bottom w:val="single" w:color="000000" w:sz="4" w:space="0"/>
              <w:right w:val="single" w:color="000000" w:sz="4" w:space="0"/>
              <w:tl2br w:val="nil"/>
              <w:tr2bl w:val="nil"/>
            </w:tcBorders>
            <w:noWrap w:val="0"/>
            <w:vAlign w:val="center"/>
          </w:tcPr>
          <w:p w14:paraId="67041609">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年初预算数</w:t>
            </w:r>
          </w:p>
        </w:tc>
        <w:tc>
          <w:tcPr>
            <w:tcW w:w="650" w:type="pct"/>
            <w:gridSpan w:val="2"/>
            <w:tcBorders>
              <w:top w:val="nil"/>
              <w:left w:val="single" w:color="000000" w:sz="4" w:space="0"/>
              <w:bottom w:val="single" w:color="000000" w:sz="4" w:space="0"/>
              <w:right w:val="single" w:color="000000" w:sz="4" w:space="0"/>
              <w:tl2br w:val="nil"/>
              <w:tr2bl w:val="nil"/>
            </w:tcBorders>
            <w:noWrap w:val="0"/>
            <w:vAlign w:val="center"/>
          </w:tcPr>
          <w:p w14:paraId="135DD44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全年预算数</w:t>
            </w:r>
          </w:p>
        </w:tc>
        <w:tc>
          <w:tcPr>
            <w:tcW w:w="889" w:type="pct"/>
            <w:gridSpan w:val="2"/>
            <w:tcBorders>
              <w:top w:val="nil"/>
              <w:left w:val="single" w:color="000000" w:sz="4" w:space="0"/>
              <w:bottom w:val="single" w:color="000000" w:sz="4" w:space="0"/>
              <w:right w:val="single" w:color="000000" w:sz="4" w:space="0"/>
              <w:tl2br w:val="nil"/>
              <w:tr2bl w:val="nil"/>
            </w:tcBorders>
            <w:noWrap w:val="0"/>
            <w:vAlign w:val="center"/>
          </w:tcPr>
          <w:p w14:paraId="6563BC5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全年执行数</w:t>
            </w:r>
          </w:p>
        </w:tc>
        <w:tc>
          <w:tcPr>
            <w:tcW w:w="746" w:type="pct"/>
            <w:tcBorders>
              <w:top w:val="nil"/>
              <w:left w:val="single" w:color="000000" w:sz="4" w:space="0"/>
              <w:bottom w:val="single" w:color="000000" w:sz="4" w:space="0"/>
              <w:right w:val="single" w:color="000000" w:sz="4" w:space="0"/>
              <w:tl2br w:val="nil"/>
              <w:tr2bl w:val="nil"/>
            </w:tcBorders>
            <w:noWrap w:val="0"/>
            <w:vAlign w:val="center"/>
          </w:tcPr>
          <w:p w14:paraId="28AD61D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执行率(%)</w:t>
            </w:r>
          </w:p>
        </w:tc>
      </w:tr>
      <w:tr w14:paraId="3DCC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65BF5C4">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1BDB1">
            <w:pPr>
              <w:widowControl/>
              <w:jc w:val="both"/>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年度资金总额</w:t>
            </w:r>
          </w:p>
        </w:tc>
        <w:tc>
          <w:tcPr>
            <w:tcW w:w="10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32E75">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4347.18</w:t>
            </w:r>
          </w:p>
        </w:tc>
        <w:tc>
          <w:tcPr>
            <w:tcW w:w="6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2E4CA">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9895.4</w:t>
            </w:r>
          </w:p>
        </w:tc>
        <w:tc>
          <w:tcPr>
            <w:tcW w:w="8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3B863">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6050.07</w:t>
            </w:r>
          </w:p>
        </w:tc>
        <w:tc>
          <w:tcPr>
            <w:tcW w:w="746" w:type="pct"/>
            <w:tcBorders>
              <w:top w:val="nil"/>
              <w:left w:val="single" w:color="000000" w:sz="4" w:space="0"/>
              <w:bottom w:val="single" w:color="000000" w:sz="4" w:space="0"/>
              <w:right w:val="single" w:color="000000" w:sz="4" w:space="0"/>
              <w:tl2br w:val="nil"/>
              <w:tr2bl w:val="nil"/>
            </w:tcBorders>
            <w:noWrap w:val="0"/>
            <w:vAlign w:val="center"/>
          </w:tcPr>
          <w:p w14:paraId="25410367">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61</w:t>
            </w:r>
          </w:p>
        </w:tc>
      </w:tr>
      <w:tr w14:paraId="6492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895DA1">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D84C0">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（一）财政拨款小计</w:t>
            </w:r>
          </w:p>
        </w:tc>
        <w:tc>
          <w:tcPr>
            <w:tcW w:w="10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56844">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4347.18</w:t>
            </w:r>
          </w:p>
        </w:tc>
        <w:tc>
          <w:tcPr>
            <w:tcW w:w="6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18C4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7480.64</w:t>
            </w:r>
          </w:p>
        </w:tc>
        <w:tc>
          <w:tcPr>
            <w:tcW w:w="8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AFA2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6050.07</w:t>
            </w:r>
          </w:p>
        </w:tc>
        <w:tc>
          <w:tcPr>
            <w:tcW w:w="746" w:type="pct"/>
            <w:tcBorders>
              <w:top w:val="nil"/>
              <w:left w:val="single" w:color="000000" w:sz="4" w:space="0"/>
              <w:bottom w:val="single" w:color="000000" w:sz="4" w:space="0"/>
              <w:right w:val="single" w:color="000000" w:sz="4" w:space="0"/>
              <w:tl2br w:val="nil"/>
              <w:tr2bl w:val="nil"/>
            </w:tcBorders>
            <w:noWrap w:val="0"/>
            <w:vAlign w:val="center"/>
          </w:tcPr>
          <w:p w14:paraId="2E10AB0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81</w:t>
            </w:r>
          </w:p>
        </w:tc>
      </w:tr>
      <w:tr w14:paraId="0F9B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BA848FB">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990C7">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 xml:space="preserve"> 1.一般公共预算</w:t>
            </w:r>
          </w:p>
        </w:tc>
        <w:tc>
          <w:tcPr>
            <w:tcW w:w="10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49428">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4347.18</w:t>
            </w:r>
          </w:p>
        </w:tc>
        <w:tc>
          <w:tcPr>
            <w:tcW w:w="6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F561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7233.87</w:t>
            </w:r>
          </w:p>
        </w:tc>
        <w:tc>
          <w:tcPr>
            <w:tcW w:w="8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2F67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5803.3</w:t>
            </w:r>
          </w:p>
        </w:tc>
        <w:tc>
          <w:tcPr>
            <w:tcW w:w="746" w:type="pct"/>
            <w:tcBorders>
              <w:top w:val="nil"/>
              <w:left w:val="single" w:color="000000" w:sz="4" w:space="0"/>
              <w:bottom w:val="single" w:color="000000" w:sz="4" w:space="0"/>
              <w:right w:val="single" w:color="000000" w:sz="4" w:space="0"/>
              <w:tl2br w:val="nil"/>
              <w:tr2bl w:val="nil"/>
            </w:tcBorders>
            <w:noWrap w:val="0"/>
            <w:vAlign w:val="center"/>
          </w:tcPr>
          <w:p w14:paraId="151F7FF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80</w:t>
            </w:r>
          </w:p>
        </w:tc>
      </w:tr>
      <w:tr w14:paraId="4B34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633915">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14472">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 xml:space="preserve"> 2.政府性基金</w:t>
            </w:r>
          </w:p>
        </w:tc>
        <w:tc>
          <w:tcPr>
            <w:tcW w:w="10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4477D">
            <w:pPr>
              <w:rPr>
                <w:rFonts w:hint="default" w:ascii="Times New Roman" w:hAnsi="Times New Roman" w:cs="Times New Roman"/>
                <w:b w:val="0"/>
                <w:bCs w:val="0"/>
                <w:color w:val="000000" w:themeColor="text1"/>
                <w:sz w:val="16"/>
                <w:szCs w:val="16"/>
                <w14:textFill>
                  <w14:solidFill>
                    <w14:schemeClr w14:val="tx1"/>
                  </w14:solidFill>
                </w14:textFill>
              </w:rPr>
            </w:pPr>
          </w:p>
        </w:tc>
        <w:tc>
          <w:tcPr>
            <w:tcW w:w="6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8D2A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246.77</w:t>
            </w:r>
          </w:p>
        </w:tc>
        <w:tc>
          <w:tcPr>
            <w:tcW w:w="8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CF65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246.77</w:t>
            </w:r>
          </w:p>
        </w:tc>
        <w:tc>
          <w:tcPr>
            <w:tcW w:w="746" w:type="pct"/>
            <w:tcBorders>
              <w:top w:val="nil"/>
              <w:left w:val="single" w:color="000000" w:sz="4" w:space="0"/>
              <w:bottom w:val="single" w:color="000000" w:sz="4" w:space="0"/>
              <w:right w:val="single" w:color="000000" w:sz="4" w:space="0"/>
              <w:tl2br w:val="nil"/>
              <w:tr2bl w:val="nil"/>
            </w:tcBorders>
            <w:noWrap w:val="0"/>
            <w:vAlign w:val="center"/>
          </w:tcPr>
          <w:p w14:paraId="153E674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r>
      <w:tr w14:paraId="1C59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173AA17">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0E7F8">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 xml:space="preserve"> 3.国有资本经营预算</w:t>
            </w:r>
          </w:p>
        </w:tc>
        <w:tc>
          <w:tcPr>
            <w:tcW w:w="10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60F51">
            <w:pPr>
              <w:rPr>
                <w:rFonts w:hint="default" w:ascii="Times New Roman" w:hAnsi="Times New Roman" w:cs="Times New Roman"/>
                <w:b w:val="0"/>
                <w:bCs w:val="0"/>
                <w:color w:val="000000" w:themeColor="text1"/>
                <w:sz w:val="16"/>
                <w:szCs w:val="16"/>
                <w14:textFill>
                  <w14:solidFill>
                    <w14:schemeClr w14:val="tx1"/>
                  </w14:solidFill>
                </w14:textFill>
              </w:rPr>
            </w:pPr>
          </w:p>
        </w:tc>
        <w:tc>
          <w:tcPr>
            <w:tcW w:w="6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214F9">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8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C325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46" w:type="pct"/>
            <w:tcBorders>
              <w:top w:val="nil"/>
              <w:left w:val="single" w:color="000000" w:sz="4" w:space="0"/>
              <w:bottom w:val="single" w:color="000000" w:sz="4" w:space="0"/>
              <w:right w:val="single" w:color="000000" w:sz="4" w:space="0"/>
              <w:tl2br w:val="nil"/>
              <w:tr2bl w:val="nil"/>
            </w:tcBorders>
            <w:noWrap w:val="0"/>
            <w:vAlign w:val="center"/>
          </w:tcPr>
          <w:p w14:paraId="61A5B71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1BD5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C0804AD">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D69CB">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（二）其他资金</w:t>
            </w:r>
          </w:p>
        </w:tc>
        <w:tc>
          <w:tcPr>
            <w:tcW w:w="10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5A0AA">
            <w:pPr>
              <w:rPr>
                <w:rFonts w:hint="default" w:ascii="Times New Roman" w:hAnsi="Times New Roman" w:cs="Times New Roman"/>
                <w:b w:val="0"/>
                <w:bCs w:val="0"/>
                <w:color w:val="000000" w:themeColor="text1"/>
                <w:sz w:val="16"/>
                <w:szCs w:val="16"/>
                <w14:textFill>
                  <w14:solidFill>
                    <w14:schemeClr w14:val="tx1"/>
                  </w14:solidFill>
                </w14:textFill>
              </w:rPr>
            </w:pPr>
          </w:p>
        </w:tc>
        <w:tc>
          <w:tcPr>
            <w:tcW w:w="6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145A6">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2414.76</w:t>
            </w:r>
          </w:p>
        </w:tc>
        <w:tc>
          <w:tcPr>
            <w:tcW w:w="8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646E6">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2414.76</w:t>
            </w:r>
          </w:p>
        </w:tc>
        <w:tc>
          <w:tcPr>
            <w:tcW w:w="746" w:type="pct"/>
            <w:tcBorders>
              <w:top w:val="nil"/>
              <w:left w:val="single" w:color="000000" w:sz="4" w:space="0"/>
              <w:bottom w:val="single" w:color="000000" w:sz="4" w:space="0"/>
              <w:right w:val="single" w:color="000000" w:sz="4" w:space="0"/>
              <w:tl2br w:val="nil"/>
              <w:tr2bl w:val="nil"/>
            </w:tcBorders>
            <w:noWrap w:val="0"/>
            <w:vAlign w:val="center"/>
          </w:tcPr>
          <w:p w14:paraId="2A70275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r>
      <w:tr w14:paraId="207E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9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B4E7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整体</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目标</w:t>
            </w:r>
          </w:p>
        </w:tc>
        <w:tc>
          <w:tcPr>
            <w:tcW w:w="3067"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28378">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年度目标</w:t>
            </w:r>
          </w:p>
        </w:tc>
        <w:tc>
          <w:tcPr>
            <w:tcW w:w="163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CF16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完成情况</w:t>
            </w:r>
          </w:p>
        </w:tc>
      </w:tr>
      <w:tr w14:paraId="4BBC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49D6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41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9DDDF">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完成区委区政府下达的各类年度目标任务。巩固拓展脱贫攻坚成果，逐步推进乡村振兴工作；保障乡村振兴统计监测系统正常运行；实施农村厕所革命整村推进示范村建设；督查督促东西部协作项目进度工作；保工资、保运转；积极向上级部门、机关争取项目资金；招商引资工作。争取项目10819.88万元。基本支出控制在481.52万元，项目支出控制在9413.88万元预算范围内项目实施。保障在职职工28人的工资等兑现，兑现率100%。保障12个乡镇的监测系统畅通，争取资金任务数10819.99万元，厕所革命整村推进15个、3931户，在12个月完成各类任务，使老百姓增收300元，卫生厕所普及率85%以上，贫困人口的生活质量提高，带动当地老百姓就业率70%，使受惠群众及服务对象满意度95%。</w:t>
            </w:r>
          </w:p>
        </w:tc>
        <w:tc>
          <w:tcPr>
            <w:tcW w:w="228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E69AE">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完成区委区政府下达的各类年度目标任务。巩固拓展脱贫攻坚成果，逐步推进乡村振兴工作；保障乡村振兴统计监测系统正常运行；实施农村厕所革命整村推进示范村建设；督查督促东西部协作项目进度工作；保工资、保运转；积极向上级部门、机关争取项目资金；招商引资工作。争取项目10819.88万元。基本支出控制在481.52万元，项目支出控制在9413.88万元预算范围内项目实施。保障在职职工28人的工资等兑现，兑现率100%。保障12个乡镇的监测系统畅通，争取资金任务数15468.82万元，厕所革命整村推进15个、3931户，在12个月完成各类任务，使老百姓增收300元，卫生厕所普及率85%以上，贫困人口的生活质量提高，带动当地老百姓就业率70%，使受惠群众及服务对象满意度95%。</w:t>
            </w:r>
          </w:p>
        </w:tc>
      </w:tr>
      <w:tr w14:paraId="08AF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EC3F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部门整体绩效指标</w:t>
            </w:r>
          </w:p>
        </w:tc>
        <w:tc>
          <w:tcPr>
            <w:tcW w:w="2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D3F5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一级指标</w:t>
            </w:r>
          </w:p>
        </w:tc>
        <w:tc>
          <w:tcPr>
            <w:tcW w:w="7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72157">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二级指标</w:t>
            </w:r>
          </w:p>
        </w:tc>
        <w:tc>
          <w:tcPr>
            <w:tcW w:w="17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49732">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三级指标</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EF06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年度指标值</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BAF3A">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实际完成值</w:t>
            </w:r>
          </w:p>
        </w:tc>
        <w:tc>
          <w:tcPr>
            <w:tcW w:w="746" w:type="pct"/>
            <w:tcBorders>
              <w:top w:val="nil"/>
              <w:left w:val="nil"/>
              <w:bottom w:val="nil"/>
              <w:right w:val="single" w:color="000000" w:sz="4" w:space="0"/>
              <w:tl2br w:val="nil"/>
              <w:tr2bl w:val="nil"/>
            </w:tcBorders>
            <w:noWrap w:val="0"/>
            <w:vAlign w:val="center"/>
          </w:tcPr>
          <w:p w14:paraId="336F4A5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偏差原因分析及改进措施</w:t>
            </w:r>
          </w:p>
        </w:tc>
      </w:tr>
      <w:tr w14:paraId="474B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5DB3D">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5703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产出指标</w:t>
            </w:r>
          </w:p>
        </w:tc>
        <w:tc>
          <w:tcPr>
            <w:tcW w:w="72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EC7DF">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97CC9">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492D9">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保障在职人员工资人数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77C8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29人</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A3DB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28</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01923">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退休1人</w:t>
            </w:r>
          </w:p>
        </w:tc>
      </w:tr>
      <w:tr w14:paraId="25CB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C134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45B5A">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70118">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87755">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指标2：</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E77D0">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网络监测维护乡镇数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812EF">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12个</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B4E9F">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12个</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7B1E2">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58CA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7A00A">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FF4E2">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E5106">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680C9">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指标3：</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54046">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争取资金任务数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3619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10819.99万元</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5FC8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15468.82万元</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B5DDD">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7CE6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B4A1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CCF3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1C6EE">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874E7">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指标4：</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0BE3C">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厕所革命整村推进示范村个数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C9D4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15个</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B5BDF">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15个</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365D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7E7C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6246B">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13621">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28A9D">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FAE63">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指标5：</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6A5EB">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厕所革命实施改造户数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0444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3931户</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9E7B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3931户</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8BD2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0982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B06FC">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24C7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08E2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质量指标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9BAEF">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4A6E2">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监测系统运行畅通率</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1F07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FF9C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2672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5D90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EFB1E">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27BD4">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B39D8">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F95D2">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指标2：</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963C7">
            <w:pPr>
              <w:keepNext w:val="0"/>
              <w:keepLines w:val="0"/>
              <w:pageBreakBefore w:val="0"/>
              <w:widowControl/>
              <w:kinsoku/>
              <w:wordWrap/>
              <w:overflowPunct/>
              <w:topLinePunct w:val="0"/>
              <w:autoSpaceDE w:val="0"/>
              <w:autoSpaceDN w:val="0"/>
              <w:bidi w:val="0"/>
              <w:adjustRightInd/>
              <w:snapToGrid/>
              <w:ind w:right="-120" w:rightChars="-50"/>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在职人员工资及社会保障等发放率</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5AFB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CEE9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D98B6">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7A4C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AB92E">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8F4C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402E1">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0154D">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指标3：</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A60F6">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项目验收合格率</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07027">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95%</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8407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95%</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0191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32C8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B79E6">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26BC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818C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时效指标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41A5D">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756D3">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完成年度任务时间</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6E25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12个月</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1107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12个月</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C59BA">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13F6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7EDF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B222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2CD58">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成本指标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B9BE3">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AC6A5">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基本支出控制数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C502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481.52万元</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B451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481.52万元</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CFE4A">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2C9F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4647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D514A">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A92D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1F558">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指标2：</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DC334">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项目资金支出控制数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EC1E8">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9413.88万元</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7965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6050.07万元</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AA5A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财政资金紧张及项目报账缓慢，加快资金支付力度。</w:t>
            </w:r>
          </w:p>
        </w:tc>
      </w:tr>
      <w:tr w14:paraId="342C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84D64">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115A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效益指标</w:t>
            </w:r>
          </w:p>
        </w:tc>
        <w:tc>
          <w:tcPr>
            <w:tcW w:w="720" w:type="pct"/>
            <w:tcBorders>
              <w:top w:val="single" w:color="000000" w:sz="4" w:space="0"/>
              <w:left w:val="single" w:color="000000" w:sz="4" w:space="0"/>
              <w:bottom w:val="nil"/>
              <w:right w:val="single" w:color="000000" w:sz="4" w:space="0"/>
              <w:tl2br w:val="nil"/>
              <w:tr2bl w:val="nil"/>
            </w:tcBorders>
            <w:noWrap w:val="0"/>
            <w:vAlign w:val="center"/>
          </w:tcPr>
          <w:p w14:paraId="6859BFD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经济效益</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7FE58">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C743C">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老百姓人均收入增加数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ABB2F">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300元</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6871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300元</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8100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76CB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152A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BB542">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16BD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社会效益</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7E314">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977B0">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卫生厕所普及率</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452A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85%</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D483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85%</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67257">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34B9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ED9BB">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C594B">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84FD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C22A0">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指标2：</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D5238">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提高贫困人口生活质量</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52AE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优</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1314F">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优</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0A32D">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7E9B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1531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07707">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DB9A5">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7E472">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指标3：</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8B585">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带动当地老百就业率（就业人数/应就业人数）</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088B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70%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AB70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70%</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509F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16A3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9EB47">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39E4A">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tcBorders>
              <w:top w:val="single" w:color="000000" w:sz="4" w:space="0"/>
              <w:left w:val="single" w:color="000000" w:sz="4" w:space="0"/>
              <w:bottom w:val="nil"/>
              <w:right w:val="single" w:color="000000" w:sz="4" w:space="0"/>
              <w:tl2br w:val="nil"/>
              <w:tr2bl w:val="nil"/>
            </w:tcBorders>
            <w:noWrap w:val="0"/>
            <w:vAlign w:val="center"/>
          </w:tcPr>
          <w:p w14:paraId="041EE7A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生态效益</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09B64">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AEBAE">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整村推进示范村厕所粪污无害化处理率</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64FB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23DF7">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90%</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54868">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4C8A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0228B">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51832">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63F3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可持续影响指标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9802B">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06C43">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建立示范村长效管理机制</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10B5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DCE4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556CE">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741E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B51BA">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CA4B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满意度指标</w:t>
            </w:r>
          </w:p>
        </w:tc>
        <w:tc>
          <w:tcPr>
            <w:tcW w:w="72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BA2D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服务对象满意度指标</w:t>
            </w:r>
          </w:p>
        </w:tc>
        <w:tc>
          <w:tcPr>
            <w:tcW w:w="3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31669">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B8E07">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在职工的满意度</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7C20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A442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3ED98">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3012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51C3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6086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7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29EA4">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366" w:type="pct"/>
            <w:tcBorders>
              <w:top w:val="single" w:color="000000" w:sz="4" w:space="0"/>
              <w:left w:val="single" w:color="000000" w:sz="4" w:space="0"/>
              <w:bottom w:val="single" w:color="000000" w:sz="4" w:space="0"/>
              <w:right w:val="nil"/>
              <w:tl2br w:val="nil"/>
              <w:tr2bl w:val="nil"/>
            </w:tcBorders>
            <w:noWrap w:val="0"/>
            <w:vAlign w:val="center"/>
          </w:tcPr>
          <w:p w14:paraId="57C5DE11">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指标2：</w:t>
            </w:r>
          </w:p>
        </w:tc>
        <w:tc>
          <w:tcPr>
            <w:tcW w:w="134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19A96">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受惠群众满意度</w:t>
            </w:r>
          </w:p>
        </w:tc>
        <w:tc>
          <w:tcPr>
            <w:tcW w:w="6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049D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95%</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BD5E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95%</w:t>
            </w:r>
          </w:p>
        </w:tc>
        <w:tc>
          <w:tcPr>
            <w:tcW w:w="7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72189">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bl>
    <w:p w14:paraId="0AE176EE">
      <w:pPr>
        <w:pStyle w:val="2"/>
        <w:spacing w:before="72" w:beforeLines="0"/>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bookmarkStart w:id="34" w:name="_Toc28913"/>
      <w:bookmarkStart w:id="35" w:name="_Toc31521"/>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附件2</w:t>
      </w:r>
      <w:bookmarkEnd w:id="34"/>
      <w:bookmarkEnd w:id="35"/>
    </w:p>
    <w:p w14:paraId="68FB4565">
      <w:pPr>
        <w:pStyle w:val="2"/>
        <w:spacing w:before="72" w:beforeLines="0"/>
        <w:jc w:val="center"/>
        <w:rPr>
          <w:rFonts w:hint="default" w:ascii="Times New Roman" w:hAnsi="Times New Roman" w:eastAsia="方正小标宋简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32"/>
          <w:szCs w:val="32"/>
          <w:lang w:bidi="ar-SA"/>
          <w14:textFill>
            <w14:solidFill>
              <w14:schemeClr w14:val="tx1"/>
            </w14:solidFill>
          </w14:textFill>
        </w:rPr>
        <w:t>广元市昭化区2023年中央、省、市乡村振兴财政衔接资金</w:t>
      </w:r>
      <w:r>
        <w:rPr>
          <w:rFonts w:hint="default" w:ascii="Times New Roman" w:hAnsi="Times New Roman" w:eastAsia="方正小标宋简体" w:cs="Times New Roman"/>
          <w:b w:val="0"/>
          <w:bCs w:val="0"/>
          <w:color w:val="000000" w:themeColor="text1"/>
          <w:kern w:val="2"/>
          <w:sz w:val="32"/>
          <w:szCs w:val="32"/>
          <w:lang w:val="en-US" w:eastAsia="zh-CN" w:bidi="ar-SA"/>
          <w14:textFill>
            <w14:solidFill>
              <w14:schemeClr w14:val="tx1"/>
            </w14:solidFill>
          </w14:textFill>
        </w:rPr>
        <w:t>项目</w:t>
      </w:r>
    </w:p>
    <w:p w14:paraId="4573561C">
      <w:pPr>
        <w:pStyle w:val="2"/>
        <w:spacing w:before="72" w:beforeLines="0"/>
        <w:jc w:val="center"/>
        <w:rPr>
          <w:rFonts w:hint="default" w:ascii="Times New Roman" w:hAnsi="Times New Roman" w:eastAsia="方正小标宋简体" w:cs="Times New Roman"/>
          <w:b w:val="0"/>
          <w:bCs w:val="0"/>
          <w:color w:val="000000" w:themeColor="text1"/>
          <w:kern w:val="2"/>
          <w:sz w:val="32"/>
          <w:szCs w:val="32"/>
          <w:lang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32"/>
          <w:szCs w:val="32"/>
          <w:lang w:bidi="ar-SA"/>
          <w14:textFill>
            <w14:solidFill>
              <w14:schemeClr w14:val="tx1"/>
            </w14:solidFill>
          </w14:textFill>
        </w:rPr>
        <w:t>支出绩效自评表</w:t>
      </w:r>
    </w:p>
    <w:p w14:paraId="357C902D">
      <w:pPr>
        <w:pStyle w:val="2"/>
        <w:spacing w:before="72" w:beforeLines="0" w:line="240" w:lineRule="auto"/>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32"/>
          <w:szCs w:val="24"/>
          <w14:textFill>
            <w14:solidFill>
              <w14:schemeClr w14:val="tx1"/>
            </w14:solidFill>
          </w14:textFill>
        </w:rPr>
        <w:t xml:space="preserve">             </w:t>
      </w:r>
      <w:r>
        <w:rPr>
          <w:rFonts w:hint="default" w:ascii="Times New Roman" w:hAnsi="Times New Roman" w:cs="Times New Roman"/>
          <w:b w:val="0"/>
          <w:bCs w:val="0"/>
          <w:color w:val="000000" w:themeColor="text1"/>
          <w:kern w:val="2"/>
          <w:sz w:val="18"/>
          <w:szCs w:val="18"/>
          <w14:textFill>
            <w14:solidFill>
              <w14:schemeClr w14:val="tx1"/>
            </w14:solidFill>
          </w14:textFill>
        </w:rPr>
        <w:t xml:space="preserve">        </w:t>
      </w:r>
      <w:r>
        <w:rPr>
          <w:rFonts w:hint="default" w:ascii="Times New Roman" w:hAnsi="Times New Roman" w:cs="Times New Roman"/>
          <w:b w:val="0"/>
          <w:bCs w:val="0"/>
          <w:color w:val="000000" w:themeColor="text1"/>
          <w:kern w:val="2"/>
          <w:sz w:val="18"/>
          <w:szCs w:val="18"/>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kern w:val="2"/>
          <w:sz w:val="18"/>
          <w:szCs w:val="18"/>
          <w14:textFill>
            <w14:solidFill>
              <w14:schemeClr w14:val="tx1"/>
            </w14:solidFill>
          </w14:textFill>
        </w:rPr>
        <w:t>（2023年度）</w:t>
      </w:r>
    </w:p>
    <w:tbl>
      <w:tblPr>
        <w:tblStyle w:val="12"/>
        <w:tblW w:w="50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9"/>
        <w:gridCol w:w="963"/>
        <w:gridCol w:w="1167"/>
        <w:gridCol w:w="893"/>
        <w:gridCol w:w="1689"/>
        <w:gridCol w:w="168"/>
        <w:gridCol w:w="1280"/>
        <w:gridCol w:w="1506"/>
        <w:gridCol w:w="1337"/>
      </w:tblGrid>
      <w:tr w14:paraId="1A74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3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3B7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4160"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05AB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中央、省、市衔接资金</w:t>
            </w:r>
          </w:p>
        </w:tc>
      </w:tr>
      <w:tr w14:paraId="192C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3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D8C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202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3D5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广元市昭化区乡村振兴局</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E7C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1470"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A06BCE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相关村</w:t>
            </w:r>
          </w:p>
        </w:tc>
      </w:tr>
      <w:tr w14:paraId="4C60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83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D93407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10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B67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2F6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59D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D57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EFFF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7ED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A8B270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C06A0">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95DC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2753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AF68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691" w:type="pct"/>
            <w:tcBorders>
              <w:top w:val="nil"/>
              <w:left w:val="single" w:color="000000" w:sz="4" w:space="0"/>
              <w:bottom w:val="single" w:color="000000" w:sz="4" w:space="0"/>
              <w:right w:val="single" w:color="000000" w:sz="4" w:space="0"/>
              <w:tl2br w:val="nil"/>
              <w:tr2bl w:val="nil"/>
            </w:tcBorders>
            <w:noWrap w:val="0"/>
            <w:vAlign w:val="center"/>
          </w:tcPr>
          <w:p w14:paraId="1B70A8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E8F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8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10ED5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159B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EE69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9644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DE0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691" w:type="pct"/>
            <w:tcBorders>
              <w:top w:val="nil"/>
              <w:left w:val="single" w:color="000000" w:sz="4" w:space="0"/>
              <w:bottom w:val="single" w:color="000000" w:sz="4" w:space="0"/>
              <w:right w:val="single" w:color="000000" w:sz="4" w:space="0"/>
              <w:tl2br w:val="nil"/>
              <w:tr2bl w:val="nil"/>
            </w:tcBorders>
            <w:noWrap w:val="0"/>
            <w:vAlign w:val="center"/>
          </w:tcPr>
          <w:p w14:paraId="582F8C2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121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C4DF5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66B5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E82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FC1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CFD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w:t>
            </w:r>
          </w:p>
        </w:tc>
        <w:tc>
          <w:tcPr>
            <w:tcW w:w="691" w:type="pct"/>
            <w:tcBorders>
              <w:top w:val="nil"/>
              <w:left w:val="single" w:color="000000" w:sz="4" w:space="0"/>
              <w:bottom w:val="single" w:color="000000" w:sz="4" w:space="0"/>
              <w:right w:val="single" w:color="000000" w:sz="4" w:space="0"/>
              <w:tl2br w:val="nil"/>
              <w:tr2bl w:val="nil"/>
            </w:tcBorders>
            <w:noWrap w:val="0"/>
            <w:vAlign w:val="center"/>
          </w:tcPr>
          <w:p w14:paraId="4E55F9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9D7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45B2B9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6148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D8B14">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32D2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DA25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91" w:type="pct"/>
            <w:tcBorders>
              <w:top w:val="nil"/>
              <w:left w:val="single" w:color="000000" w:sz="4" w:space="0"/>
              <w:bottom w:val="single" w:color="000000" w:sz="4" w:space="0"/>
              <w:right w:val="single" w:color="000000" w:sz="4" w:space="0"/>
              <w:tl2br w:val="nil"/>
              <w:tr2bl w:val="nil"/>
            </w:tcBorders>
            <w:noWrap w:val="0"/>
            <w:vAlign w:val="center"/>
          </w:tcPr>
          <w:p w14:paraId="3F39E84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EE3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D9A10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A865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8D1B3">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B117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3F86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91" w:type="pct"/>
            <w:tcBorders>
              <w:top w:val="nil"/>
              <w:left w:val="single" w:color="000000" w:sz="4" w:space="0"/>
              <w:bottom w:val="single" w:color="000000" w:sz="4" w:space="0"/>
              <w:right w:val="single" w:color="000000" w:sz="4" w:space="0"/>
              <w:tl2br w:val="nil"/>
              <w:tr2bl w:val="nil"/>
            </w:tcBorders>
            <w:noWrap w:val="0"/>
            <w:vAlign w:val="center"/>
          </w:tcPr>
          <w:p w14:paraId="0241DF1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B40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8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B025B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B145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B0081">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8D89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C65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91" w:type="pct"/>
            <w:tcBorders>
              <w:top w:val="nil"/>
              <w:left w:val="single" w:color="000000" w:sz="4" w:space="0"/>
              <w:bottom w:val="single" w:color="000000" w:sz="4" w:space="0"/>
              <w:right w:val="single" w:color="000000" w:sz="4" w:space="0"/>
              <w:tl2br w:val="nil"/>
              <w:tr2bl w:val="nil"/>
            </w:tcBorders>
            <w:noWrap w:val="0"/>
            <w:vAlign w:val="center"/>
          </w:tcPr>
          <w:p w14:paraId="142AAF3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CD6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7FF0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整体</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目标</w:t>
            </w:r>
          </w:p>
        </w:tc>
        <w:tc>
          <w:tcPr>
            <w:tcW w:w="24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BE90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年度目标</w:t>
            </w:r>
          </w:p>
        </w:tc>
        <w:tc>
          <w:tcPr>
            <w:tcW w:w="221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FB77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完成情况</w:t>
            </w:r>
          </w:p>
        </w:tc>
      </w:tr>
      <w:tr w14:paraId="309C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2D26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4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F1950">
            <w:pPr>
              <w:widowControl/>
              <w:jc w:val="lef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滴灌设备660米，道路硬化16.284公里，新建社会化服务中心2个，猕猴桃等产业管护1780亩，整治山坪塘26座，新建干粪棚600平方米，新建育雏鸡棚5600平方米，土壤培肥430亩，新建稻鸭大棚2000平方米，新建渠系7.3公里，新建路灯15盏。</w:t>
            </w:r>
          </w:p>
        </w:tc>
        <w:tc>
          <w:tcPr>
            <w:tcW w:w="221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7FF0B">
            <w:pPr>
              <w:widowControl/>
              <w:jc w:val="lef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滴灌设备660米，道路硬化16.284公里，新建社会化服务中心2个，猕猴桃等产业管护1780亩，整治山坪塘26座，新建干粪棚600平方米，新建育雏鸡棚5600平方米，土壤培肥430亩，新建稻鸭大棚2000平方米，新建渠系7.3公里，新建路灯15盏。</w:t>
            </w:r>
          </w:p>
        </w:tc>
      </w:tr>
      <w:tr w14:paraId="5DA5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4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611C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部门整体绩效指标</w:t>
            </w: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672B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6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013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142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2F5A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A919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96D4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691" w:type="pct"/>
            <w:tcBorders>
              <w:top w:val="nil"/>
              <w:left w:val="nil"/>
              <w:bottom w:val="nil"/>
              <w:right w:val="single" w:color="000000" w:sz="4" w:space="0"/>
              <w:tl2br w:val="nil"/>
              <w:tr2bl w:val="nil"/>
            </w:tcBorders>
            <w:noWrap w:val="0"/>
            <w:vAlign w:val="center"/>
          </w:tcPr>
          <w:p w14:paraId="2D4EAA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29E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179F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095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60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97E7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5C9EAC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776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新建滴灌设备</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8D29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600米</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DE9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600米</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7E9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12C0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53FD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616D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FA95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121080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28B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硬化道路</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ABC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16.284公里</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8F1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16.284公里</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10AE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358E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E988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BC4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B6F0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340EEDB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521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整治山坪塘</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A41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26口</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1EA8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26口</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673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64A3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CD8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879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D67E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3E6DDF5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278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猕猴桃产业管护</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F7DD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1780亩</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8445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1780亩</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631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7581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CEE1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DCDD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2766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05C5C0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指标5：</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966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干粪棚</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C9C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600平方米</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0A5E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600平方米</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A809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1161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C05C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1C2B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ED99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7EF866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指标6：</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B47C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渠系</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A39D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7.3公里</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F89D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7.3公里</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B1F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5B46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D2CE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600B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B1DE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62F88F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指标7：</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173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路灯</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A09A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15盏</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82AF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15盏</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D27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1B4C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C40A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504E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469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38DAEC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指标8：</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64E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育雏鸡棚</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39E3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5600平方米</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2F1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5600平方米</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622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5571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65AD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BF56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35E8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674611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指标9：</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71E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稻鸭棚</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E35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2000平方米</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F29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2000平方米</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AF2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610E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E658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F921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0104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02566FA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指标10：</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558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社会化服务中心</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6923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2座</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C0BD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2座</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F7A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3347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6A5C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8D9C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6369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00D3B2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08E9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项目质量合格率</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3D59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F64B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57E6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06BE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2809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F62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372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336F86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DBEC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项目完工及时率</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0E57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17E9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259C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2498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C4F9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0FAA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363A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426D34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15E4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投入资金</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606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3675.76万</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40D9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3675.76万</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58F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4112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F318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E7F9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604" w:type="pct"/>
            <w:tcBorders>
              <w:top w:val="single" w:color="000000" w:sz="4" w:space="0"/>
              <w:left w:val="single" w:color="000000" w:sz="4" w:space="0"/>
              <w:bottom w:val="nil"/>
              <w:right w:val="single" w:color="000000" w:sz="4" w:space="0"/>
              <w:tl2br w:val="nil"/>
              <w:tr2bl w:val="nil"/>
            </w:tcBorders>
            <w:noWrap w:val="0"/>
            <w:vAlign w:val="center"/>
          </w:tcPr>
          <w:p w14:paraId="5BE3719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0F2E67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28E5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带动农户增收</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CCC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≥500元</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C732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≥500元</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8262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4EC1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7FC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6FC4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04" w:type="pct"/>
            <w:tcBorders>
              <w:top w:val="single" w:color="000000" w:sz="4" w:space="0"/>
              <w:left w:val="single" w:color="000000" w:sz="4" w:space="0"/>
              <w:bottom w:val="nil"/>
              <w:right w:val="single" w:color="000000" w:sz="4" w:space="0"/>
              <w:tl2br w:val="nil"/>
              <w:tr2bl w:val="nil"/>
            </w:tcBorders>
            <w:noWrap w:val="0"/>
            <w:vAlign w:val="center"/>
          </w:tcPr>
          <w:p w14:paraId="3A04D73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4C7B1F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8735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惠及项目村脱贫人口</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B764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248B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0727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0F57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0F9B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87B2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6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FA1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462" w:type="pct"/>
            <w:tcBorders>
              <w:top w:val="single" w:color="000000" w:sz="4" w:space="0"/>
              <w:left w:val="single" w:color="000000" w:sz="4" w:space="0"/>
              <w:bottom w:val="single" w:color="000000" w:sz="4" w:space="0"/>
              <w:right w:val="nil"/>
              <w:tl2br w:val="nil"/>
              <w:tr2bl w:val="nil"/>
            </w:tcBorders>
            <w:noWrap w:val="0"/>
            <w:vAlign w:val="center"/>
          </w:tcPr>
          <w:p w14:paraId="4E7D8A8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BDA1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群众满意度</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828B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760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6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11A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bl>
    <w:p w14:paraId="1027E24F">
      <w:pPr>
        <w:pStyle w:val="2"/>
        <w:spacing w:before="72" w:beforeLines="0"/>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bookmarkStart w:id="36" w:name="_Toc26804"/>
      <w:bookmarkStart w:id="37" w:name="_Toc12600"/>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附件3</w:t>
      </w:r>
      <w:bookmarkEnd w:id="36"/>
      <w:bookmarkEnd w:id="37"/>
    </w:p>
    <w:p w14:paraId="089AA57F">
      <w:pPr>
        <w:pStyle w:val="2"/>
        <w:spacing w:before="72" w:beforeLines="0"/>
        <w:jc w:val="center"/>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t>广元市昭化区乡村振兴局农村厕所革命整村推进</w:t>
      </w:r>
    </w:p>
    <w:p w14:paraId="5EB0F277">
      <w:pPr>
        <w:pStyle w:val="2"/>
        <w:spacing w:before="72" w:beforeLines="0"/>
        <w:jc w:val="center"/>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t>财政奖补资金项目支出绩效自评表</w:t>
      </w:r>
    </w:p>
    <w:p w14:paraId="58D0E178">
      <w:pPr>
        <w:pStyle w:val="2"/>
        <w:spacing w:before="72" w:beforeLines="0"/>
        <w:rPr>
          <w:rFonts w:hint="default" w:ascii="Times New Roman" w:hAnsi="Times New Roman" w:cs="Times New Roman"/>
          <w:b w:val="0"/>
          <w:bCs w:val="0"/>
          <w:color w:val="000000" w:themeColor="text1"/>
          <w:kern w:val="2"/>
          <w:sz w:val="24"/>
          <w:szCs w:val="24"/>
          <w14:textFill>
            <w14:solidFill>
              <w14:schemeClr w14:val="tx1"/>
            </w14:solidFill>
          </w14:textFill>
        </w:rPr>
      </w:pPr>
      <w:r>
        <w:rPr>
          <w:rFonts w:hint="default" w:ascii="Times New Roman" w:hAnsi="Times New Roman" w:cs="Times New Roman"/>
          <w:b w:val="0"/>
          <w:bCs w:val="0"/>
          <w:color w:val="000000" w:themeColor="text1"/>
          <w:kern w:val="2"/>
          <w:sz w:val="32"/>
          <w:szCs w:val="24"/>
          <w14:textFill>
            <w14:solidFill>
              <w14:schemeClr w14:val="tx1"/>
            </w14:solidFill>
          </w14:textFill>
        </w:rPr>
        <w:t xml:space="preserve">                     </w:t>
      </w:r>
      <w:r>
        <w:rPr>
          <w:rFonts w:hint="default" w:ascii="Times New Roman" w:hAnsi="Times New Roman" w:cs="Times New Roman"/>
          <w:b w:val="0"/>
          <w:bCs w:val="0"/>
          <w:color w:val="000000" w:themeColor="text1"/>
          <w:kern w:val="2"/>
          <w:sz w:val="24"/>
          <w:szCs w:val="24"/>
          <w14:textFill>
            <w14:solidFill>
              <w14:schemeClr w14:val="tx1"/>
            </w14:solidFill>
          </w14:textFill>
        </w:rPr>
        <w:t>（2023年度）</w:t>
      </w:r>
    </w:p>
    <w:tbl>
      <w:tblPr>
        <w:tblStyle w:val="1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7"/>
        <w:gridCol w:w="750"/>
        <w:gridCol w:w="984"/>
        <w:gridCol w:w="1009"/>
        <w:gridCol w:w="2113"/>
        <w:gridCol w:w="1175"/>
        <w:gridCol w:w="1304"/>
        <w:gridCol w:w="1610"/>
      </w:tblGrid>
      <w:tr w14:paraId="5C3B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75E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426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24BE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农村厕所革命整村推进财政奖补资金</w:t>
            </w:r>
          </w:p>
        </w:tc>
      </w:tr>
      <w:tr w14:paraId="52DA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70A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213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27C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广元市昭化区乡村振兴局</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A86E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1515"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EDDE3ED">
            <w:pPr>
              <w:widowControl/>
              <w:jc w:val="center"/>
              <w:textAlignment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相关村</w:t>
            </w:r>
          </w:p>
        </w:tc>
      </w:tr>
      <w:tr w14:paraId="0B81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8E3A65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10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CDF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0EBB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740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693E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B4B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049C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C400CE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940E2">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1EB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0A4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1DEF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837" w:type="pct"/>
            <w:tcBorders>
              <w:top w:val="nil"/>
              <w:left w:val="single" w:color="000000" w:sz="4" w:space="0"/>
              <w:bottom w:val="single" w:color="000000" w:sz="4" w:space="0"/>
              <w:right w:val="single" w:color="000000" w:sz="4" w:space="0"/>
              <w:tl2br w:val="nil"/>
              <w:tr2bl w:val="nil"/>
            </w:tcBorders>
            <w:noWrap w:val="0"/>
            <w:vAlign w:val="center"/>
          </w:tcPr>
          <w:p w14:paraId="05EFAC0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705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B00DB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A333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FD98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1C82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B1A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837" w:type="pct"/>
            <w:tcBorders>
              <w:top w:val="nil"/>
              <w:left w:val="single" w:color="000000" w:sz="4" w:space="0"/>
              <w:bottom w:val="single" w:color="000000" w:sz="4" w:space="0"/>
              <w:right w:val="single" w:color="000000" w:sz="4" w:space="0"/>
              <w:tl2br w:val="nil"/>
              <w:tr2bl w:val="nil"/>
            </w:tcBorders>
            <w:noWrap w:val="0"/>
            <w:vAlign w:val="center"/>
          </w:tcPr>
          <w:p w14:paraId="456AF66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7CB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76C22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424F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209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909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41E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515</w:t>
            </w:r>
          </w:p>
        </w:tc>
        <w:tc>
          <w:tcPr>
            <w:tcW w:w="837" w:type="pct"/>
            <w:tcBorders>
              <w:top w:val="nil"/>
              <w:left w:val="single" w:color="000000" w:sz="4" w:space="0"/>
              <w:bottom w:val="single" w:color="000000" w:sz="4" w:space="0"/>
              <w:right w:val="single" w:color="000000" w:sz="4" w:space="0"/>
              <w:tl2br w:val="nil"/>
              <w:tr2bl w:val="nil"/>
            </w:tcBorders>
            <w:noWrap w:val="0"/>
            <w:vAlign w:val="center"/>
          </w:tcPr>
          <w:p w14:paraId="75728FE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2DB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9535D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585F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69C06">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141D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DCD6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7" w:type="pct"/>
            <w:tcBorders>
              <w:top w:val="nil"/>
              <w:left w:val="single" w:color="000000" w:sz="4" w:space="0"/>
              <w:bottom w:val="single" w:color="000000" w:sz="4" w:space="0"/>
              <w:right w:val="single" w:color="000000" w:sz="4" w:space="0"/>
              <w:tl2br w:val="nil"/>
              <w:tr2bl w:val="nil"/>
            </w:tcBorders>
            <w:noWrap w:val="0"/>
            <w:vAlign w:val="center"/>
          </w:tcPr>
          <w:p w14:paraId="2F4662D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997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3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8920D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E36A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BF9EC">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063D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1C01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7" w:type="pct"/>
            <w:tcBorders>
              <w:top w:val="nil"/>
              <w:left w:val="single" w:color="000000" w:sz="4" w:space="0"/>
              <w:bottom w:val="single" w:color="000000" w:sz="4" w:space="0"/>
              <w:right w:val="single" w:color="000000" w:sz="4" w:space="0"/>
              <w:tl2br w:val="nil"/>
              <w:tr2bl w:val="nil"/>
            </w:tcBorders>
            <w:noWrap w:val="0"/>
            <w:vAlign w:val="center"/>
          </w:tcPr>
          <w:p w14:paraId="5777591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952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68D9E7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0D7C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246C9">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415D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761A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7" w:type="pct"/>
            <w:tcBorders>
              <w:top w:val="nil"/>
              <w:left w:val="single" w:color="000000" w:sz="4" w:space="0"/>
              <w:bottom w:val="single" w:color="000000" w:sz="4" w:space="0"/>
              <w:right w:val="single" w:color="000000" w:sz="4" w:space="0"/>
              <w:tl2br w:val="nil"/>
              <w:tr2bl w:val="nil"/>
            </w:tcBorders>
            <w:noWrap w:val="0"/>
            <w:vAlign w:val="center"/>
          </w:tcPr>
          <w:p w14:paraId="54938E0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BD5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D3F5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整体</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目标</w:t>
            </w:r>
          </w:p>
        </w:tc>
        <w:tc>
          <w:tcPr>
            <w:tcW w:w="313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235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年度目标</w:t>
            </w:r>
          </w:p>
        </w:tc>
        <w:tc>
          <w:tcPr>
            <w:tcW w:w="15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CFC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完成情况</w:t>
            </w:r>
          </w:p>
        </w:tc>
      </w:tr>
      <w:tr w14:paraId="6692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41BA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3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7D6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整村推进任务村15个，户厕改造任务3931户。</w:t>
            </w:r>
          </w:p>
        </w:tc>
        <w:tc>
          <w:tcPr>
            <w:tcW w:w="15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430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全年完成整村推进任务村15个，户厕改造任务3990户。</w:t>
            </w:r>
          </w:p>
        </w:tc>
      </w:tr>
      <w:tr w14:paraId="18D7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A01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部门整体绩效指标</w:t>
            </w:r>
          </w:p>
        </w:tc>
        <w:tc>
          <w:tcPr>
            <w:tcW w:w="38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9E6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5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3949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162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F80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ED2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AB66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837" w:type="pct"/>
            <w:tcBorders>
              <w:top w:val="nil"/>
              <w:left w:val="nil"/>
              <w:bottom w:val="nil"/>
              <w:right w:val="single" w:color="000000" w:sz="4" w:space="0"/>
              <w:tl2br w:val="nil"/>
              <w:tr2bl w:val="nil"/>
            </w:tcBorders>
            <w:noWrap w:val="0"/>
            <w:vAlign w:val="center"/>
          </w:tcPr>
          <w:p w14:paraId="65E625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2C97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A4A3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2AA5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5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94C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4551DD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nil"/>
              <w:bottom w:val="single" w:color="000000" w:sz="4" w:space="0"/>
              <w:right w:val="single" w:color="000000" w:sz="4" w:space="0"/>
              <w:tl2br w:val="nil"/>
              <w:tr2bl w:val="nil"/>
            </w:tcBorders>
            <w:noWrap w:val="0"/>
            <w:vAlign w:val="center"/>
          </w:tcPr>
          <w:p w14:paraId="48DAB61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改造标准无害化厕所</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8E35B">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3931户</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ADDD1">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3990户</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564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4593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8D8F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672E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CDD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2403396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55CED">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整村推进示范村</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D136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15个</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09CC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15个</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393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163D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9317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7544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D32E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7C11735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18DC9">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项目质量合格率</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6C07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B460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DFD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60B4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5203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2EDE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FEBB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4D40377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A1119">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砖砌三格式化粪池有效容积</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4B95E">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≥2立方米</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69E0D">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≥2立方米</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845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1012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45E8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851C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ECB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0BB66B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E9906">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项目完工及时率</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A3FEB">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EDC0B">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5D3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4892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896A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036F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540C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3503C1F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3055F">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砖砌三格式化粪池补助标准</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5438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2390元/口</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FF3FE">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2390元/口</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910F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082B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B1C8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BDC8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DF26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281E96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847D7">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沼改厕补助标准</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C515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560元/口</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5524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560元/口</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4E00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36DA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1E8B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7C2F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90F5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28D3847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465C1">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老茅坑加盖补助标准</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8842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410元/口</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9C02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410元/口</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B0B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0178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CD61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F300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512" w:type="pct"/>
            <w:tcBorders>
              <w:top w:val="single" w:color="000000" w:sz="4" w:space="0"/>
              <w:left w:val="single" w:color="000000" w:sz="4" w:space="0"/>
              <w:bottom w:val="nil"/>
              <w:right w:val="single" w:color="000000" w:sz="4" w:space="0"/>
              <w:tl2br w:val="nil"/>
              <w:tr2bl w:val="nil"/>
            </w:tcBorders>
            <w:noWrap w:val="0"/>
            <w:vAlign w:val="center"/>
          </w:tcPr>
          <w:p w14:paraId="44BE1ED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60696E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4D9AB">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改厕农户户均减少资金投入</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3ECAD">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2200元</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9B3D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2200元</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0E6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1F47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F508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BC2E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tcBorders>
              <w:top w:val="single" w:color="000000" w:sz="4" w:space="0"/>
              <w:left w:val="single" w:color="000000" w:sz="4" w:space="0"/>
              <w:bottom w:val="nil"/>
              <w:right w:val="single" w:color="000000" w:sz="4" w:space="0"/>
              <w:tl2br w:val="nil"/>
              <w:tr2bl w:val="nil"/>
            </w:tcBorders>
            <w:noWrap w:val="0"/>
            <w:vAlign w:val="center"/>
          </w:tcPr>
          <w:p w14:paraId="6417F0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2E97A92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F591C">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卫生厕所普及率</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5AC8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≥85%</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BDE5D">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≥85%</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BD6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3071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A00D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B5A8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tcBorders>
              <w:top w:val="single" w:color="000000" w:sz="4" w:space="0"/>
              <w:left w:val="single" w:color="000000" w:sz="4" w:space="0"/>
              <w:bottom w:val="nil"/>
              <w:right w:val="single" w:color="000000" w:sz="4" w:space="0"/>
              <w:tl2br w:val="nil"/>
              <w:tr2bl w:val="nil"/>
            </w:tcBorders>
            <w:noWrap w:val="0"/>
            <w:vAlign w:val="center"/>
          </w:tcPr>
          <w:p w14:paraId="5FE114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43C2A7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C9982">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整村推进示范村厕所粪污无害化处理率</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2A06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86FA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B663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0A75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BBA5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ED18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0117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280587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0EDCD">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建立示范村长效管护机制</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B7291">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FC28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801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2B34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DF5F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4C1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5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3A3F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4DB4728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85C63">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改厕脱贫人口满意度</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06355">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20983">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F8B8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5D55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33EE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C35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B9CC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24" w:type="pct"/>
            <w:tcBorders>
              <w:top w:val="single" w:color="000000" w:sz="4" w:space="0"/>
              <w:left w:val="single" w:color="000000" w:sz="4" w:space="0"/>
              <w:bottom w:val="single" w:color="000000" w:sz="4" w:space="0"/>
              <w:right w:val="nil"/>
              <w:tl2br w:val="nil"/>
              <w:tr2bl w:val="nil"/>
            </w:tcBorders>
            <w:noWrap w:val="0"/>
            <w:vAlign w:val="center"/>
          </w:tcPr>
          <w:p w14:paraId="419926A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0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ADE51">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改厕农户满意度</w:t>
            </w:r>
          </w:p>
        </w:tc>
        <w:tc>
          <w:tcPr>
            <w:tcW w:w="60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3B60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F2300">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8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E1B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bl>
    <w:p w14:paraId="4C8267C1">
      <w:pPr>
        <w:pStyle w:val="2"/>
        <w:spacing w:before="72" w:beforeLines="0"/>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bookmarkStart w:id="38" w:name="_Toc29227"/>
      <w:bookmarkStart w:id="39" w:name="_Toc21986"/>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附件4</w:t>
      </w:r>
      <w:bookmarkEnd w:id="38"/>
      <w:bookmarkEnd w:id="39"/>
    </w:p>
    <w:p w14:paraId="02A7B3EC">
      <w:pPr>
        <w:pStyle w:val="2"/>
        <w:spacing w:before="72" w:beforeLines="0"/>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p>
    <w:p w14:paraId="5F355412">
      <w:pPr>
        <w:pStyle w:val="2"/>
        <w:keepNext w:val="0"/>
        <w:keepLines w:val="0"/>
        <w:pageBreakBefore w:val="0"/>
        <w:widowControl w:val="0"/>
        <w:kinsoku/>
        <w:wordWrap/>
        <w:overflowPunct/>
        <w:topLinePunct w:val="0"/>
        <w:autoSpaceDE w:val="0"/>
        <w:autoSpaceDN w:val="0"/>
        <w:bidi w:val="0"/>
        <w:adjustRightInd/>
        <w:snapToGrid/>
        <w:spacing w:before="0" w:beforeLines="0" w:line="500" w:lineRule="exact"/>
        <w:jc w:val="center"/>
        <w:textAlignment w:val="auto"/>
        <w:rPr>
          <w:rFonts w:hint="default" w:ascii="Times New Roman" w:hAnsi="Times New Roman" w:eastAsia="方正小标宋简体" w:cs="Times New Roman"/>
          <w:b w:val="0"/>
          <w:bCs w:val="0"/>
          <w:color w:val="000000" w:themeColor="text1"/>
          <w:kern w:val="2"/>
          <w:sz w:val="44"/>
          <w:szCs w:val="44"/>
          <w:lang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bidi="ar-SA"/>
          <w14:textFill>
            <w14:solidFill>
              <w14:schemeClr w14:val="tx1"/>
            </w14:solidFill>
          </w14:textFill>
        </w:rPr>
        <w:t>广元市昭化区2023年区本级衔接资金</w:t>
      </w: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项目</w:t>
      </w:r>
      <w:r>
        <w:rPr>
          <w:rFonts w:hint="default" w:ascii="Times New Roman" w:hAnsi="Times New Roman" w:eastAsia="方正小标宋简体" w:cs="Times New Roman"/>
          <w:b w:val="0"/>
          <w:bCs w:val="0"/>
          <w:color w:val="000000" w:themeColor="text1"/>
          <w:kern w:val="2"/>
          <w:sz w:val="44"/>
          <w:szCs w:val="44"/>
          <w:lang w:bidi="ar-SA"/>
          <w14:textFill>
            <w14:solidFill>
              <w14:schemeClr w14:val="tx1"/>
            </w14:solidFill>
          </w14:textFill>
        </w:rPr>
        <w:t>支出</w:t>
      </w:r>
    </w:p>
    <w:p w14:paraId="5552E8B6">
      <w:pPr>
        <w:pStyle w:val="2"/>
        <w:keepNext w:val="0"/>
        <w:keepLines w:val="0"/>
        <w:pageBreakBefore w:val="0"/>
        <w:widowControl w:val="0"/>
        <w:kinsoku/>
        <w:wordWrap/>
        <w:overflowPunct/>
        <w:topLinePunct w:val="0"/>
        <w:autoSpaceDE w:val="0"/>
        <w:autoSpaceDN w:val="0"/>
        <w:bidi w:val="0"/>
        <w:adjustRightInd/>
        <w:snapToGrid/>
        <w:spacing w:before="0" w:beforeLines="0" w:line="500" w:lineRule="exact"/>
        <w:jc w:val="center"/>
        <w:textAlignment w:val="auto"/>
        <w:rPr>
          <w:rFonts w:hint="default" w:ascii="Times New Roman" w:hAnsi="Times New Roman" w:eastAsia="方正小标宋简体" w:cs="Times New Roman"/>
          <w:b w:val="0"/>
          <w:bCs w:val="0"/>
          <w:color w:val="000000" w:themeColor="text1"/>
          <w:kern w:val="2"/>
          <w:sz w:val="44"/>
          <w:szCs w:val="44"/>
          <w:lang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bidi="ar-SA"/>
          <w14:textFill>
            <w14:solidFill>
              <w14:schemeClr w14:val="tx1"/>
            </w14:solidFill>
          </w14:textFill>
        </w:rPr>
        <w:t>绩效自评表</w:t>
      </w:r>
    </w:p>
    <w:p w14:paraId="58DE47F9">
      <w:pPr>
        <w:pStyle w:val="2"/>
        <w:spacing w:before="72" w:beforeLines="0"/>
        <w:rPr>
          <w:rFonts w:hint="default" w:ascii="Times New Roman" w:hAnsi="Times New Roman" w:cs="Times New Roman"/>
          <w:b w:val="0"/>
          <w:bCs w:val="0"/>
          <w:color w:val="000000" w:themeColor="text1"/>
          <w:kern w:val="2"/>
          <w:sz w:val="24"/>
          <w:szCs w:val="24"/>
          <w14:textFill>
            <w14:solidFill>
              <w14:schemeClr w14:val="tx1"/>
            </w14:solidFill>
          </w14:textFill>
        </w:rPr>
      </w:pPr>
      <w:r>
        <w:rPr>
          <w:rFonts w:hint="default" w:ascii="Times New Roman" w:hAnsi="Times New Roman" w:cs="Times New Roman"/>
          <w:b w:val="0"/>
          <w:bCs w:val="0"/>
          <w:color w:val="000000" w:themeColor="text1"/>
          <w:kern w:val="2"/>
          <w:sz w:val="32"/>
          <w:szCs w:val="24"/>
          <w14:textFill>
            <w14:solidFill>
              <w14:schemeClr w14:val="tx1"/>
            </w14:solidFill>
          </w14:textFill>
        </w:rPr>
        <w:t xml:space="preserve">                        </w:t>
      </w:r>
      <w:r>
        <w:rPr>
          <w:rFonts w:hint="default" w:ascii="Times New Roman" w:hAnsi="Times New Roman" w:cs="Times New Roman"/>
          <w:b w:val="0"/>
          <w:bCs w:val="0"/>
          <w:color w:val="000000" w:themeColor="text1"/>
          <w:kern w:val="2"/>
          <w:sz w:val="24"/>
          <w:szCs w:val="24"/>
          <w14:textFill>
            <w14:solidFill>
              <w14:schemeClr w14:val="tx1"/>
            </w14:solidFill>
          </w14:textFill>
        </w:rPr>
        <w:t>（2023年度）</w:t>
      </w:r>
    </w:p>
    <w:tbl>
      <w:tblPr>
        <w:tblStyle w:val="1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1"/>
        <w:gridCol w:w="954"/>
        <w:gridCol w:w="1196"/>
        <w:gridCol w:w="817"/>
        <w:gridCol w:w="1790"/>
        <w:gridCol w:w="1194"/>
        <w:gridCol w:w="1600"/>
        <w:gridCol w:w="1400"/>
      </w:tblGrid>
      <w:tr w14:paraId="70DD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D70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415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1F6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区本级衔接资金</w:t>
            </w:r>
          </w:p>
        </w:tc>
      </w:tr>
      <w:tr w14:paraId="61E1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1A1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197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199D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广元市昭化区乡村振兴局</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F41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1560"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A3D3A79">
            <w:pPr>
              <w:widowControl/>
              <w:jc w:val="center"/>
              <w:textAlignment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相关村</w:t>
            </w:r>
          </w:p>
        </w:tc>
      </w:tr>
      <w:tr w14:paraId="3320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F88158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10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256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C80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DB6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E46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11B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4E24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FE63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4610F">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7F17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609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9E2F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728" w:type="pct"/>
            <w:tcBorders>
              <w:top w:val="nil"/>
              <w:left w:val="single" w:color="000000" w:sz="4" w:space="0"/>
              <w:bottom w:val="single" w:color="000000" w:sz="4" w:space="0"/>
              <w:right w:val="single" w:color="000000" w:sz="4" w:space="0"/>
              <w:tl2br w:val="nil"/>
              <w:tr2bl w:val="nil"/>
            </w:tcBorders>
            <w:noWrap w:val="0"/>
            <w:vAlign w:val="center"/>
          </w:tcPr>
          <w:p w14:paraId="3F4286F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19C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33B8A5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1D90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166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4809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874C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728" w:type="pct"/>
            <w:tcBorders>
              <w:top w:val="nil"/>
              <w:left w:val="single" w:color="000000" w:sz="4" w:space="0"/>
              <w:bottom w:val="single" w:color="000000" w:sz="4" w:space="0"/>
              <w:right w:val="single" w:color="000000" w:sz="4" w:space="0"/>
              <w:tl2br w:val="nil"/>
              <w:tr2bl w:val="nil"/>
            </w:tcBorders>
            <w:noWrap w:val="0"/>
            <w:vAlign w:val="center"/>
          </w:tcPr>
          <w:p w14:paraId="242CB5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CF8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EE1F23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3D3A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0E0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CA0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0C4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w:t>
            </w:r>
          </w:p>
        </w:tc>
        <w:tc>
          <w:tcPr>
            <w:tcW w:w="728" w:type="pct"/>
            <w:tcBorders>
              <w:top w:val="nil"/>
              <w:left w:val="single" w:color="000000" w:sz="4" w:space="0"/>
              <w:bottom w:val="single" w:color="000000" w:sz="4" w:space="0"/>
              <w:right w:val="single" w:color="000000" w:sz="4" w:space="0"/>
              <w:tl2br w:val="nil"/>
              <w:tr2bl w:val="nil"/>
            </w:tcBorders>
            <w:noWrap w:val="0"/>
            <w:vAlign w:val="center"/>
          </w:tcPr>
          <w:p w14:paraId="6E6F0C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332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FFC82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8532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FFCF9">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257F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C2A9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28" w:type="pct"/>
            <w:tcBorders>
              <w:top w:val="nil"/>
              <w:left w:val="single" w:color="000000" w:sz="4" w:space="0"/>
              <w:bottom w:val="single" w:color="000000" w:sz="4" w:space="0"/>
              <w:right w:val="single" w:color="000000" w:sz="4" w:space="0"/>
              <w:tl2br w:val="nil"/>
              <w:tr2bl w:val="nil"/>
            </w:tcBorders>
            <w:noWrap w:val="0"/>
            <w:vAlign w:val="center"/>
          </w:tcPr>
          <w:p w14:paraId="32D3641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A35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05D86C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9631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B292B">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C4F8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1AB2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28" w:type="pct"/>
            <w:tcBorders>
              <w:top w:val="nil"/>
              <w:left w:val="single" w:color="000000" w:sz="4" w:space="0"/>
              <w:bottom w:val="single" w:color="000000" w:sz="4" w:space="0"/>
              <w:right w:val="single" w:color="000000" w:sz="4" w:space="0"/>
              <w:tl2br w:val="nil"/>
              <w:tr2bl w:val="nil"/>
            </w:tcBorders>
            <w:noWrap w:val="0"/>
            <w:vAlign w:val="center"/>
          </w:tcPr>
          <w:p w14:paraId="1B4584A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D35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7928A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75DE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2AA0C">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3F48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389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28" w:type="pct"/>
            <w:tcBorders>
              <w:top w:val="nil"/>
              <w:left w:val="single" w:color="000000" w:sz="4" w:space="0"/>
              <w:bottom w:val="single" w:color="000000" w:sz="4" w:space="0"/>
              <w:right w:val="single" w:color="000000" w:sz="4" w:space="0"/>
              <w:tl2br w:val="nil"/>
              <w:tr2bl w:val="nil"/>
            </w:tcBorders>
            <w:noWrap w:val="0"/>
            <w:vAlign w:val="center"/>
          </w:tcPr>
          <w:p w14:paraId="57B68F1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9F3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F935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整体</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目标</w:t>
            </w:r>
          </w:p>
        </w:tc>
        <w:tc>
          <w:tcPr>
            <w:tcW w:w="309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DE9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年度目标</w:t>
            </w:r>
          </w:p>
        </w:tc>
        <w:tc>
          <w:tcPr>
            <w:tcW w:w="15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99E5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完成情况</w:t>
            </w:r>
          </w:p>
        </w:tc>
      </w:tr>
      <w:tr w14:paraId="5434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5767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9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BC3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贷款贴息500万，在全区干民生实事500万，硬化道路7.1公里，整治山坪塘3口，安装喷灌管道8.2公里等。</w:t>
            </w:r>
          </w:p>
        </w:tc>
        <w:tc>
          <w:tcPr>
            <w:tcW w:w="156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55A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贷款贴息500万，在全区干民生实事500万，硬化道路7.1公里，整治山坪塘3口，安装喷灌管道8.2公里等。</w:t>
            </w:r>
          </w:p>
        </w:tc>
      </w:tr>
      <w:tr w14:paraId="0EDA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1BF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部门整体绩效指标</w:t>
            </w:r>
          </w:p>
        </w:tc>
        <w:tc>
          <w:tcPr>
            <w:tcW w:w="4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A795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596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135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6CA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0F9F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2BF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728" w:type="pct"/>
            <w:tcBorders>
              <w:top w:val="nil"/>
              <w:left w:val="nil"/>
              <w:bottom w:val="nil"/>
              <w:right w:val="single" w:color="000000" w:sz="4" w:space="0"/>
              <w:tl2br w:val="nil"/>
              <w:tr2bl w:val="nil"/>
            </w:tcBorders>
            <w:noWrap w:val="0"/>
            <w:vAlign w:val="center"/>
          </w:tcPr>
          <w:p w14:paraId="7E4BACE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353B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0088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777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62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34A9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77A861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C32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贷款贴息</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9C9BF">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500万</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E9FA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500万</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8AF7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6A21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BDB9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10EF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2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89FE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4E97B0B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5970D">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硬化道路</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16F20">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7.1公里</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1862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7.1公里</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5F47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270C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3890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5B31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2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211D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019E9CD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FECB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整治山坪塘</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66FA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3口</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8908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3口</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487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6362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A79E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66B0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2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894D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37A8A1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F46E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安装喷灌管道</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626E1">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8.2公里</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D6F75">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8.2公里</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BBA0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0541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A65A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6436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4CD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0DE276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781C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项目质量合格率</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0A35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148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671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0A03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F446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7950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F346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2553D57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DA8B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项目完工及时率</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699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A2A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BF9E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7126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1895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28FB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5E5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1D2653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CF0C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投入资金</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2854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1336万</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0CC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1336万</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42DF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5426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47C6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6C5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622" w:type="pct"/>
            <w:tcBorders>
              <w:top w:val="single" w:color="000000" w:sz="4" w:space="0"/>
              <w:left w:val="single" w:color="000000" w:sz="4" w:space="0"/>
              <w:bottom w:val="nil"/>
              <w:right w:val="single" w:color="000000" w:sz="4" w:space="0"/>
              <w:tl2br w:val="nil"/>
              <w:tr2bl w:val="nil"/>
            </w:tcBorders>
            <w:noWrap w:val="0"/>
            <w:vAlign w:val="center"/>
          </w:tcPr>
          <w:p w14:paraId="5DC6E4A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632360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037A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带动农户增收</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4AF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≥500元</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15FE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≥500元</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784B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59AB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1A4F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A17E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22" w:type="pct"/>
            <w:tcBorders>
              <w:top w:val="single" w:color="000000" w:sz="4" w:space="0"/>
              <w:left w:val="single" w:color="000000" w:sz="4" w:space="0"/>
              <w:bottom w:val="nil"/>
              <w:right w:val="single" w:color="000000" w:sz="4" w:space="0"/>
              <w:tl2br w:val="nil"/>
              <w:tr2bl w:val="nil"/>
            </w:tcBorders>
            <w:noWrap w:val="0"/>
            <w:vAlign w:val="center"/>
          </w:tcPr>
          <w:p w14:paraId="580367B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6CA82E5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CFF6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惠及项目村脱贫人口</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3285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8A96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D350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7DD1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93DB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02A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BF0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425" w:type="pct"/>
            <w:tcBorders>
              <w:top w:val="single" w:color="000000" w:sz="4" w:space="0"/>
              <w:left w:val="single" w:color="000000" w:sz="4" w:space="0"/>
              <w:bottom w:val="single" w:color="000000" w:sz="4" w:space="0"/>
              <w:right w:val="nil"/>
              <w:tl2br w:val="nil"/>
              <w:tr2bl w:val="nil"/>
            </w:tcBorders>
            <w:noWrap w:val="0"/>
            <w:vAlign w:val="center"/>
          </w:tcPr>
          <w:p w14:paraId="79BA56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9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69EF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群众满意度</w:t>
            </w:r>
          </w:p>
        </w:tc>
        <w:tc>
          <w:tcPr>
            <w:tcW w:w="6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213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8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E588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7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DF6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bl>
    <w:p w14:paraId="3A327515">
      <w:pPr>
        <w:pStyle w:val="2"/>
        <w:spacing w:before="72" w:beforeLines="0"/>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bookmarkStart w:id="40" w:name="_Toc23394"/>
      <w:bookmarkStart w:id="41" w:name="_Toc18194"/>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附件5</w:t>
      </w:r>
      <w:bookmarkEnd w:id="40"/>
      <w:bookmarkEnd w:id="41"/>
    </w:p>
    <w:p w14:paraId="760A9CBC">
      <w:pPr>
        <w:pStyle w:val="2"/>
        <w:keepNext w:val="0"/>
        <w:keepLines w:val="0"/>
        <w:pageBreakBefore w:val="0"/>
        <w:widowControl w:val="0"/>
        <w:kinsoku/>
        <w:wordWrap/>
        <w:overflowPunct/>
        <w:topLinePunct w:val="0"/>
        <w:autoSpaceDE w:val="0"/>
        <w:autoSpaceDN w:val="0"/>
        <w:bidi w:val="0"/>
        <w:adjustRightInd/>
        <w:snapToGrid/>
        <w:spacing w:before="0" w:beforeLines="0" w:line="600" w:lineRule="exact"/>
        <w:jc w:val="center"/>
        <w:textAlignment w:val="auto"/>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t>广元市昭化区2023年"减负赋能、助力乡村振兴”</w:t>
      </w:r>
    </w:p>
    <w:p w14:paraId="171F080A">
      <w:pPr>
        <w:pStyle w:val="2"/>
        <w:keepNext w:val="0"/>
        <w:keepLines w:val="0"/>
        <w:pageBreakBefore w:val="0"/>
        <w:widowControl w:val="0"/>
        <w:kinsoku/>
        <w:wordWrap/>
        <w:overflowPunct/>
        <w:topLinePunct w:val="0"/>
        <w:autoSpaceDE w:val="0"/>
        <w:autoSpaceDN w:val="0"/>
        <w:bidi w:val="0"/>
        <w:adjustRightInd/>
        <w:snapToGrid/>
        <w:spacing w:before="0" w:beforeLines="0" w:line="600" w:lineRule="exact"/>
        <w:jc w:val="center"/>
        <w:textAlignment w:val="auto"/>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t>贷款贴息资金</w:t>
      </w:r>
      <w:r>
        <w:rPr>
          <w:rFonts w:hint="default" w:ascii="Times New Roman" w:hAnsi="Times New Roman" w:eastAsia="方正小标宋简体" w:cs="Times New Roman"/>
          <w:b w:val="0"/>
          <w:bCs w:val="0"/>
          <w:color w:val="000000" w:themeColor="text1"/>
          <w:kern w:val="2"/>
          <w:sz w:val="40"/>
          <w:szCs w:val="40"/>
          <w:lang w:val="en-US" w:eastAsia="zh-CN" w:bidi="ar-SA"/>
          <w14:textFill>
            <w14:solidFill>
              <w14:schemeClr w14:val="tx1"/>
            </w14:solidFill>
          </w14:textFill>
        </w:rPr>
        <w:t>项目</w:t>
      </w:r>
      <w:r>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t>支出绩效自评表</w:t>
      </w:r>
    </w:p>
    <w:p w14:paraId="2FF0FE75">
      <w:pPr>
        <w:pStyle w:val="2"/>
        <w:spacing w:before="72" w:beforeLines="0"/>
        <w:ind w:firstLine="3840" w:firstLineChars="1600"/>
        <w:rPr>
          <w:rFonts w:hint="default" w:ascii="Times New Roman" w:hAnsi="Times New Roman" w:eastAsia="方正小标宋简体" w:cs="Times New Roman"/>
          <w:b w:val="0"/>
          <w:bCs w:val="0"/>
          <w:color w:val="000000" w:themeColor="text1"/>
          <w:kern w:val="2"/>
          <w:sz w:val="40"/>
          <w:szCs w:val="40"/>
          <w:lang w:bidi="ar-SA"/>
          <w14:textFill>
            <w14:solidFill>
              <w14:schemeClr w14:val="tx1"/>
            </w14:solidFill>
          </w14:textFill>
        </w:rPr>
      </w:pPr>
      <w:r>
        <w:rPr>
          <w:rFonts w:hint="default" w:ascii="Times New Roman" w:hAnsi="Times New Roman" w:cs="Times New Roman"/>
          <w:b w:val="0"/>
          <w:bCs w:val="0"/>
          <w:color w:val="000000" w:themeColor="text1"/>
          <w:kern w:val="2"/>
          <w:sz w:val="24"/>
          <w:szCs w:val="24"/>
          <w14:textFill>
            <w14:solidFill>
              <w14:schemeClr w14:val="tx1"/>
            </w14:solidFill>
          </w14:textFill>
        </w:rPr>
        <w:t>（2023年度）</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787"/>
        <w:gridCol w:w="1037"/>
        <w:gridCol w:w="1049"/>
        <w:gridCol w:w="1653"/>
        <w:gridCol w:w="1279"/>
        <w:gridCol w:w="1216"/>
        <w:gridCol w:w="1755"/>
      </w:tblGrid>
      <w:tr w14:paraId="69C9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3D09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415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B76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"减负赋能、助力乡村振兴”贷款贴息资金</w:t>
            </w:r>
          </w:p>
        </w:tc>
      </w:tr>
      <w:tr w14:paraId="197A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F12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19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C6F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广元市昭化区乡村振兴局</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52A7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1544"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E1DA991">
            <w:pPr>
              <w:widowControl/>
              <w:jc w:val="center"/>
              <w:textAlignment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相关村</w:t>
            </w:r>
          </w:p>
        </w:tc>
      </w:tr>
      <w:tr w14:paraId="25E0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4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973C4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108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0E4B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8A22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B72C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65AE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9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A788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7142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4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E16F0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7DA12">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EB77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246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FCB3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912" w:type="pct"/>
            <w:tcBorders>
              <w:top w:val="nil"/>
              <w:left w:val="single" w:color="000000" w:sz="4" w:space="0"/>
              <w:bottom w:val="single" w:color="000000" w:sz="4" w:space="0"/>
              <w:right w:val="single" w:color="000000" w:sz="4" w:space="0"/>
              <w:tl2br w:val="nil"/>
              <w:tr2bl w:val="nil"/>
            </w:tcBorders>
            <w:noWrap w:val="0"/>
            <w:vAlign w:val="center"/>
          </w:tcPr>
          <w:p w14:paraId="316527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EDA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4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FBF4F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6C07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9586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62F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E26B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912" w:type="pct"/>
            <w:tcBorders>
              <w:top w:val="nil"/>
              <w:left w:val="single" w:color="000000" w:sz="4" w:space="0"/>
              <w:bottom w:val="single" w:color="000000" w:sz="4" w:space="0"/>
              <w:right w:val="single" w:color="000000" w:sz="4" w:space="0"/>
              <w:tl2br w:val="nil"/>
              <w:tr2bl w:val="nil"/>
            </w:tcBorders>
            <w:noWrap w:val="0"/>
            <w:vAlign w:val="center"/>
          </w:tcPr>
          <w:p w14:paraId="77C20B3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E71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4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CC3EB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18FB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84FE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94B6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100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w:t>
            </w:r>
          </w:p>
        </w:tc>
        <w:tc>
          <w:tcPr>
            <w:tcW w:w="912" w:type="pct"/>
            <w:tcBorders>
              <w:top w:val="nil"/>
              <w:left w:val="single" w:color="000000" w:sz="4" w:space="0"/>
              <w:bottom w:val="single" w:color="000000" w:sz="4" w:space="0"/>
              <w:right w:val="single" w:color="000000" w:sz="4" w:space="0"/>
              <w:tl2br w:val="nil"/>
              <w:tr2bl w:val="nil"/>
            </w:tcBorders>
            <w:noWrap w:val="0"/>
            <w:vAlign w:val="center"/>
          </w:tcPr>
          <w:p w14:paraId="7CA2362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AB4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4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B2A781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9150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A0F45">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F3B7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3779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12" w:type="pct"/>
            <w:tcBorders>
              <w:top w:val="nil"/>
              <w:left w:val="single" w:color="000000" w:sz="4" w:space="0"/>
              <w:bottom w:val="single" w:color="000000" w:sz="4" w:space="0"/>
              <w:right w:val="single" w:color="000000" w:sz="4" w:space="0"/>
              <w:tl2br w:val="nil"/>
              <w:tr2bl w:val="nil"/>
            </w:tcBorders>
            <w:noWrap w:val="0"/>
            <w:vAlign w:val="center"/>
          </w:tcPr>
          <w:p w14:paraId="3233D5C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E5C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4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C9D416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96C1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3B472">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D5A7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5B94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12" w:type="pct"/>
            <w:tcBorders>
              <w:top w:val="nil"/>
              <w:left w:val="single" w:color="000000" w:sz="4" w:space="0"/>
              <w:bottom w:val="single" w:color="000000" w:sz="4" w:space="0"/>
              <w:right w:val="single" w:color="000000" w:sz="4" w:space="0"/>
              <w:tl2br w:val="nil"/>
              <w:tr2bl w:val="nil"/>
            </w:tcBorders>
            <w:noWrap w:val="0"/>
            <w:vAlign w:val="center"/>
          </w:tcPr>
          <w:p w14:paraId="730B543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00E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4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4A3E8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821F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C72BD">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635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BC06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12" w:type="pct"/>
            <w:tcBorders>
              <w:top w:val="nil"/>
              <w:left w:val="single" w:color="000000" w:sz="4" w:space="0"/>
              <w:bottom w:val="single" w:color="000000" w:sz="4" w:space="0"/>
              <w:right w:val="single" w:color="000000" w:sz="4" w:space="0"/>
              <w:tl2br w:val="nil"/>
              <w:tr2bl w:val="nil"/>
            </w:tcBorders>
            <w:noWrap w:val="0"/>
            <w:vAlign w:val="center"/>
          </w:tcPr>
          <w:p w14:paraId="17D5227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987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1DE4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整体</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目标</w:t>
            </w:r>
          </w:p>
        </w:tc>
        <w:tc>
          <w:tcPr>
            <w:tcW w:w="301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3F6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年度目标</w:t>
            </w:r>
          </w:p>
        </w:tc>
        <w:tc>
          <w:tcPr>
            <w:tcW w:w="154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B1C3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完成情况</w:t>
            </w:r>
          </w:p>
        </w:tc>
      </w:tr>
      <w:tr w14:paraId="11EF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1131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1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44E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在全区对符合条件的农业经营主体补贴贷款利息。</w:t>
            </w:r>
          </w:p>
        </w:tc>
        <w:tc>
          <w:tcPr>
            <w:tcW w:w="154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EF5A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在全区对符合条件的农业经营主体补贴贷款利息。</w:t>
            </w:r>
          </w:p>
        </w:tc>
      </w:tr>
      <w:tr w14:paraId="7B4F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4243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部门整体绩效指标</w:t>
            </w:r>
          </w:p>
        </w:tc>
        <w:tc>
          <w:tcPr>
            <w:tcW w:w="4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980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5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914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140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B72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F70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6E96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912" w:type="pct"/>
            <w:tcBorders>
              <w:top w:val="nil"/>
              <w:left w:val="nil"/>
              <w:bottom w:val="nil"/>
              <w:right w:val="single" w:color="000000" w:sz="4" w:space="0"/>
              <w:tl2br w:val="nil"/>
              <w:tr2bl w:val="nil"/>
            </w:tcBorders>
            <w:noWrap w:val="0"/>
            <w:vAlign w:val="center"/>
          </w:tcPr>
          <w:p w14:paraId="01AE943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4357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4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CFB6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0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862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5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25A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545" w:type="pct"/>
            <w:tcBorders>
              <w:top w:val="single" w:color="000000" w:sz="4" w:space="0"/>
              <w:left w:val="single" w:color="000000" w:sz="4" w:space="0"/>
              <w:bottom w:val="single" w:color="000000" w:sz="4" w:space="0"/>
              <w:right w:val="nil"/>
              <w:tl2br w:val="nil"/>
              <w:tr2bl w:val="nil"/>
            </w:tcBorders>
            <w:noWrap w:val="0"/>
            <w:vAlign w:val="center"/>
          </w:tcPr>
          <w:p w14:paraId="3D54594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F18D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贷款贴息</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AAD5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400万</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37D7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400万</w:t>
            </w:r>
          </w:p>
        </w:tc>
        <w:tc>
          <w:tcPr>
            <w:tcW w:w="9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E370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19E2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4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6CE4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0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5537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98D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545" w:type="pct"/>
            <w:tcBorders>
              <w:top w:val="single" w:color="000000" w:sz="4" w:space="0"/>
              <w:left w:val="single" w:color="000000" w:sz="4" w:space="0"/>
              <w:bottom w:val="single" w:color="000000" w:sz="4" w:space="0"/>
              <w:right w:val="nil"/>
              <w:tl2br w:val="nil"/>
              <w:tr2bl w:val="nil"/>
            </w:tcBorders>
            <w:noWrap w:val="0"/>
            <w:vAlign w:val="center"/>
          </w:tcPr>
          <w:p w14:paraId="3418848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ABBBD">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贴息合格率</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3756B">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CE89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9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E4D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01CE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4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E6F7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0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366E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AA0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545" w:type="pct"/>
            <w:tcBorders>
              <w:top w:val="single" w:color="000000" w:sz="4" w:space="0"/>
              <w:left w:val="single" w:color="000000" w:sz="4" w:space="0"/>
              <w:bottom w:val="single" w:color="000000" w:sz="4" w:space="0"/>
              <w:right w:val="nil"/>
              <w:tl2br w:val="nil"/>
              <w:tr2bl w:val="nil"/>
            </w:tcBorders>
            <w:noWrap w:val="0"/>
            <w:vAlign w:val="center"/>
          </w:tcPr>
          <w:p w14:paraId="06FE03D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E8335">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项目完工及时率</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6EB2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51A09">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9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957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291C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4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6E73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0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D542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0CB3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545" w:type="pct"/>
            <w:tcBorders>
              <w:top w:val="single" w:color="000000" w:sz="4" w:space="0"/>
              <w:left w:val="single" w:color="000000" w:sz="4" w:space="0"/>
              <w:bottom w:val="single" w:color="000000" w:sz="4" w:space="0"/>
              <w:right w:val="nil"/>
              <w:tl2br w:val="nil"/>
              <w:tr2bl w:val="nil"/>
            </w:tcBorders>
            <w:noWrap w:val="0"/>
            <w:vAlign w:val="center"/>
          </w:tcPr>
          <w:p w14:paraId="0BB377C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A0EF1">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投入财政资金</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592D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400万</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59F9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400万</w:t>
            </w:r>
          </w:p>
        </w:tc>
        <w:tc>
          <w:tcPr>
            <w:tcW w:w="9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EFC8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2908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4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ACE2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6772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539" w:type="pct"/>
            <w:tcBorders>
              <w:top w:val="single" w:color="000000" w:sz="4" w:space="0"/>
              <w:left w:val="single" w:color="000000" w:sz="4" w:space="0"/>
              <w:bottom w:val="nil"/>
              <w:right w:val="single" w:color="000000" w:sz="4" w:space="0"/>
              <w:tl2br w:val="nil"/>
              <w:tr2bl w:val="nil"/>
            </w:tcBorders>
            <w:noWrap w:val="0"/>
            <w:vAlign w:val="center"/>
          </w:tcPr>
          <w:p w14:paraId="4648603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545" w:type="pct"/>
            <w:tcBorders>
              <w:top w:val="single" w:color="000000" w:sz="4" w:space="0"/>
              <w:left w:val="single" w:color="000000" w:sz="4" w:space="0"/>
              <w:bottom w:val="single" w:color="000000" w:sz="4" w:space="0"/>
              <w:right w:val="nil"/>
              <w:tl2br w:val="nil"/>
              <w:tr2bl w:val="nil"/>
            </w:tcBorders>
            <w:noWrap w:val="0"/>
            <w:vAlign w:val="center"/>
          </w:tcPr>
          <w:p w14:paraId="04E687C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6B9CC">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带动农户增收</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FE8E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≥600元</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58413">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≥600元</w:t>
            </w:r>
          </w:p>
        </w:tc>
        <w:tc>
          <w:tcPr>
            <w:tcW w:w="9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823B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r w14:paraId="5C00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D5E9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B69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5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A97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545" w:type="pct"/>
            <w:tcBorders>
              <w:top w:val="single" w:color="000000" w:sz="4" w:space="0"/>
              <w:left w:val="single" w:color="000000" w:sz="4" w:space="0"/>
              <w:bottom w:val="single" w:color="000000" w:sz="4" w:space="0"/>
              <w:right w:val="nil"/>
              <w:tl2br w:val="nil"/>
              <w:tr2bl w:val="nil"/>
            </w:tcBorders>
            <w:noWrap w:val="0"/>
            <w:vAlign w:val="center"/>
          </w:tcPr>
          <w:p w14:paraId="27F51B9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8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C4379">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群众满意度</w:t>
            </w:r>
          </w:p>
        </w:tc>
        <w:tc>
          <w:tcPr>
            <w:tcW w:w="6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6D71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≥95%</w:t>
            </w:r>
          </w:p>
        </w:tc>
        <w:tc>
          <w:tcPr>
            <w:tcW w:w="6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D066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≥95%</w:t>
            </w:r>
          </w:p>
        </w:tc>
        <w:tc>
          <w:tcPr>
            <w:tcW w:w="9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48A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无偏差</w:t>
            </w:r>
          </w:p>
        </w:tc>
      </w:tr>
    </w:tbl>
    <w:p w14:paraId="60A2D413">
      <w:pPr>
        <w:pStyle w:val="2"/>
        <w:spacing w:before="72" w:beforeLines="0"/>
        <w:rPr>
          <w:rFonts w:hint="default" w:ascii="Times New Roman" w:hAnsi="Times New Roman" w:cs="Times New Roman"/>
          <w:b w:val="0"/>
          <w:bCs w:val="0"/>
          <w:color w:val="000000" w:themeColor="text1"/>
          <w:kern w:val="2"/>
          <w:sz w:val="24"/>
          <w:szCs w:val="24"/>
          <w14:textFill>
            <w14:solidFill>
              <w14:schemeClr w14:val="tx1"/>
            </w14:solidFill>
          </w14:textFill>
        </w:rPr>
      </w:pPr>
      <w:r>
        <w:rPr>
          <w:rFonts w:hint="default" w:ascii="Times New Roman" w:hAnsi="Times New Roman" w:cs="Times New Roman"/>
          <w:b w:val="0"/>
          <w:bCs w:val="0"/>
          <w:color w:val="000000" w:themeColor="text1"/>
          <w:kern w:val="2"/>
          <w:sz w:val="32"/>
          <w:szCs w:val="24"/>
          <w14:textFill>
            <w14:solidFill>
              <w14:schemeClr w14:val="tx1"/>
            </w14:solidFill>
          </w14:textFill>
        </w:rPr>
        <w:t xml:space="preserve">                        </w:t>
      </w:r>
    </w:p>
    <w:p w14:paraId="5DE1B540">
      <w:pPr>
        <w:overflowPunct w:val="0"/>
        <w:topLinePunct/>
        <w:spacing w:line="576" w:lineRule="exact"/>
        <w:jc w:val="center"/>
        <w:outlineLvl w:val="0"/>
        <w:rPr>
          <w:rFonts w:hint="default" w:ascii="Times New Roman" w:hAnsi="Times New Roman" w:eastAsia="黑体" w:cs="Times New Roman"/>
          <w:b w:val="0"/>
          <w:bCs w:val="0"/>
          <w:color w:val="000000" w:themeColor="text1"/>
          <w:kern w:val="2"/>
          <w:sz w:val="44"/>
          <w:szCs w:val="24"/>
          <w14:textFill>
            <w14:solidFill>
              <w14:schemeClr w14:val="tx1"/>
            </w14:solidFill>
          </w14:textFill>
        </w:rPr>
        <w:sectPr>
          <w:pgSz w:w="12240" w:h="15840"/>
          <w:pgMar w:top="1440" w:right="1417" w:bottom="1440" w:left="1417" w:header="720" w:footer="1134" w:gutter="0"/>
          <w:lnNumType w:countBy="0" w:distance="360"/>
          <w:pgNumType w:fmt="decimal"/>
          <w:cols w:space="0" w:num="1"/>
          <w:rtlGutter w:val="0"/>
          <w:docGrid w:linePitch="0" w:charSpace="0"/>
        </w:sectPr>
      </w:pPr>
      <w:bookmarkStart w:id="42" w:name="_Toc23129"/>
    </w:p>
    <w:p w14:paraId="2E0BEA3E">
      <w:pPr>
        <w:pStyle w:val="2"/>
        <w:rPr>
          <w:rFonts w:hint="default"/>
        </w:rPr>
      </w:pPr>
    </w:p>
    <w:p w14:paraId="4FD13CED">
      <w:pPr>
        <w:overflowPunct w:val="0"/>
        <w:topLinePunct/>
        <w:spacing w:line="576" w:lineRule="exact"/>
        <w:jc w:val="center"/>
        <w:outlineLvl w:val="0"/>
        <w:rPr>
          <w:rFonts w:hint="eastAsia" w:ascii="方正小标宋简体" w:hAnsi="方正小标宋简体" w:eastAsia="方正小标宋简体" w:cs="方正小标宋简体"/>
          <w:b w:val="0"/>
          <w:bCs w:val="0"/>
          <w:color w:val="000000" w:themeColor="text1"/>
          <w:kern w:val="44"/>
          <w:sz w:val="44"/>
          <w:szCs w:val="24"/>
          <w14:textFill>
            <w14:solidFill>
              <w14:schemeClr w14:val="tx1"/>
            </w14:solidFill>
          </w14:textFill>
        </w:rPr>
      </w:pPr>
      <w:bookmarkStart w:id="43" w:name="_Toc26341"/>
      <w:r>
        <w:rPr>
          <w:rFonts w:hint="eastAsia" w:ascii="方正小标宋简体" w:hAnsi="方正小标宋简体" w:eastAsia="方正小标宋简体" w:cs="方正小标宋简体"/>
          <w:b w:val="0"/>
          <w:bCs w:val="0"/>
          <w:color w:val="000000" w:themeColor="text1"/>
          <w:kern w:val="2"/>
          <w:sz w:val="44"/>
          <w:szCs w:val="24"/>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kern w:val="44"/>
          <w:sz w:val="44"/>
          <w:szCs w:val="24"/>
          <w14:textFill>
            <w14:solidFill>
              <w14:schemeClr w14:val="tx1"/>
            </w14:solidFill>
          </w14:textFill>
        </w:rPr>
        <w:t>五部分 附表</w:t>
      </w:r>
      <w:bookmarkEnd w:id="42"/>
      <w:bookmarkEnd w:id="43"/>
    </w:p>
    <w:p w14:paraId="09451AC2">
      <w:pPr>
        <w:pStyle w:val="2"/>
        <w:spacing w:before="72" w:beforeLines="0"/>
        <w:rPr>
          <w:rFonts w:hint="default" w:ascii="Times New Roman" w:hAnsi="Times New Roman" w:cs="Times New Roman"/>
          <w:b w:val="0"/>
          <w:bCs w:val="0"/>
          <w:color w:val="000000" w:themeColor="text1"/>
          <w:sz w:val="30"/>
          <w:szCs w:val="24"/>
          <w14:textFill>
            <w14:solidFill>
              <w14:schemeClr w14:val="tx1"/>
            </w14:solidFill>
          </w14:textFill>
        </w:rPr>
      </w:pPr>
    </w:p>
    <w:p w14:paraId="6E4936FA">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44" w:name="_Toc2896"/>
      <w:bookmarkStart w:id="45" w:name="_Toc14967"/>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一、收入支出决算总表</w:t>
      </w:r>
      <w:bookmarkEnd w:id="44"/>
      <w:bookmarkEnd w:id="45"/>
    </w:p>
    <w:p w14:paraId="7E92AAF0">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46" w:name="_Toc16144"/>
      <w:bookmarkStart w:id="47" w:name="_Toc5573"/>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二、收入决算表</w:t>
      </w:r>
      <w:bookmarkEnd w:id="46"/>
      <w:bookmarkEnd w:id="47"/>
    </w:p>
    <w:p w14:paraId="6C33AFF3">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48" w:name="_Toc10764"/>
      <w:bookmarkStart w:id="49" w:name="_Toc27018"/>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三、支出决算表</w:t>
      </w:r>
      <w:bookmarkEnd w:id="48"/>
      <w:bookmarkEnd w:id="49"/>
    </w:p>
    <w:p w14:paraId="68128812">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50" w:name="_Toc29501"/>
      <w:bookmarkStart w:id="51" w:name="_Toc23220"/>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四、财政拨款收入支出决算总表</w:t>
      </w:r>
      <w:bookmarkEnd w:id="50"/>
      <w:bookmarkEnd w:id="51"/>
    </w:p>
    <w:p w14:paraId="43E25841">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52" w:name="_Toc8211"/>
      <w:bookmarkStart w:id="53" w:name="_Toc27598"/>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五、财政拨款支出决算明细表</w:t>
      </w:r>
      <w:bookmarkEnd w:id="52"/>
      <w:bookmarkEnd w:id="53"/>
    </w:p>
    <w:p w14:paraId="1B3C7C81">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54" w:name="_Toc4873"/>
      <w:bookmarkStart w:id="55" w:name="_Toc1374"/>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六、一般公共预算财政拨款支出决算表</w:t>
      </w:r>
      <w:bookmarkEnd w:id="54"/>
      <w:bookmarkEnd w:id="55"/>
    </w:p>
    <w:p w14:paraId="4A565B57">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56" w:name="_Toc17143"/>
      <w:bookmarkStart w:id="57" w:name="_Toc13507"/>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七、一般公共预算财政拨款支出决算明细表</w:t>
      </w:r>
      <w:bookmarkEnd w:id="56"/>
      <w:bookmarkEnd w:id="57"/>
    </w:p>
    <w:p w14:paraId="6BCA8510">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58" w:name="_Toc22705"/>
      <w:bookmarkStart w:id="59" w:name="_Toc27334"/>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八、一般公共预算财政拨款基本支出决算表</w:t>
      </w:r>
      <w:bookmarkEnd w:id="58"/>
      <w:bookmarkEnd w:id="59"/>
    </w:p>
    <w:p w14:paraId="4BA52414">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60" w:name="_Toc10019"/>
      <w:bookmarkStart w:id="61" w:name="_Toc4822"/>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九、一般公共预算财政拨款项目支出决算表</w:t>
      </w:r>
      <w:bookmarkEnd w:id="60"/>
      <w:bookmarkEnd w:id="61"/>
    </w:p>
    <w:p w14:paraId="5C2D426F">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62" w:name="_Toc10579"/>
      <w:bookmarkStart w:id="63" w:name="_Toc23387"/>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十、政府性基金预算财政拨款收入支出决算表</w:t>
      </w:r>
      <w:bookmarkEnd w:id="62"/>
      <w:bookmarkEnd w:id="63"/>
    </w:p>
    <w:p w14:paraId="01A4984B">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64" w:name="_Toc13499"/>
      <w:bookmarkStart w:id="65" w:name="_Toc13062"/>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十一、国有资本经营预算财政拨款收入支出决算表</w:t>
      </w:r>
      <w:bookmarkEnd w:id="64"/>
      <w:bookmarkEnd w:id="65"/>
    </w:p>
    <w:p w14:paraId="4EF2FE7D">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66" w:name="_Toc2164"/>
      <w:bookmarkStart w:id="67" w:name="_Toc734"/>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十二、国有资本经营预算财政拨款支出决算表</w:t>
      </w:r>
      <w:bookmarkEnd w:id="66"/>
      <w:bookmarkEnd w:id="67"/>
    </w:p>
    <w:p w14:paraId="0FDFBC3C">
      <w:pPr>
        <w:overflowPunct w:val="0"/>
        <w:topLinePunct/>
        <w:spacing w:line="576" w:lineRule="exact"/>
        <w:ind w:firstLine="640" w:firstLineChars="200"/>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68" w:name="_Toc3890"/>
      <w:bookmarkStart w:id="69" w:name="_Toc26605"/>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十三、财政拨款“三公”经费支出决算表</w:t>
      </w:r>
      <w:bookmarkEnd w:id="68"/>
      <w:bookmarkEnd w:id="69"/>
    </w:p>
    <w:p w14:paraId="380E1772">
      <w:pPr>
        <w:overflowPunct w:val="0"/>
        <w:topLinePunct/>
        <w:spacing w:line="576" w:lineRule="exact"/>
        <w:ind w:firstLine="600" w:firstLineChars="200"/>
        <w:jc w:val="both"/>
        <w:outlineLvl w:val="1"/>
        <w:rPr>
          <w:rFonts w:hint="default" w:ascii="Times New Roman" w:hAnsi="Times New Roman" w:eastAsia="方正小标宋简体" w:cs="Times New Roman"/>
          <w:b w:val="0"/>
          <w:bCs w:val="0"/>
          <w:color w:val="000000" w:themeColor="text1"/>
          <w:kern w:val="2"/>
          <w:sz w:val="30"/>
          <w:szCs w:val="24"/>
          <w14:textFill>
            <w14:solidFill>
              <w14:schemeClr w14:val="tx1"/>
            </w14:solidFill>
          </w14:textFill>
        </w:rPr>
      </w:pPr>
    </w:p>
    <w:sectPr>
      <w:pgSz w:w="12240" w:h="15840"/>
      <w:pgMar w:top="2098" w:right="1474" w:bottom="1984" w:left="1587" w:header="720" w:footer="1134" w:gutter="0"/>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FB1900-DC45-428E-8D40-65144B50CC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15D7D20-9646-47D3-B46E-98017C428D98}"/>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90D97648-3860-4685-A880-99D53DE0C536}"/>
  </w:font>
  <w:font w:name="Cambria">
    <w:panose1 w:val="02040503050406030204"/>
    <w:charset w:val="00"/>
    <w:family w:val="roman"/>
    <w:pitch w:val="default"/>
    <w:sig w:usb0="E00006FF" w:usb1="420024FF" w:usb2="02000000" w:usb3="00000000" w:csb0="2000019F" w:csb1="00000000"/>
    <w:embedRegular r:id="rId4" w:fontKey="{53B74712-0696-4642-86FE-D2B8E3FCFFEE}"/>
  </w:font>
  <w:font w:name="方正小标宋简体">
    <w:panose1 w:val="02000000000000000000"/>
    <w:charset w:val="86"/>
    <w:family w:val="auto"/>
    <w:pitch w:val="default"/>
    <w:sig w:usb0="00000001" w:usb1="08000000" w:usb2="00000000" w:usb3="00000000" w:csb0="00040000" w:csb1="00000000"/>
    <w:embedRegular r:id="rId5" w:fontKey="{32055317-C79F-464F-9A10-356220F12A0F}"/>
  </w:font>
  <w:font w:name="楷体_GB2312">
    <w:panose1 w:val="02010609030101010101"/>
    <w:charset w:val="86"/>
    <w:family w:val="modern"/>
    <w:pitch w:val="default"/>
    <w:sig w:usb0="00000001" w:usb1="080E0000" w:usb2="00000000" w:usb3="00000000" w:csb0="00040000" w:csb1="00000000"/>
    <w:embedRegular r:id="rId6" w:fontKey="{72A153A3-0212-4E6E-95D5-DADCED003E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D1E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6C23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AD6C23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84D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F6556">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CF6556">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0573D68"/>
    <w:rsid w:val="01307410"/>
    <w:rsid w:val="07142854"/>
    <w:rsid w:val="07D36291"/>
    <w:rsid w:val="09542146"/>
    <w:rsid w:val="09F2225F"/>
    <w:rsid w:val="0FD74666"/>
    <w:rsid w:val="14103A0E"/>
    <w:rsid w:val="16151694"/>
    <w:rsid w:val="186F03FC"/>
    <w:rsid w:val="1BAA139E"/>
    <w:rsid w:val="1D9427CE"/>
    <w:rsid w:val="2ABD1E1C"/>
    <w:rsid w:val="2C6D1C54"/>
    <w:rsid w:val="33DE63DD"/>
    <w:rsid w:val="35F8466F"/>
    <w:rsid w:val="364B3B6A"/>
    <w:rsid w:val="4258464E"/>
    <w:rsid w:val="43105D6C"/>
    <w:rsid w:val="433429C6"/>
    <w:rsid w:val="462E3083"/>
    <w:rsid w:val="465A5EB6"/>
    <w:rsid w:val="4AC506F8"/>
    <w:rsid w:val="4C615B38"/>
    <w:rsid w:val="4CEA0599"/>
    <w:rsid w:val="4D780890"/>
    <w:rsid w:val="4F715EAB"/>
    <w:rsid w:val="51850C84"/>
    <w:rsid w:val="573855DD"/>
    <w:rsid w:val="580967EE"/>
    <w:rsid w:val="5F566729"/>
    <w:rsid w:val="626C4EE3"/>
    <w:rsid w:val="632F281D"/>
    <w:rsid w:val="648C40B3"/>
    <w:rsid w:val="66686067"/>
    <w:rsid w:val="671473E5"/>
    <w:rsid w:val="6B321631"/>
    <w:rsid w:val="6E582751"/>
    <w:rsid w:val="6F7716B8"/>
    <w:rsid w:val="76B824F9"/>
    <w:rsid w:val="7AD956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pPr>
    <w:rPr>
      <w:rFonts w:hint="eastAsia" w:ascii="Times New Roman" w:hAnsi="Times New Roman" w:eastAsia="宋体" w:cs="Times New Roman"/>
      <w:sz w:val="24"/>
      <w:szCs w:val="24"/>
      <w:lang w:val="en-US" w:eastAsia="zh-CN"/>
    </w:rPr>
  </w:style>
  <w:style w:type="paragraph" w:styleId="3">
    <w:name w:val="heading 1"/>
    <w:basedOn w:val="1"/>
    <w:link w:val="21"/>
    <w:unhideWhenUsed/>
    <w:qFormat/>
    <w:uiPriority w:val="99"/>
    <w:pPr>
      <w:outlineLvl w:val="0"/>
    </w:pPr>
    <w:rPr>
      <w:rFonts w:hint="eastAsia"/>
      <w:sz w:val="24"/>
      <w:szCs w:val="24"/>
    </w:rPr>
  </w:style>
  <w:style w:type="paragraph" w:styleId="4">
    <w:name w:val="heading 2"/>
    <w:basedOn w:val="1"/>
    <w:link w:val="24"/>
    <w:unhideWhenUsed/>
    <w:qFormat/>
    <w:uiPriority w:val="99"/>
    <w:pPr>
      <w:outlineLvl w:val="1"/>
    </w:pPr>
    <w:rPr>
      <w:rFonts w:hint="eastAsia"/>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link w:val="18"/>
    <w:unhideWhenUsed/>
    <w:qFormat/>
    <w:uiPriority w:val="99"/>
    <w:pPr>
      <w:spacing w:before="93" w:beforeLines="30"/>
    </w:pPr>
    <w:rPr>
      <w:rFonts w:hint="eastAsia" w:ascii="仿宋_GB2312" w:eastAsia="仿宋_GB2312"/>
      <w:sz w:val="30"/>
      <w:szCs w:val="24"/>
    </w:rPr>
  </w:style>
  <w:style w:type="paragraph" w:styleId="5">
    <w:name w:val="Body Text Indent"/>
    <w:basedOn w:val="1"/>
    <w:next w:val="6"/>
    <w:link w:val="26"/>
    <w:unhideWhenUsed/>
    <w:qFormat/>
    <w:uiPriority w:val="99"/>
    <w:pPr>
      <w:spacing w:after="120"/>
      <w:ind w:leftChars="200"/>
    </w:pPr>
    <w:rPr>
      <w:rFonts w:hint="eastAsia" w:ascii="仿宋_GB2312"/>
      <w:sz w:val="24"/>
      <w:szCs w:val="24"/>
    </w:rPr>
  </w:style>
  <w:style w:type="paragraph" w:styleId="6">
    <w:name w:val="Body Text First Indent 2"/>
    <w:basedOn w:val="5"/>
    <w:link w:val="25"/>
    <w:unhideWhenUsed/>
    <w:qFormat/>
    <w:uiPriority w:val="99"/>
    <w:pPr>
      <w:ind w:firstLine="420" w:firstLineChars="200"/>
    </w:pPr>
    <w:rPr>
      <w:rFonts w:hint="eastAsia"/>
      <w:sz w:val="24"/>
      <w:szCs w:val="24"/>
    </w:rPr>
  </w:style>
  <w:style w:type="paragraph" w:styleId="7">
    <w:name w:val="footer"/>
    <w:basedOn w:val="1"/>
    <w:link w:val="33"/>
    <w:unhideWhenUsed/>
    <w:qFormat/>
    <w:uiPriority w:val="99"/>
    <w:pPr>
      <w:tabs>
        <w:tab w:val="center" w:pos="4153"/>
        <w:tab w:val="right" w:pos="8306"/>
      </w:tabs>
      <w:snapToGrid w:val="0"/>
    </w:pPr>
    <w:rPr>
      <w:rFonts w:hint="eastAsia"/>
      <w:sz w:val="18"/>
      <w:szCs w:val="24"/>
    </w:rPr>
  </w:style>
  <w:style w:type="paragraph" w:styleId="8">
    <w:name w:val="header"/>
    <w:basedOn w:val="1"/>
    <w:link w:val="27"/>
    <w:unhideWhenUsed/>
    <w:qFormat/>
    <w:uiPriority w:val="99"/>
    <w:pPr>
      <w:pBdr>
        <w:bottom w:val="single" w:color="auto" w:sz="6" w:space="1"/>
      </w:pBdr>
      <w:tabs>
        <w:tab w:val="center" w:pos="4153"/>
        <w:tab w:val="right" w:pos="8306"/>
      </w:tabs>
      <w:snapToGrid w:val="0"/>
      <w:jc w:val="center"/>
    </w:pPr>
    <w:rPr>
      <w:rFonts w:hint="eastAsia"/>
      <w:sz w:val="18"/>
      <w:szCs w:val="24"/>
    </w:rPr>
  </w:style>
  <w:style w:type="paragraph" w:styleId="9">
    <w:name w:val="toc 1"/>
    <w:basedOn w:val="1"/>
    <w:next w:val="1"/>
    <w:qFormat/>
    <w:uiPriority w:val="99"/>
  </w:style>
  <w:style w:type="paragraph" w:styleId="10">
    <w:name w:val="footnote text"/>
    <w:basedOn w:val="1"/>
    <w:next w:val="6"/>
    <w:link w:val="17"/>
    <w:unhideWhenUsed/>
    <w:qFormat/>
    <w:uiPriority w:val="99"/>
    <w:pPr>
      <w:snapToGrid w:val="0"/>
    </w:pPr>
    <w:rPr>
      <w:rFonts w:hint="eastAsia"/>
      <w:sz w:val="18"/>
      <w:szCs w:val="24"/>
    </w:rPr>
  </w:style>
  <w:style w:type="paragraph" w:styleId="11">
    <w:name w:val="toc 2"/>
    <w:basedOn w:val="1"/>
    <w:next w:val="1"/>
    <w:qFormat/>
    <w:uiPriority w:val="99"/>
    <w:pPr>
      <w:ind w:left="420" w:leftChars="200"/>
    </w:pPr>
  </w:style>
  <w:style w:type="character" w:styleId="14">
    <w:name w:val="Strong"/>
    <w:basedOn w:val="13"/>
    <w:unhideWhenUsed/>
    <w:qFormat/>
    <w:uiPriority w:val="99"/>
    <w:rPr>
      <w:rFonts w:hint="default" w:ascii="Times New Roman" w:hAnsi="Times New Roman" w:eastAsia="宋体"/>
      <w:b/>
      <w:sz w:val="24"/>
      <w:szCs w:val="24"/>
    </w:rPr>
  </w:style>
  <w:style w:type="paragraph" w:customStyle="1" w:styleId="15">
    <w:name w:val="常用样式（方正仿宋简）"/>
    <w:basedOn w:val="1"/>
    <w:unhideWhenUsed/>
    <w:qFormat/>
    <w:uiPriority w:val="0"/>
    <w:pPr>
      <w:spacing w:line="560" w:lineRule="exact"/>
      <w:ind w:firstLine="640" w:firstLineChars="200"/>
    </w:pPr>
    <w:rPr>
      <w:rFonts w:hint="eastAsia" w:eastAsia="方正仿宋简体"/>
      <w:sz w:val="32"/>
      <w:szCs w:val="24"/>
    </w:rPr>
  </w:style>
  <w:style w:type="paragraph" w:customStyle="1" w:styleId="16">
    <w:name w:val="Default"/>
    <w:basedOn w:val="1"/>
    <w:unhideWhenUsed/>
    <w:qFormat/>
    <w:uiPriority w:val="99"/>
    <w:rPr>
      <w:rFonts w:hint="eastAsia" w:ascii="仿宋" w:hAnsi="Calibri" w:eastAsia="仿宋"/>
      <w:color w:val="000000"/>
      <w:sz w:val="24"/>
      <w:szCs w:val="24"/>
    </w:rPr>
  </w:style>
  <w:style w:type="character" w:customStyle="1" w:styleId="17">
    <w:name w:val="脚注文本 Char"/>
    <w:basedOn w:val="13"/>
    <w:link w:val="10"/>
    <w:unhideWhenUsed/>
    <w:qFormat/>
    <w:locked/>
    <w:uiPriority w:val="99"/>
    <w:rPr>
      <w:rFonts w:hint="eastAsia" w:ascii="宋体" w:hAnsi="Times New Roman" w:eastAsia="宋体"/>
      <w:sz w:val="18"/>
      <w:szCs w:val="24"/>
    </w:rPr>
  </w:style>
  <w:style w:type="character" w:customStyle="1" w:styleId="18">
    <w:name w:val="正文文本 Char"/>
    <w:basedOn w:val="13"/>
    <w:link w:val="2"/>
    <w:unhideWhenUsed/>
    <w:qFormat/>
    <w:locked/>
    <w:uiPriority w:val="99"/>
    <w:rPr>
      <w:rFonts w:hint="default" w:ascii="Times New Roman" w:hAnsi="Times New Roman" w:eastAsia="Times New Roman"/>
      <w:sz w:val="24"/>
      <w:szCs w:val="24"/>
    </w:rPr>
  </w:style>
  <w:style w:type="character" w:customStyle="1" w:styleId="19">
    <w:name w:val="页脚 Char11"/>
    <w:basedOn w:val="13"/>
    <w:unhideWhenUsed/>
    <w:qFormat/>
    <w:uiPriority w:val="99"/>
    <w:rPr>
      <w:rFonts w:hint="eastAsia" w:ascii="宋体" w:hAnsi="Times New Roman" w:eastAsia="宋体"/>
      <w:sz w:val="18"/>
      <w:szCs w:val="24"/>
    </w:rPr>
  </w:style>
  <w:style w:type="character" w:customStyle="1" w:styleId="20">
    <w:name w:val="页眉 Char1"/>
    <w:basedOn w:val="13"/>
    <w:unhideWhenUsed/>
    <w:qFormat/>
    <w:uiPriority w:val="99"/>
    <w:rPr>
      <w:rFonts w:hint="eastAsia" w:ascii="宋体" w:hAnsi="Times New Roman" w:eastAsia="宋体"/>
      <w:sz w:val="18"/>
      <w:szCs w:val="24"/>
    </w:rPr>
  </w:style>
  <w:style w:type="character" w:customStyle="1" w:styleId="21">
    <w:name w:val="标题 1 Char"/>
    <w:basedOn w:val="13"/>
    <w:link w:val="3"/>
    <w:unhideWhenUsed/>
    <w:qFormat/>
    <w:locked/>
    <w:uiPriority w:val="9"/>
    <w:rPr>
      <w:rFonts w:hint="default" w:ascii="Times New Roman" w:hAnsi="Times New Roman" w:eastAsia="Times New Roman"/>
      <w:b/>
      <w:kern w:val="44"/>
      <w:sz w:val="44"/>
      <w:szCs w:val="24"/>
    </w:rPr>
  </w:style>
  <w:style w:type="character" w:customStyle="1" w:styleId="22">
    <w:name w:val="正文文本 Char12"/>
    <w:basedOn w:val="13"/>
    <w:unhideWhenUsed/>
    <w:qFormat/>
    <w:uiPriority w:val="99"/>
    <w:rPr>
      <w:rFonts w:hint="eastAsia" w:ascii="宋体" w:hAnsi="Times New Roman" w:eastAsia="宋体"/>
      <w:sz w:val="24"/>
      <w:szCs w:val="24"/>
    </w:rPr>
  </w:style>
  <w:style w:type="character" w:customStyle="1" w:styleId="23">
    <w:name w:val="页脚 Char1"/>
    <w:basedOn w:val="13"/>
    <w:unhideWhenUsed/>
    <w:qFormat/>
    <w:uiPriority w:val="99"/>
    <w:rPr>
      <w:rFonts w:hint="eastAsia" w:ascii="宋体" w:hAnsi="Times New Roman" w:eastAsia="宋体"/>
      <w:sz w:val="18"/>
      <w:szCs w:val="24"/>
    </w:rPr>
  </w:style>
  <w:style w:type="character" w:customStyle="1" w:styleId="24">
    <w:name w:val="标题 2 Char"/>
    <w:basedOn w:val="13"/>
    <w:link w:val="4"/>
    <w:unhideWhenUsed/>
    <w:qFormat/>
    <w:locked/>
    <w:uiPriority w:val="9"/>
    <w:rPr>
      <w:rFonts w:hint="default" w:ascii="Cambria" w:hAnsi="Times New Roman" w:eastAsia="宋体"/>
      <w:b/>
      <w:sz w:val="32"/>
      <w:szCs w:val="24"/>
    </w:rPr>
  </w:style>
  <w:style w:type="character" w:customStyle="1" w:styleId="25">
    <w:name w:val="正文首行缩进 2 Char"/>
    <w:basedOn w:val="26"/>
    <w:link w:val="6"/>
    <w:unhideWhenUsed/>
    <w:qFormat/>
    <w:locked/>
    <w:uiPriority w:val="99"/>
    <w:rPr>
      <w:rFonts w:hint="eastAsia"/>
      <w:sz w:val="24"/>
      <w:szCs w:val="24"/>
    </w:rPr>
  </w:style>
  <w:style w:type="character" w:customStyle="1" w:styleId="26">
    <w:name w:val="正文文本缩进 Char"/>
    <w:basedOn w:val="13"/>
    <w:link w:val="5"/>
    <w:unhideWhenUsed/>
    <w:qFormat/>
    <w:locked/>
    <w:uiPriority w:val="99"/>
    <w:rPr>
      <w:rFonts w:hint="eastAsia" w:ascii="宋体" w:hAnsi="Times New Roman" w:eastAsia="宋体"/>
      <w:sz w:val="24"/>
      <w:szCs w:val="24"/>
    </w:rPr>
  </w:style>
  <w:style w:type="character" w:customStyle="1" w:styleId="27">
    <w:name w:val="页眉 Char"/>
    <w:basedOn w:val="13"/>
    <w:link w:val="8"/>
    <w:unhideWhenUsed/>
    <w:qFormat/>
    <w:locked/>
    <w:uiPriority w:val="99"/>
    <w:rPr>
      <w:rFonts w:hint="default" w:ascii="Times New Roman" w:hAnsi="Times New Roman" w:eastAsia="Times New Roman"/>
      <w:sz w:val="18"/>
      <w:szCs w:val="24"/>
    </w:rPr>
  </w:style>
  <w:style w:type="character" w:customStyle="1" w:styleId="28">
    <w:name w:val="正文文本 Char1"/>
    <w:basedOn w:val="13"/>
    <w:unhideWhenUsed/>
    <w:qFormat/>
    <w:uiPriority w:val="99"/>
    <w:rPr>
      <w:rFonts w:hint="eastAsia" w:ascii="宋体" w:hAnsi="Times New Roman" w:eastAsia="宋体"/>
      <w:sz w:val="24"/>
      <w:szCs w:val="24"/>
    </w:rPr>
  </w:style>
  <w:style w:type="character" w:customStyle="1" w:styleId="29">
    <w:name w:val="页眉 Char11"/>
    <w:basedOn w:val="13"/>
    <w:unhideWhenUsed/>
    <w:qFormat/>
    <w:uiPriority w:val="99"/>
    <w:rPr>
      <w:rFonts w:hint="eastAsia" w:ascii="宋体" w:hAnsi="Times New Roman" w:eastAsia="宋体"/>
      <w:sz w:val="18"/>
      <w:szCs w:val="24"/>
    </w:rPr>
  </w:style>
  <w:style w:type="character" w:customStyle="1" w:styleId="30">
    <w:name w:val="页眉 Char12"/>
    <w:basedOn w:val="13"/>
    <w:unhideWhenUsed/>
    <w:qFormat/>
    <w:uiPriority w:val="99"/>
    <w:rPr>
      <w:rFonts w:hint="eastAsia" w:ascii="宋体" w:hAnsi="Times New Roman" w:eastAsia="宋体"/>
      <w:sz w:val="18"/>
      <w:szCs w:val="24"/>
    </w:rPr>
  </w:style>
  <w:style w:type="character" w:customStyle="1" w:styleId="31">
    <w:name w:val="正文文本 Char11"/>
    <w:basedOn w:val="13"/>
    <w:unhideWhenUsed/>
    <w:qFormat/>
    <w:uiPriority w:val="99"/>
    <w:rPr>
      <w:rFonts w:hint="eastAsia" w:ascii="宋体" w:hAnsi="Times New Roman" w:eastAsia="宋体"/>
      <w:sz w:val="24"/>
      <w:szCs w:val="24"/>
    </w:rPr>
  </w:style>
  <w:style w:type="character" w:customStyle="1" w:styleId="32">
    <w:name w:val="页脚 Char12"/>
    <w:basedOn w:val="13"/>
    <w:unhideWhenUsed/>
    <w:qFormat/>
    <w:uiPriority w:val="99"/>
    <w:rPr>
      <w:rFonts w:hint="eastAsia" w:ascii="宋体" w:hAnsi="Times New Roman" w:eastAsia="宋体"/>
      <w:sz w:val="18"/>
      <w:szCs w:val="24"/>
    </w:rPr>
  </w:style>
  <w:style w:type="character" w:customStyle="1" w:styleId="33">
    <w:name w:val="页脚 Char"/>
    <w:basedOn w:val="13"/>
    <w:link w:val="7"/>
    <w:unhideWhenUsed/>
    <w:qFormat/>
    <w:locked/>
    <w:uiPriority w:val="99"/>
    <w:rPr>
      <w:rFonts w:hint="default" w:ascii="Times New Roman" w:hAnsi="Times New Roman" w:eastAsia="Times New Roman"/>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a:t>
            </a:r>
          </a:p>
        </c:rich>
      </c:tx>
      <c:layout/>
      <c:overlay val="0"/>
      <c:spPr>
        <a:noFill/>
        <a:ln>
          <a:noFill/>
        </a:ln>
        <a:effectLst/>
      </c:spPr>
    </c:title>
    <c:autoTitleDeleted val="0"/>
    <c:plotArea>
      <c:layout/>
      <c:barChart>
        <c:barDir val="col"/>
        <c:grouping val="clustered"/>
        <c:varyColors val="0"/>
        <c:ser>
          <c:idx val="0"/>
          <c:order val="0"/>
          <c:tx>
            <c:strRef>
              <c:f>[工作簿1]Sheet1!$B$1</c:f>
              <c:strCache>
                <c:ptCount val="1"/>
                <c:pt idx="0">
                  <c:v>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2022年（万元）</c:v>
                </c:pt>
                <c:pt idx="1">
                  <c:v>2023年(万元）</c:v>
                </c:pt>
              </c:strCache>
            </c:strRef>
          </c:cat>
          <c:val>
            <c:numRef>
              <c:f>[工作簿1]Sheet1!$B$2:$B$3</c:f>
              <c:numCache>
                <c:formatCode>General</c:formatCode>
                <c:ptCount val="2"/>
                <c:pt idx="0">
                  <c:v>9620.06</c:v>
                </c:pt>
                <c:pt idx="1">
                  <c:v>7480.64</c:v>
                </c:pt>
              </c:numCache>
            </c:numRef>
          </c:val>
        </c:ser>
        <c:dLbls>
          <c:showLegendKey val="0"/>
          <c:showVal val="1"/>
          <c:showCatName val="0"/>
          <c:showSerName val="0"/>
          <c:showPercent val="0"/>
          <c:showBubbleSize val="0"/>
        </c:dLbls>
        <c:gapWidth val="246"/>
        <c:overlap val="-28"/>
        <c:axId val="722199170"/>
        <c:axId val="859183813"/>
      </c:barChart>
      <c:catAx>
        <c:axId val="7221991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9183813"/>
        <c:crosses val="autoZero"/>
        <c:auto val="1"/>
        <c:lblAlgn val="ctr"/>
        <c:lblOffset val="100"/>
        <c:noMultiLvlLbl val="0"/>
      </c:catAx>
      <c:valAx>
        <c:axId val="85918381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1991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29901a-71e8-43d6-bfe7-ff058fd3613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8195</Words>
  <Characters>9157</Characters>
  <TotalTime>4</TotalTime>
  <ScaleCrop>false</ScaleCrop>
  <LinksUpToDate>false</LinksUpToDate>
  <CharactersWithSpaces>9246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2024-09-19T09:25:00Z</dcterms:created>
  <dc:creator>Administrator</dc:creator>
  <cp:lastModifiedBy>昭化融媒体</cp:lastModifiedBy>
  <dcterms:modified xsi:type="dcterms:W3CDTF">2025-03-31T08:50:22Z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5E4B74A9513B40A4AC6CF1606F56BE2E_13</vt:lpwstr>
  </property>
  <property fmtid="{D5CDD505-2E9C-101B-9397-08002B2CF9AE}" pid="4" name="KSOTemplateDocerSaveRecord">
    <vt:lpwstr>eyJoZGlkIjoiMGVhYTg4NGNkZWJkODFjNzcyZDRjM2M4Y2UzNjI5ZmUiLCJ1c2VySWQiOiI2MTE2MzEwMDYifQ==</vt:lpwstr>
  </property>
</Properties>
</file>