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09266D">
      <w:pPr>
        <w:spacing w:line="600" w:lineRule="exact"/>
        <w:jc w:val="center"/>
        <w:outlineLvl w:val="0"/>
        <w:rPr>
          <w:rFonts w:ascii="方正小标宋简体" w:hAnsi="宋体" w:eastAsia="方正小标宋简体"/>
          <w:color w:val="000000"/>
          <w:sz w:val="72"/>
          <w:szCs w:val="72"/>
        </w:rPr>
      </w:pPr>
      <w:bookmarkStart w:id="0" w:name="_Toc15306267"/>
      <w:bookmarkStart w:id="176" w:name="_GoBack"/>
      <w:bookmarkEnd w:id="176"/>
    </w:p>
    <w:p w14:paraId="23C3F1AB">
      <w:pPr>
        <w:spacing w:line="600" w:lineRule="exact"/>
        <w:jc w:val="center"/>
        <w:outlineLvl w:val="0"/>
        <w:rPr>
          <w:rFonts w:ascii="方正小标宋简体" w:hAnsi="宋体" w:eastAsia="方正小标宋简体"/>
          <w:color w:val="000000"/>
          <w:sz w:val="72"/>
          <w:szCs w:val="72"/>
        </w:rPr>
      </w:pPr>
    </w:p>
    <w:p w14:paraId="17E678EF">
      <w:pPr>
        <w:spacing w:line="600" w:lineRule="exact"/>
        <w:jc w:val="center"/>
        <w:outlineLvl w:val="0"/>
        <w:rPr>
          <w:rFonts w:ascii="方正小标宋简体" w:hAnsi="宋体" w:eastAsia="方正小标宋简体"/>
          <w:color w:val="000000"/>
          <w:sz w:val="72"/>
          <w:szCs w:val="72"/>
        </w:rPr>
      </w:pPr>
    </w:p>
    <w:p w14:paraId="78FBF83D">
      <w:pPr>
        <w:spacing w:line="600" w:lineRule="exact"/>
        <w:jc w:val="center"/>
        <w:outlineLvl w:val="0"/>
        <w:rPr>
          <w:rFonts w:ascii="方正小标宋简体" w:hAnsi="宋体" w:eastAsia="方正小标宋简体"/>
          <w:color w:val="000000"/>
          <w:sz w:val="72"/>
          <w:szCs w:val="72"/>
        </w:rPr>
      </w:pPr>
    </w:p>
    <w:p w14:paraId="5966BE90">
      <w:pPr>
        <w:adjustRightInd w:val="0"/>
        <w:snapToGrid w:val="0"/>
        <w:spacing w:line="360" w:lineRule="auto"/>
        <w:jc w:val="center"/>
        <w:outlineLvl w:val="0"/>
        <w:rPr>
          <w:rFonts w:ascii="方正小标宋简体" w:hAnsi="宋体" w:eastAsia="方正小标宋简体"/>
          <w:color w:val="000000"/>
          <w:w w:val="90"/>
          <w:sz w:val="72"/>
          <w:szCs w:val="72"/>
        </w:rPr>
      </w:pPr>
      <w:bookmarkStart w:id="1" w:name="_Toc15378441"/>
      <w:bookmarkStart w:id="2" w:name="_Toc15396597"/>
      <w:bookmarkStart w:id="3" w:name="_Toc15377193"/>
      <w:bookmarkStart w:id="4" w:name="_Toc7781"/>
      <w:bookmarkStart w:id="5" w:name="_Toc15377425"/>
      <w:bookmarkStart w:id="6" w:name="_Toc15396475"/>
      <w:bookmarkStart w:id="7" w:name="_Toc28939"/>
      <w:r>
        <w:rPr>
          <w:rFonts w:ascii="黑体" w:hAnsi="黑体" w:eastAsia="黑体"/>
          <w:color w:val="000000"/>
          <w:w w:val="90"/>
          <w:sz w:val="72"/>
          <w:szCs w:val="72"/>
        </w:rPr>
        <w:t>20</w:t>
      </w:r>
      <w:r>
        <w:rPr>
          <w:rFonts w:hint="eastAsia" w:ascii="黑体" w:hAnsi="黑体" w:eastAsia="黑体"/>
          <w:color w:val="000000"/>
          <w:w w:val="90"/>
          <w:sz w:val="72"/>
          <w:szCs w:val="72"/>
          <w:lang w:val="en-US" w:eastAsia="zh-CN"/>
        </w:rPr>
        <w:t>20</w:t>
      </w:r>
      <w:r>
        <w:rPr>
          <w:rFonts w:hint="eastAsia" w:ascii="方正小标宋简体" w:hAnsi="宋体" w:eastAsia="方正小标宋简体"/>
          <w:color w:val="000000"/>
          <w:w w:val="90"/>
          <w:sz w:val="72"/>
          <w:szCs w:val="72"/>
        </w:rPr>
        <w:t>年度</w:t>
      </w:r>
      <w:bookmarkEnd w:id="1"/>
      <w:bookmarkEnd w:id="2"/>
      <w:bookmarkEnd w:id="3"/>
      <w:bookmarkEnd w:id="4"/>
      <w:bookmarkEnd w:id="5"/>
      <w:bookmarkEnd w:id="6"/>
      <w:bookmarkEnd w:id="7"/>
    </w:p>
    <w:p w14:paraId="75D54AF4">
      <w:pPr>
        <w:adjustRightInd w:val="0"/>
        <w:snapToGrid w:val="0"/>
        <w:spacing w:line="360" w:lineRule="auto"/>
        <w:jc w:val="center"/>
        <w:outlineLvl w:val="0"/>
        <w:rPr>
          <w:rFonts w:ascii="方正小标宋简体" w:hAnsi="宋体" w:eastAsia="方正小标宋简体"/>
          <w:color w:val="000000"/>
          <w:w w:val="50"/>
          <w:sz w:val="72"/>
          <w:szCs w:val="72"/>
        </w:rPr>
      </w:pPr>
      <w:bookmarkStart w:id="8" w:name="_Toc15396598"/>
      <w:bookmarkStart w:id="9" w:name="_Toc15377194"/>
      <w:bookmarkStart w:id="10" w:name="_Toc18706"/>
      <w:bookmarkStart w:id="11" w:name="_Toc15377426"/>
      <w:bookmarkStart w:id="12" w:name="_Toc15396476"/>
      <w:bookmarkStart w:id="13" w:name="_Toc15378442"/>
      <w:bookmarkStart w:id="14" w:name="_Toc22834"/>
      <w:r>
        <w:rPr>
          <w:rFonts w:hint="eastAsia" w:ascii="方正小标宋简体" w:hAnsi="宋体" w:eastAsia="方正小标宋简体"/>
          <w:color w:val="000000"/>
          <w:w w:val="50"/>
          <w:sz w:val="72"/>
          <w:szCs w:val="72"/>
        </w:rPr>
        <w:t>四川省</w:t>
      </w:r>
      <w:bookmarkEnd w:id="0"/>
      <w:bookmarkStart w:id="15" w:name="_Toc15306268"/>
      <w:r>
        <w:rPr>
          <w:rFonts w:hint="eastAsia" w:ascii="方正小标宋简体" w:hAnsi="宋体" w:eastAsia="方正小标宋简体"/>
          <w:color w:val="000000"/>
          <w:w w:val="50"/>
          <w:sz w:val="72"/>
          <w:szCs w:val="72"/>
        </w:rPr>
        <w:t>广元市昭化区农业</w:t>
      </w:r>
      <w:r>
        <w:rPr>
          <w:rFonts w:hint="eastAsia" w:ascii="方正小标宋简体" w:hAnsi="宋体" w:eastAsia="方正小标宋简体"/>
          <w:color w:val="000000"/>
          <w:w w:val="50"/>
          <w:sz w:val="72"/>
          <w:szCs w:val="72"/>
          <w:lang w:eastAsia="zh-CN"/>
        </w:rPr>
        <w:t>农村</w:t>
      </w:r>
      <w:r>
        <w:rPr>
          <w:rFonts w:hint="eastAsia" w:ascii="方正小标宋简体" w:hAnsi="宋体" w:eastAsia="方正小标宋简体"/>
          <w:color w:val="000000"/>
          <w:w w:val="50"/>
          <w:sz w:val="72"/>
          <w:szCs w:val="72"/>
        </w:rPr>
        <w:t>局部门决算</w:t>
      </w:r>
      <w:bookmarkEnd w:id="8"/>
      <w:bookmarkEnd w:id="9"/>
      <w:bookmarkEnd w:id="10"/>
      <w:bookmarkEnd w:id="11"/>
      <w:bookmarkEnd w:id="12"/>
      <w:bookmarkEnd w:id="13"/>
      <w:bookmarkEnd w:id="14"/>
      <w:bookmarkEnd w:id="15"/>
    </w:p>
    <w:p w14:paraId="53B3078E">
      <w:pPr>
        <w:widowControl/>
        <w:jc w:val="center"/>
        <w:rPr>
          <w:rFonts w:ascii="黑体" w:hAnsi="黑体" w:eastAsia="黑体"/>
          <w:color w:val="000000"/>
          <w:sz w:val="48"/>
          <w:szCs w:val="48"/>
        </w:rPr>
      </w:pPr>
      <w:r>
        <w:rPr>
          <w:rFonts w:ascii="方正小标宋简体" w:hAnsi="宋体" w:eastAsia="方正小标宋简体"/>
          <w:color w:val="000000"/>
          <w:sz w:val="36"/>
          <w:szCs w:val="36"/>
        </w:rPr>
        <w:br w:type="page"/>
      </w:r>
      <w:r>
        <w:rPr>
          <w:rFonts w:hint="eastAsia" w:ascii="黑体" w:hAnsi="黑体" w:eastAsia="黑体"/>
          <w:color w:val="000000"/>
          <w:sz w:val="48"/>
          <w:szCs w:val="48"/>
        </w:rPr>
        <w:t>目录</w:t>
      </w:r>
    </w:p>
    <w:p w14:paraId="0D45AF16">
      <w:pPr>
        <w:widowControl/>
        <w:jc w:val="center"/>
        <w:rPr>
          <w:rFonts w:ascii="黑体" w:hAnsi="黑体" w:eastAsia="黑体" w:cstheme="minorBidi"/>
          <w:sz w:val="28"/>
          <w:szCs w:val="28"/>
        </w:rPr>
      </w:pPr>
    </w:p>
    <w:p w14:paraId="64819367">
      <w:pPr>
        <w:pStyle w:val="13"/>
      </w:pPr>
      <w:r>
        <w:rPr>
          <w:rFonts w:hint="eastAsia"/>
        </w:rPr>
        <w:t>公开时间：202</w:t>
      </w:r>
      <w:r>
        <w:rPr>
          <w:rFonts w:hint="eastAsia"/>
          <w:lang w:val="en-US" w:eastAsia="zh-CN"/>
        </w:rPr>
        <w:t>1</w:t>
      </w:r>
      <w:r>
        <w:rPr>
          <w:rFonts w:hint="eastAsia"/>
        </w:rPr>
        <w:t>年9月</w:t>
      </w:r>
      <w:r>
        <w:rPr>
          <w:rFonts w:hint="eastAsia"/>
          <w:lang w:val="en-US" w:eastAsia="zh-CN"/>
        </w:rPr>
        <w:t>30</w:t>
      </w:r>
      <w:r>
        <w:rPr>
          <w:rFonts w:hint="eastAsia"/>
        </w:rPr>
        <w:t>日</w:t>
      </w:r>
    </w:p>
    <w:p w14:paraId="3E5590AD"/>
    <w:p w14:paraId="2F6C3B5E">
      <w:pPr>
        <w:pStyle w:val="13"/>
        <w:tabs>
          <w:tab w:val="right" w:leader="dot" w:pos="8306"/>
          <w:tab w:val="clear" w:pos="8296"/>
        </w:tabs>
      </w:pPr>
      <w:r>
        <w:rPr>
          <w:rFonts w:ascii="仿宋" w:hAnsi="仿宋" w:eastAsia="仿宋"/>
          <w:color w:val="000000"/>
          <w:sz w:val="24"/>
        </w:rPr>
        <w:fldChar w:fldCharType="begin"/>
      </w:r>
      <w:r>
        <w:rPr>
          <w:rFonts w:ascii="仿宋" w:hAnsi="仿宋" w:eastAsia="仿宋"/>
          <w:color w:val="000000"/>
          <w:sz w:val="24"/>
        </w:rPr>
        <w:instrText xml:space="preserve">TOC \o "1-3" \h \u </w:instrText>
      </w:r>
      <w:r>
        <w:rPr>
          <w:rFonts w:ascii="仿宋" w:hAnsi="仿宋" w:eastAsia="仿宋"/>
          <w:color w:val="000000"/>
          <w:sz w:val="24"/>
        </w:rPr>
        <w:fldChar w:fldCharType="separate"/>
      </w:r>
    </w:p>
    <w:p w14:paraId="53B4BD59">
      <w:pPr>
        <w:pStyle w:val="13"/>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_Toc20056 </w:instrText>
      </w:r>
      <w:r>
        <w:rPr>
          <w:rFonts w:ascii="仿宋" w:hAnsi="仿宋" w:eastAsia="仿宋"/>
        </w:rPr>
        <w:fldChar w:fldCharType="separate"/>
      </w:r>
      <w:r>
        <w:rPr>
          <w:rFonts w:hint="eastAsia" w:ascii="黑体" w:hAnsi="黑体" w:eastAsia="黑体"/>
        </w:rPr>
        <w:t xml:space="preserve">第一部分 </w:t>
      </w:r>
      <w:r>
        <w:rPr>
          <w:rFonts w:hint="eastAsia" w:ascii="黑体" w:hAnsi="黑体" w:eastAsia="黑体"/>
          <w:bCs w:val="0"/>
        </w:rPr>
        <w:t>部门概况</w:t>
      </w:r>
      <w:r>
        <w:tab/>
      </w:r>
      <w:r>
        <w:fldChar w:fldCharType="begin"/>
      </w:r>
      <w:r>
        <w:instrText xml:space="preserve"> PAGEREF _Toc20056 \h </w:instrText>
      </w:r>
      <w:r>
        <w:fldChar w:fldCharType="separate"/>
      </w:r>
      <w:r>
        <w:t>4</w:t>
      </w:r>
      <w:r>
        <w:fldChar w:fldCharType="end"/>
      </w:r>
      <w:r>
        <w:rPr>
          <w:rFonts w:ascii="仿宋" w:hAnsi="仿宋" w:eastAsia="仿宋"/>
          <w:color w:val="000000"/>
        </w:rPr>
        <w:fldChar w:fldCharType="end"/>
      </w:r>
    </w:p>
    <w:p w14:paraId="00AA9CCD">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_Toc20677 </w:instrText>
      </w:r>
      <w:r>
        <w:rPr>
          <w:rFonts w:ascii="仿宋" w:hAnsi="仿宋" w:eastAsia="仿宋"/>
        </w:rPr>
        <w:fldChar w:fldCharType="separate"/>
      </w:r>
      <w:r>
        <w:rPr>
          <w:rFonts w:hint="eastAsia" w:ascii="黑体" w:hAnsi="黑体" w:eastAsia="黑体"/>
        </w:rPr>
        <w:t>一、基</w:t>
      </w:r>
      <w:r>
        <w:rPr>
          <w:rFonts w:hint="eastAsia" w:ascii="黑体" w:hAnsi="黑体" w:eastAsia="黑体"/>
          <w:bCs w:val="0"/>
        </w:rPr>
        <w:t>本职能及主要工作</w:t>
      </w:r>
      <w:r>
        <w:tab/>
      </w:r>
      <w:r>
        <w:fldChar w:fldCharType="begin"/>
      </w:r>
      <w:r>
        <w:instrText xml:space="preserve"> PAGEREF _Toc20677 \h </w:instrText>
      </w:r>
      <w:r>
        <w:fldChar w:fldCharType="separate"/>
      </w:r>
      <w:r>
        <w:t>4</w:t>
      </w:r>
      <w:r>
        <w:fldChar w:fldCharType="end"/>
      </w:r>
      <w:r>
        <w:rPr>
          <w:rFonts w:ascii="仿宋" w:hAnsi="仿宋" w:eastAsia="仿宋"/>
          <w:color w:val="000000"/>
        </w:rPr>
        <w:fldChar w:fldCharType="end"/>
      </w:r>
    </w:p>
    <w:p w14:paraId="18832A4B">
      <w:pPr>
        <w:pStyle w:val="8"/>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_Toc9168 </w:instrText>
      </w:r>
      <w:r>
        <w:rPr>
          <w:rFonts w:ascii="仿宋" w:hAnsi="仿宋" w:eastAsia="仿宋"/>
        </w:rPr>
        <w:fldChar w:fldCharType="separate"/>
      </w:r>
      <w:r>
        <w:rPr>
          <w:rFonts w:hint="eastAsia" w:ascii="仿宋" w:hAnsi="仿宋" w:eastAsia="仿宋"/>
          <w:szCs w:val="32"/>
        </w:rPr>
        <w:t>（一）主要职能。</w:t>
      </w:r>
      <w:r>
        <w:tab/>
      </w:r>
      <w:r>
        <w:fldChar w:fldCharType="begin"/>
      </w:r>
      <w:r>
        <w:instrText xml:space="preserve"> PAGEREF _Toc9168 \h </w:instrText>
      </w:r>
      <w:r>
        <w:fldChar w:fldCharType="separate"/>
      </w:r>
      <w:r>
        <w:t>4</w:t>
      </w:r>
      <w:r>
        <w:fldChar w:fldCharType="end"/>
      </w:r>
      <w:r>
        <w:rPr>
          <w:rFonts w:ascii="仿宋" w:hAnsi="仿宋" w:eastAsia="仿宋"/>
          <w:color w:val="000000"/>
        </w:rPr>
        <w:fldChar w:fldCharType="end"/>
      </w:r>
    </w:p>
    <w:p w14:paraId="0C7DB45C">
      <w:pPr>
        <w:pStyle w:val="8"/>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_Toc23527 </w:instrText>
      </w:r>
      <w:r>
        <w:rPr>
          <w:rFonts w:ascii="仿宋" w:hAnsi="仿宋" w:eastAsia="仿宋"/>
        </w:rPr>
        <w:fldChar w:fldCharType="separate"/>
      </w:r>
      <w:r>
        <w:rPr>
          <w:rFonts w:hint="eastAsia" w:ascii="仿宋" w:hAnsi="仿宋" w:eastAsia="仿宋"/>
          <w:szCs w:val="32"/>
        </w:rPr>
        <w:t>（</w:t>
      </w:r>
      <w:r>
        <w:rPr>
          <w:rFonts w:hint="eastAsia" w:ascii="仿宋" w:hAnsi="仿宋" w:eastAsia="仿宋"/>
          <w:szCs w:val="32"/>
          <w:lang w:eastAsia="zh-CN"/>
        </w:rPr>
        <w:t>二</w:t>
      </w:r>
      <w:r>
        <w:rPr>
          <w:rFonts w:hint="eastAsia" w:ascii="仿宋" w:hAnsi="仿宋" w:eastAsia="仿宋"/>
          <w:szCs w:val="32"/>
        </w:rPr>
        <w:t>）</w:t>
      </w:r>
      <w:r>
        <w:rPr>
          <w:rFonts w:hint="eastAsia" w:ascii="仿宋" w:hAnsi="仿宋" w:eastAsia="仿宋"/>
          <w:szCs w:val="32"/>
          <w:lang w:eastAsia="zh-CN"/>
        </w:rPr>
        <w:t>重点工作完成情况</w:t>
      </w:r>
      <w:r>
        <w:rPr>
          <w:rFonts w:hint="eastAsia" w:ascii="仿宋" w:hAnsi="仿宋" w:eastAsia="仿宋"/>
          <w:szCs w:val="32"/>
        </w:rPr>
        <w:t>。</w:t>
      </w:r>
      <w:r>
        <w:tab/>
      </w:r>
      <w:r>
        <w:fldChar w:fldCharType="begin"/>
      </w:r>
      <w:r>
        <w:instrText xml:space="preserve"> PAGEREF _Toc23527 \h </w:instrText>
      </w:r>
      <w:r>
        <w:fldChar w:fldCharType="separate"/>
      </w:r>
      <w:r>
        <w:t>18</w:t>
      </w:r>
      <w:r>
        <w:fldChar w:fldCharType="end"/>
      </w:r>
      <w:r>
        <w:rPr>
          <w:rFonts w:ascii="仿宋" w:hAnsi="仿宋" w:eastAsia="仿宋"/>
          <w:color w:val="000000"/>
        </w:rPr>
        <w:fldChar w:fldCharType="end"/>
      </w:r>
    </w:p>
    <w:p w14:paraId="49C3D5D5">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_Toc8039 </w:instrText>
      </w:r>
      <w:r>
        <w:rPr>
          <w:rFonts w:ascii="仿宋" w:hAnsi="仿宋" w:eastAsia="仿宋"/>
        </w:rPr>
        <w:fldChar w:fldCharType="separate"/>
      </w:r>
      <w:r>
        <w:rPr>
          <w:rFonts w:hint="eastAsia" w:ascii="黑体" w:eastAsia="黑体"/>
        </w:rPr>
        <w:t>二、</w:t>
      </w:r>
      <w:r>
        <w:rPr>
          <w:rFonts w:hint="eastAsia" w:ascii="黑体" w:hAnsi="黑体" w:eastAsia="黑体"/>
        </w:rPr>
        <w:t>机</w:t>
      </w:r>
      <w:r>
        <w:rPr>
          <w:rFonts w:hint="eastAsia" w:ascii="黑体" w:hAnsi="黑体" w:eastAsia="黑体"/>
          <w:bCs w:val="0"/>
        </w:rPr>
        <w:t>构设置</w:t>
      </w:r>
      <w:r>
        <w:tab/>
      </w:r>
      <w:r>
        <w:fldChar w:fldCharType="begin"/>
      </w:r>
      <w:r>
        <w:instrText xml:space="preserve"> PAGEREF _Toc8039 \h </w:instrText>
      </w:r>
      <w:r>
        <w:fldChar w:fldCharType="separate"/>
      </w:r>
      <w:r>
        <w:t>22</w:t>
      </w:r>
      <w:r>
        <w:fldChar w:fldCharType="end"/>
      </w:r>
      <w:r>
        <w:rPr>
          <w:rFonts w:ascii="仿宋" w:hAnsi="仿宋" w:eastAsia="仿宋"/>
          <w:color w:val="000000"/>
        </w:rPr>
        <w:fldChar w:fldCharType="end"/>
      </w:r>
    </w:p>
    <w:p w14:paraId="3911D048">
      <w:pPr>
        <w:pStyle w:val="13"/>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_Toc21322 </w:instrText>
      </w:r>
      <w:r>
        <w:rPr>
          <w:rFonts w:ascii="仿宋" w:hAnsi="仿宋" w:eastAsia="仿宋"/>
        </w:rPr>
        <w:fldChar w:fldCharType="separate"/>
      </w:r>
      <w:r>
        <w:rPr>
          <w:rFonts w:hint="eastAsia" w:ascii="黑体" w:hAnsi="黑体" w:eastAsia="黑体"/>
        </w:rPr>
        <w:t xml:space="preserve">第二部分 </w:t>
      </w:r>
      <w:r>
        <w:rPr>
          <w:rFonts w:hint="eastAsia" w:ascii="黑体" w:hAnsi="黑体" w:eastAsia="黑体"/>
          <w:bCs w:val="0"/>
        </w:rPr>
        <w:t>20</w:t>
      </w:r>
      <w:r>
        <w:rPr>
          <w:rFonts w:hint="eastAsia" w:ascii="黑体" w:hAnsi="黑体" w:eastAsia="黑体"/>
          <w:bCs w:val="0"/>
          <w:lang w:val="en-US" w:eastAsia="zh-CN"/>
        </w:rPr>
        <w:t>20</w:t>
      </w:r>
      <w:r>
        <w:rPr>
          <w:rFonts w:hint="eastAsia" w:ascii="黑体" w:hAnsi="黑体" w:eastAsia="黑体"/>
          <w:bCs w:val="0"/>
        </w:rPr>
        <w:t>年度部门决算情况说明</w:t>
      </w:r>
      <w:r>
        <w:tab/>
      </w:r>
      <w:r>
        <w:fldChar w:fldCharType="begin"/>
      </w:r>
      <w:r>
        <w:instrText xml:space="preserve"> PAGEREF _Toc21322 \h </w:instrText>
      </w:r>
      <w:r>
        <w:fldChar w:fldCharType="separate"/>
      </w:r>
      <w:r>
        <w:t>22</w:t>
      </w:r>
      <w:r>
        <w:fldChar w:fldCharType="end"/>
      </w:r>
      <w:r>
        <w:rPr>
          <w:rFonts w:ascii="仿宋" w:hAnsi="仿宋" w:eastAsia="仿宋"/>
          <w:color w:val="000000"/>
        </w:rPr>
        <w:fldChar w:fldCharType="end"/>
      </w:r>
    </w:p>
    <w:p w14:paraId="71F955C1">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_Toc14188 </w:instrText>
      </w:r>
      <w:r>
        <w:rPr>
          <w:rFonts w:ascii="仿宋" w:hAnsi="仿宋" w:eastAsia="仿宋"/>
        </w:rPr>
        <w:fldChar w:fldCharType="separate"/>
      </w:r>
      <w:r>
        <w:rPr>
          <w:rFonts w:hint="default" w:ascii="黑体" w:hAnsi="黑体" w:eastAsia="黑体"/>
        </w:rPr>
        <w:t xml:space="preserve">一、 </w:t>
      </w:r>
      <w:r>
        <w:rPr>
          <w:rFonts w:hint="eastAsia" w:ascii="黑体" w:hAnsi="黑体" w:eastAsia="黑体"/>
          <w:szCs w:val="32"/>
        </w:rPr>
        <w:t>收</w:t>
      </w:r>
      <w:r>
        <w:rPr>
          <w:rFonts w:hint="eastAsia" w:ascii="黑体" w:hAnsi="黑体" w:eastAsia="黑体"/>
        </w:rPr>
        <w:t>入支出决算总体情况说明</w:t>
      </w:r>
      <w:r>
        <w:tab/>
      </w:r>
      <w:r>
        <w:fldChar w:fldCharType="begin"/>
      </w:r>
      <w:r>
        <w:instrText xml:space="preserve"> PAGEREF _Toc14188 \h </w:instrText>
      </w:r>
      <w:r>
        <w:fldChar w:fldCharType="separate"/>
      </w:r>
      <w:r>
        <w:t>23</w:t>
      </w:r>
      <w:r>
        <w:fldChar w:fldCharType="end"/>
      </w:r>
      <w:r>
        <w:rPr>
          <w:rFonts w:ascii="仿宋" w:hAnsi="仿宋" w:eastAsia="仿宋"/>
          <w:color w:val="000000"/>
        </w:rPr>
        <w:fldChar w:fldCharType="end"/>
      </w:r>
    </w:p>
    <w:p w14:paraId="3BEB1B6B">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_Toc23254 </w:instrText>
      </w:r>
      <w:r>
        <w:rPr>
          <w:rFonts w:ascii="仿宋" w:hAnsi="仿宋" w:eastAsia="仿宋"/>
        </w:rPr>
        <w:fldChar w:fldCharType="separate"/>
      </w:r>
      <w:r>
        <w:rPr>
          <w:rFonts w:hint="default" w:ascii="黑体" w:hAnsi="黑体" w:eastAsia="黑体"/>
        </w:rPr>
        <w:t xml:space="preserve">二、 </w:t>
      </w:r>
      <w:r>
        <w:rPr>
          <w:rFonts w:hint="eastAsia" w:ascii="黑体" w:hAnsi="黑体" w:eastAsia="黑体"/>
          <w:szCs w:val="32"/>
        </w:rPr>
        <w:t>收</w:t>
      </w:r>
      <w:r>
        <w:rPr>
          <w:rFonts w:hint="eastAsia" w:ascii="黑体" w:hAnsi="黑体" w:eastAsia="黑体"/>
        </w:rPr>
        <w:t>入决算情况说明</w:t>
      </w:r>
      <w:r>
        <w:tab/>
      </w:r>
      <w:r>
        <w:fldChar w:fldCharType="begin"/>
      </w:r>
      <w:r>
        <w:instrText xml:space="preserve"> PAGEREF _Toc23254 \h </w:instrText>
      </w:r>
      <w:r>
        <w:fldChar w:fldCharType="separate"/>
      </w:r>
      <w:r>
        <w:t>23</w:t>
      </w:r>
      <w:r>
        <w:fldChar w:fldCharType="end"/>
      </w:r>
      <w:r>
        <w:rPr>
          <w:rFonts w:ascii="仿宋" w:hAnsi="仿宋" w:eastAsia="仿宋"/>
          <w:color w:val="000000"/>
        </w:rPr>
        <w:fldChar w:fldCharType="end"/>
      </w:r>
    </w:p>
    <w:p w14:paraId="20F8AFCE">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_Toc2333 </w:instrText>
      </w:r>
      <w:r>
        <w:rPr>
          <w:rFonts w:ascii="仿宋" w:hAnsi="仿宋" w:eastAsia="仿宋"/>
        </w:rPr>
        <w:fldChar w:fldCharType="separate"/>
      </w:r>
      <w:r>
        <w:rPr>
          <w:rFonts w:hint="default" w:ascii="黑体" w:hAnsi="黑体" w:eastAsia="黑体"/>
        </w:rPr>
        <w:t xml:space="preserve">三、 </w:t>
      </w:r>
      <w:r>
        <w:rPr>
          <w:rFonts w:hint="eastAsia" w:ascii="黑体" w:hAnsi="黑体" w:eastAsia="黑体"/>
          <w:szCs w:val="32"/>
        </w:rPr>
        <w:t>支</w:t>
      </w:r>
      <w:r>
        <w:rPr>
          <w:rFonts w:hint="eastAsia" w:ascii="黑体" w:hAnsi="黑体" w:eastAsia="黑体"/>
        </w:rPr>
        <w:t>出决算情况说明</w:t>
      </w:r>
      <w:r>
        <w:tab/>
      </w:r>
      <w:r>
        <w:fldChar w:fldCharType="begin"/>
      </w:r>
      <w:r>
        <w:instrText xml:space="preserve"> PAGEREF _Toc2333 \h </w:instrText>
      </w:r>
      <w:r>
        <w:fldChar w:fldCharType="separate"/>
      </w:r>
      <w:r>
        <w:t>24</w:t>
      </w:r>
      <w:r>
        <w:fldChar w:fldCharType="end"/>
      </w:r>
      <w:r>
        <w:rPr>
          <w:rFonts w:ascii="仿宋" w:hAnsi="仿宋" w:eastAsia="仿宋"/>
          <w:color w:val="000000"/>
        </w:rPr>
        <w:fldChar w:fldCharType="end"/>
      </w:r>
    </w:p>
    <w:p w14:paraId="3261C515">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_Toc28462 </w:instrText>
      </w:r>
      <w:r>
        <w:rPr>
          <w:rFonts w:ascii="仿宋" w:hAnsi="仿宋" w:eastAsia="仿宋"/>
        </w:rPr>
        <w:fldChar w:fldCharType="separate"/>
      </w:r>
      <w:r>
        <w:rPr>
          <w:rFonts w:hint="eastAsia" w:ascii="黑体" w:hAnsi="黑体" w:eastAsia="黑体"/>
          <w:szCs w:val="32"/>
        </w:rPr>
        <w:t>四、财</w:t>
      </w:r>
      <w:r>
        <w:rPr>
          <w:rFonts w:hint="eastAsia" w:ascii="黑体" w:hAnsi="黑体" w:eastAsia="黑体"/>
        </w:rPr>
        <w:t>政拨款收入支出决算总体情况说明</w:t>
      </w:r>
      <w:r>
        <w:tab/>
      </w:r>
      <w:r>
        <w:fldChar w:fldCharType="begin"/>
      </w:r>
      <w:r>
        <w:instrText xml:space="preserve"> PAGEREF _Toc28462 \h </w:instrText>
      </w:r>
      <w:r>
        <w:fldChar w:fldCharType="separate"/>
      </w:r>
      <w:r>
        <w:t>24</w:t>
      </w:r>
      <w:r>
        <w:fldChar w:fldCharType="end"/>
      </w:r>
      <w:r>
        <w:rPr>
          <w:rFonts w:ascii="仿宋" w:hAnsi="仿宋" w:eastAsia="仿宋"/>
          <w:color w:val="000000"/>
        </w:rPr>
        <w:fldChar w:fldCharType="end"/>
      </w:r>
    </w:p>
    <w:p w14:paraId="7884590F">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_Toc14112 </w:instrText>
      </w:r>
      <w:r>
        <w:rPr>
          <w:rFonts w:ascii="仿宋" w:hAnsi="仿宋" w:eastAsia="仿宋"/>
        </w:rPr>
        <w:fldChar w:fldCharType="separate"/>
      </w:r>
      <w:r>
        <w:rPr>
          <w:rFonts w:hint="eastAsia" w:ascii="黑体" w:hAnsi="黑体" w:eastAsia="黑体"/>
          <w:szCs w:val="32"/>
        </w:rPr>
        <w:t>五、一</w:t>
      </w:r>
      <w:r>
        <w:rPr>
          <w:rFonts w:hint="eastAsia" w:ascii="黑体" w:hAnsi="黑体" w:eastAsia="黑体"/>
        </w:rPr>
        <w:t>般公共预算财政拨款支出决算情况说明</w:t>
      </w:r>
      <w:r>
        <w:tab/>
      </w:r>
      <w:r>
        <w:fldChar w:fldCharType="begin"/>
      </w:r>
      <w:r>
        <w:instrText xml:space="preserve"> PAGEREF _Toc14112 \h </w:instrText>
      </w:r>
      <w:r>
        <w:fldChar w:fldCharType="separate"/>
      </w:r>
      <w:r>
        <w:t>25</w:t>
      </w:r>
      <w:r>
        <w:fldChar w:fldCharType="end"/>
      </w:r>
      <w:r>
        <w:rPr>
          <w:rFonts w:ascii="仿宋" w:hAnsi="仿宋" w:eastAsia="仿宋"/>
          <w:color w:val="000000"/>
        </w:rPr>
        <w:fldChar w:fldCharType="end"/>
      </w:r>
    </w:p>
    <w:p w14:paraId="4ED63A4E">
      <w:pPr>
        <w:pStyle w:val="8"/>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_Toc1608 </w:instrText>
      </w:r>
      <w:r>
        <w:rPr>
          <w:rFonts w:ascii="仿宋" w:hAnsi="仿宋" w:eastAsia="仿宋"/>
        </w:rPr>
        <w:fldChar w:fldCharType="separate"/>
      </w:r>
      <w:r>
        <w:rPr>
          <w:rFonts w:hint="eastAsia" w:ascii="仿宋" w:hAnsi="仿宋" w:eastAsia="仿宋"/>
          <w:szCs w:val="32"/>
        </w:rPr>
        <w:t>（一）一般公共预算财政拨款支出决算总体情况</w:t>
      </w:r>
      <w:r>
        <w:tab/>
      </w:r>
      <w:r>
        <w:fldChar w:fldCharType="begin"/>
      </w:r>
      <w:r>
        <w:instrText xml:space="preserve"> PAGEREF _Toc1608 \h </w:instrText>
      </w:r>
      <w:r>
        <w:fldChar w:fldCharType="separate"/>
      </w:r>
      <w:r>
        <w:t>25</w:t>
      </w:r>
      <w:r>
        <w:fldChar w:fldCharType="end"/>
      </w:r>
      <w:r>
        <w:rPr>
          <w:rFonts w:ascii="仿宋" w:hAnsi="仿宋" w:eastAsia="仿宋"/>
          <w:color w:val="000000"/>
        </w:rPr>
        <w:fldChar w:fldCharType="end"/>
      </w:r>
    </w:p>
    <w:p w14:paraId="7464FEA2">
      <w:pPr>
        <w:pStyle w:val="8"/>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_Toc9099 </w:instrText>
      </w:r>
      <w:r>
        <w:rPr>
          <w:rFonts w:ascii="仿宋" w:hAnsi="仿宋" w:eastAsia="仿宋"/>
        </w:rPr>
        <w:fldChar w:fldCharType="separate"/>
      </w:r>
      <w:r>
        <w:rPr>
          <w:rFonts w:hint="eastAsia" w:ascii="仿宋" w:hAnsi="仿宋" w:eastAsia="仿宋"/>
          <w:szCs w:val="32"/>
        </w:rPr>
        <w:t>（二）一般公共预算财政拨款支出决算结构情况</w:t>
      </w:r>
      <w:r>
        <w:tab/>
      </w:r>
      <w:r>
        <w:fldChar w:fldCharType="begin"/>
      </w:r>
      <w:r>
        <w:instrText xml:space="preserve"> PAGEREF _Toc9099 \h </w:instrText>
      </w:r>
      <w:r>
        <w:fldChar w:fldCharType="separate"/>
      </w:r>
      <w:r>
        <w:t>26</w:t>
      </w:r>
      <w:r>
        <w:fldChar w:fldCharType="end"/>
      </w:r>
      <w:r>
        <w:rPr>
          <w:rFonts w:ascii="仿宋" w:hAnsi="仿宋" w:eastAsia="仿宋"/>
          <w:color w:val="000000"/>
        </w:rPr>
        <w:fldChar w:fldCharType="end"/>
      </w:r>
    </w:p>
    <w:p w14:paraId="6AAF8011">
      <w:pPr>
        <w:pStyle w:val="8"/>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_Toc27775 </w:instrText>
      </w:r>
      <w:r>
        <w:rPr>
          <w:rFonts w:ascii="仿宋" w:hAnsi="仿宋" w:eastAsia="仿宋"/>
        </w:rPr>
        <w:fldChar w:fldCharType="separate"/>
      </w:r>
      <w:r>
        <w:rPr>
          <w:rFonts w:hint="eastAsia" w:ascii="仿宋" w:hAnsi="仿宋" w:eastAsia="仿宋"/>
          <w:szCs w:val="32"/>
        </w:rPr>
        <w:t>（三）一般公共预算财政拨款支出决算具体情况</w:t>
      </w:r>
      <w:r>
        <w:tab/>
      </w:r>
      <w:r>
        <w:fldChar w:fldCharType="begin"/>
      </w:r>
      <w:r>
        <w:instrText xml:space="preserve"> PAGEREF _Toc27775 \h </w:instrText>
      </w:r>
      <w:r>
        <w:fldChar w:fldCharType="separate"/>
      </w:r>
      <w:r>
        <w:t>27</w:t>
      </w:r>
      <w:r>
        <w:fldChar w:fldCharType="end"/>
      </w:r>
      <w:r>
        <w:rPr>
          <w:rFonts w:ascii="仿宋" w:hAnsi="仿宋" w:eastAsia="仿宋"/>
          <w:color w:val="000000"/>
        </w:rPr>
        <w:fldChar w:fldCharType="end"/>
      </w:r>
    </w:p>
    <w:p w14:paraId="1AE86520">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_Toc25556 </w:instrText>
      </w:r>
      <w:r>
        <w:rPr>
          <w:rFonts w:ascii="仿宋" w:hAnsi="仿宋" w:eastAsia="仿宋"/>
        </w:rPr>
        <w:fldChar w:fldCharType="separate"/>
      </w:r>
      <w:r>
        <w:rPr>
          <w:rFonts w:hint="eastAsia" w:ascii="黑体" w:eastAsia="黑体"/>
          <w:szCs w:val="32"/>
        </w:rPr>
        <w:t>六、</w:t>
      </w:r>
      <w:r>
        <w:rPr>
          <w:rFonts w:hint="eastAsia" w:ascii="黑体" w:hAnsi="黑体" w:eastAsia="黑体"/>
          <w:szCs w:val="32"/>
        </w:rPr>
        <w:t>一</w:t>
      </w:r>
      <w:r>
        <w:rPr>
          <w:rFonts w:hint="eastAsia" w:ascii="黑体" w:hAnsi="黑体" w:eastAsia="黑体"/>
        </w:rPr>
        <w:t>般公共预算财政拨款基本支出决算情况说明</w:t>
      </w:r>
      <w:r>
        <w:tab/>
      </w:r>
      <w:r>
        <w:fldChar w:fldCharType="begin"/>
      </w:r>
      <w:r>
        <w:instrText xml:space="preserve"> PAGEREF _Toc25556 \h </w:instrText>
      </w:r>
      <w:r>
        <w:fldChar w:fldCharType="separate"/>
      </w:r>
      <w:r>
        <w:t>28</w:t>
      </w:r>
      <w:r>
        <w:fldChar w:fldCharType="end"/>
      </w:r>
      <w:r>
        <w:rPr>
          <w:rFonts w:ascii="仿宋" w:hAnsi="仿宋" w:eastAsia="仿宋"/>
          <w:color w:val="000000"/>
        </w:rPr>
        <w:fldChar w:fldCharType="end"/>
      </w:r>
    </w:p>
    <w:p w14:paraId="7555F46E">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_Toc15928 </w:instrText>
      </w:r>
      <w:r>
        <w:rPr>
          <w:rFonts w:ascii="仿宋" w:hAnsi="仿宋" w:eastAsia="仿宋"/>
        </w:rPr>
        <w:fldChar w:fldCharType="separate"/>
      </w:r>
      <w:r>
        <w:rPr>
          <w:rFonts w:hint="eastAsia" w:ascii="黑体" w:eastAsia="黑体"/>
          <w:szCs w:val="32"/>
        </w:rPr>
        <w:t>七、</w:t>
      </w:r>
      <w:r>
        <w:rPr>
          <w:rFonts w:hint="eastAsia" w:ascii="黑体" w:hAnsi="黑体" w:eastAsia="黑体"/>
        </w:rPr>
        <w:t>“三公”经费财政拨款支出决算情况说明</w:t>
      </w:r>
      <w:r>
        <w:tab/>
      </w:r>
      <w:r>
        <w:fldChar w:fldCharType="begin"/>
      </w:r>
      <w:r>
        <w:instrText xml:space="preserve"> PAGEREF _Toc15928 \h </w:instrText>
      </w:r>
      <w:r>
        <w:fldChar w:fldCharType="separate"/>
      </w:r>
      <w:r>
        <w:t>29</w:t>
      </w:r>
      <w:r>
        <w:fldChar w:fldCharType="end"/>
      </w:r>
      <w:r>
        <w:rPr>
          <w:rFonts w:ascii="仿宋" w:hAnsi="仿宋" w:eastAsia="仿宋"/>
          <w:color w:val="000000"/>
        </w:rPr>
        <w:fldChar w:fldCharType="end"/>
      </w:r>
    </w:p>
    <w:p w14:paraId="645F9BE4">
      <w:pPr>
        <w:pStyle w:val="8"/>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_Toc15045 </w:instrText>
      </w:r>
      <w:r>
        <w:rPr>
          <w:rFonts w:ascii="仿宋" w:hAnsi="仿宋" w:eastAsia="仿宋"/>
        </w:rPr>
        <w:fldChar w:fldCharType="separate"/>
      </w:r>
      <w:r>
        <w:rPr>
          <w:rFonts w:hint="eastAsia" w:ascii="仿宋" w:hAnsi="仿宋" w:eastAsia="仿宋"/>
          <w:szCs w:val="32"/>
        </w:rPr>
        <w:t>（一）“三公”经费财政拨款支出决算总体情况说明</w:t>
      </w:r>
      <w:r>
        <w:tab/>
      </w:r>
      <w:r>
        <w:fldChar w:fldCharType="begin"/>
      </w:r>
      <w:r>
        <w:instrText xml:space="preserve"> PAGEREF _Toc15045 \h </w:instrText>
      </w:r>
      <w:r>
        <w:fldChar w:fldCharType="separate"/>
      </w:r>
      <w:r>
        <w:t>29</w:t>
      </w:r>
      <w:r>
        <w:fldChar w:fldCharType="end"/>
      </w:r>
      <w:r>
        <w:rPr>
          <w:rFonts w:ascii="仿宋" w:hAnsi="仿宋" w:eastAsia="仿宋"/>
          <w:color w:val="000000"/>
        </w:rPr>
        <w:fldChar w:fldCharType="end"/>
      </w:r>
    </w:p>
    <w:p w14:paraId="35D046BC">
      <w:pPr>
        <w:pStyle w:val="8"/>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_Toc15906 </w:instrText>
      </w:r>
      <w:r>
        <w:rPr>
          <w:rFonts w:ascii="仿宋" w:hAnsi="仿宋" w:eastAsia="仿宋"/>
        </w:rPr>
        <w:fldChar w:fldCharType="separate"/>
      </w:r>
      <w:r>
        <w:rPr>
          <w:rFonts w:hint="eastAsia" w:ascii="仿宋" w:hAnsi="仿宋" w:eastAsia="仿宋"/>
          <w:szCs w:val="32"/>
        </w:rPr>
        <w:t>（二）“三公”经费财政拨款支出决算具体情况说明</w:t>
      </w:r>
      <w:r>
        <w:tab/>
      </w:r>
      <w:r>
        <w:fldChar w:fldCharType="begin"/>
      </w:r>
      <w:r>
        <w:instrText xml:space="preserve"> PAGEREF _Toc15906 \h </w:instrText>
      </w:r>
      <w:r>
        <w:fldChar w:fldCharType="separate"/>
      </w:r>
      <w:r>
        <w:t>29</w:t>
      </w:r>
      <w:r>
        <w:fldChar w:fldCharType="end"/>
      </w:r>
      <w:r>
        <w:rPr>
          <w:rFonts w:ascii="仿宋" w:hAnsi="仿宋" w:eastAsia="仿宋"/>
          <w:color w:val="000000"/>
        </w:rPr>
        <w:fldChar w:fldCharType="end"/>
      </w:r>
    </w:p>
    <w:p w14:paraId="3BDB8A3D">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_Toc13421 </w:instrText>
      </w:r>
      <w:r>
        <w:rPr>
          <w:rFonts w:ascii="仿宋" w:hAnsi="仿宋" w:eastAsia="仿宋"/>
        </w:rPr>
        <w:fldChar w:fldCharType="separate"/>
      </w:r>
      <w:r>
        <w:rPr>
          <w:rFonts w:hint="eastAsia" w:ascii="黑体" w:eastAsia="黑体"/>
          <w:szCs w:val="32"/>
        </w:rPr>
        <w:t>八、</w:t>
      </w:r>
      <w:r>
        <w:rPr>
          <w:rFonts w:hint="eastAsia" w:ascii="黑体" w:hAnsi="黑体" w:eastAsia="黑体"/>
        </w:rPr>
        <w:t>政府性基金预算支出决算情况说明</w:t>
      </w:r>
      <w:r>
        <w:tab/>
      </w:r>
      <w:r>
        <w:fldChar w:fldCharType="begin"/>
      </w:r>
      <w:r>
        <w:instrText xml:space="preserve"> PAGEREF _Toc13421 \h </w:instrText>
      </w:r>
      <w:r>
        <w:fldChar w:fldCharType="separate"/>
      </w:r>
      <w:r>
        <w:t>30</w:t>
      </w:r>
      <w:r>
        <w:fldChar w:fldCharType="end"/>
      </w:r>
      <w:r>
        <w:rPr>
          <w:rFonts w:ascii="仿宋" w:hAnsi="仿宋" w:eastAsia="仿宋"/>
          <w:color w:val="000000"/>
        </w:rPr>
        <w:fldChar w:fldCharType="end"/>
      </w:r>
    </w:p>
    <w:p w14:paraId="289195A9">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_Toc19985 </w:instrText>
      </w:r>
      <w:r>
        <w:rPr>
          <w:rFonts w:ascii="仿宋" w:hAnsi="仿宋" w:eastAsia="仿宋"/>
        </w:rPr>
        <w:fldChar w:fldCharType="separate"/>
      </w:r>
      <w:r>
        <w:rPr>
          <w:rFonts w:hint="eastAsia" w:ascii="黑体" w:hAnsi="黑体" w:eastAsia="黑体"/>
        </w:rPr>
        <w:t>九、 国有资本经营预算支出决算情况说明</w:t>
      </w:r>
      <w:r>
        <w:tab/>
      </w:r>
      <w:r>
        <w:fldChar w:fldCharType="begin"/>
      </w:r>
      <w:r>
        <w:instrText xml:space="preserve"> PAGEREF _Toc19985 \h </w:instrText>
      </w:r>
      <w:r>
        <w:fldChar w:fldCharType="separate"/>
      </w:r>
      <w:r>
        <w:t>30</w:t>
      </w:r>
      <w:r>
        <w:fldChar w:fldCharType="end"/>
      </w:r>
      <w:r>
        <w:rPr>
          <w:rFonts w:ascii="仿宋" w:hAnsi="仿宋" w:eastAsia="仿宋"/>
          <w:color w:val="000000"/>
        </w:rPr>
        <w:fldChar w:fldCharType="end"/>
      </w:r>
    </w:p>
    <w:p w14:paraId="2540BD5B">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_Toc21127 </w:instrText>
      </w:r>
      <w:r>
        <w:rPr>
          <w:rFonts w:ascii="仿宋" w:hAnsi="仿宋" w:eastAsia="仿宋"/>
        </w:rPr>
        <w:fldChar w:fldCharType="separate"/>
      </w:r>
      <w:r>
        <w:rPr>
          <w:rFonts w:hint="eastAsia" w:ascii="黑体" w:hAnsi="黑体" w:eastAsia="黑体"/>
          <w:szCs w:val="32"/>
        </w:rPr>
        <w:t>十</w:t>
      </w:r>
      <w:r>
        <w:rPr>
          <w:rFonts w:hint="eastAsia" w:ascii="黑体" w:hAnsi="黑体" w:eastAsia="黑体"/>
        </w:rPr>
        <w:t>、其他重要事项的情况说明</w:t>
      </w:r>
      <w:r>
        <w:tab/>
      </w:r>
      <w:r>
        <w:fldChar w:fldCharType="begin"/>
      </w:r>
      <w:r>
        <w:instrText xml:space="preserve"> PAGEREF _Toc21127 \h </w:instrText>
      </w:r>
      <w:r>
        <w:fldChar w:fldCharType="separate"/>
      </w:r>
      <w:r>
        <w:t>30</w:t>
      </w:r>
      <w:r>
        <w:fldChar w:fldCharType="end"/>
      </w:r>
      <w:r>
        <w:rPr>
          <w:rFonts w:ascii="仿宋" w:hAnsi="仿宋" w:eastAsia="仿宋"/>
          <w:color w:val="000000"/>
        </w:rPr>
        <w:fldChar w:fldCharType="end"/>
      </w:r>
    </w:p>
    <w:p w14:paraId="0CF295F5">
      <w:pPr>
        <w:pStyle w:val="8"/>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_Toc15412 </w:instrText>
      </w:r>
      <w:r>
        <w:rPr>
          <w:rFonts w:ascii="仿宋" w:hAnsi="仿宋" w:eastAsia="仿宋"/>
        </w:rPr>
        <w:fldChar w:fldCharType="separate"/>
      </w:r>
      <w:r>
        <w:rPr>
          <w:rFonts w:hint="eastAsia" w:ascii="仿宋" w:hAnsi="仿宋" w:eastAsia="仿宋"/>
          <w:szCs w:val="32"/>
        </w:rPr>
        <w:t>（一）机关运行经费支出情况</w:t>
      </w:r>
      <w:r>
        <w:tab/>
      </w:r>
      <w:r>
        <w:fldChar w:fldCharType="begin"/>
      </w:r>
      <w:r>
        <w:instrText xml:space="preserve"> PAGEREF _Toc15412 \h </w:instrText>
      </w:r>
      <w:r>
        <w:fldChar w:fldCharType="separate"/>
      </w:r>
      <w:r>
        <w:t>30</w:t>
      </w:r>
      <w:r>
        <w:fldChar w:fldCharType="end"/>
      </w:r>
      <w:r>
        <w:rPr>
          <w:rFonts w:ascii="仿宋" w:hAnsi="仿宋" w:eastAsia="仿宋"/>
          <w:color w:val="000000"/>
        </w:rPr>
        <w:fldChar w:fldCharType="end"/>
      </w:r>
    </w:p>
    <w:p w14:paraId="275262FE">
      <w:pPr>
        <w:pStyle w:val="8"/>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_Toc6262 </w:instrText>
      </w:r>
      <w:r>
        <w:rPr>
          <w:rFonts w:ascii="仿宋" w:hAnsi="仿宋" w:eastAsia="仿宋"/>
        </w:rPr>
        <w:fldChar w:fldCharType="separate"/>
      </w:r>
      <w:r>
        <w:rPr>
          <w:rFonts w:hint="eastAsia" w:ascii="仿宋" w:hAnsi="仿宋" w:eastAsia="仿宋"/>
          <w:szCs w:val="32"/>
        </w:rPr>
        <w:t>（二）政府采购支出情况</w:t>
      </w:r>
      <w:r>
        <w:tab/>
      </w:r>
      <w:r>
        <w:fldChar w:fldCharType="begin"/>
      </w:r>
      <w:r>
        <w:instrText xml:space="preserve"> PAGEREF _Toc6262 \h </w:instrText>
      </w:r>
      <w:r>
        <w:fldChar w:fldCharType="separate"/>
      </w:r>
      <w:r>
        <w:t>31</w:t>
      </w:r>
      <w:r>
        <w:fldChar w:fldCharType="end"/>
      </w:r>
      <w:r>
        <w:rPr>
          <w:rFonts w:ascii="仿宋" w:hAnsi="仿宋" w:eastAsia="仿宋"/>
          <w:color w:val="000000"/>
        </w:rPr>
        <w:fldChar w:fldCharType="end"/>
      </w:r>
    </w:p>
    <w:p w14:paraId="16821B59">
      <w:pPr>
        <w:pStyle w:val="8"/>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_Toc31875 </w:instrText>
      </w:r>
      <w:r>
        <w:rPr>
          <w:rFonts w:ascii="仿宋" w:hAnsi="仿宋" w:eastAsia="仿宋"/>
        </w:rPr>
        <w:fldChar w:fldCharType="separate"/>
      </w:r>
      <w:r>
        <w:rPr>
          <w:rFonts w:hint="eastAsia" w:ascii="仿宋" w:hAnsi="仿宋" w:eastAsia="仿宋"/>
          <w:szCs w:val="32"/>
        </w:rPr>
        <w:t>（三）国有资产占有使用情况</w:t>
      </w:r>
      <w:r>
        <w:tab/>
      </w:r>
      <w:r>
        <w:fldChar w:fldCharType="begin"/>
      </w:r>
      <w:r>
        <w:instrText xml:space="preserve"> PAGEREF _Toc31875 \h </w:instrText>
      </w:r>
      <w:r>
        <w:fldChar w:fldCharType="separate"/>
      </w:r>
      <w:r>
        <w:t>31</w:t>
      </w:r>
      <w:r>
        <w:fldChar w:fldCharType="end"/>
      </w:r>
      <w:r>
        <w:rPr>
          <w:rFonts w:ascii="仿宋" w:hAnsi="仿宋" w:eastAsia="仿宋"/>
          <w:color w:val="000000"/>
        </w:rPr>
        <w:fldChar w:fldCharType="end"/>
      </w:r>
    </w:p>
    <w:p w14:paraId="5C5BD96E">
      <w:pPr>
        <w:pStyle w:val="8"/>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_Toc22481 </w:instrText>
      </w:r>
      <w:r>
        <w:rPr>
          <w:rFonts w:ascii="仿宋" w:hAnsi="仿宋" w:eastAsia="仿宋"/>
        </w:rPr>
        <w:fldChar w:fldCharType="separate"/>
      </w:r>
      <w:r>
        <w:rPr>
          <w:rFonts w:hint="eastAsia" w:ascii="仿宋" w:hAnsi="仿宋" w:eastAsia="仿宋"/>
          <w:szCs w:val="32"/>
        </w:rPr>
        <w:t>（四）预算绩效管理情况。</w:t>
      </w:r>
      <w:r>
        <w:tab/>
      </w:r>
      <w:r>
        <w:fldChar w:fldCharType="begin"/>
      </w:r>
      <w:r>
        <w:instrText xml:space="preserve"> PAGEREF _Toc22481 \h </w:instrText>
      </w:r>
      <w:r>
        <w:fldChar w:fldCharType="separate"/>
      </w:r>
      <w:r>
        <w:t>31</w:t>
      </w:r>
      <w:r>
        <w:fldChar w:fldCharType="end"/>
      </w:r>
      <w:r>
        <w:rPr>
          <w:rFonts w:ascii="仿宋" w:hAnsi="仿宋" w:eastAsia="仿宋"/>
          <w:color w:val="000000"/>
        </w:rPr>
        <w:fldChar w:fldCharType="end"/>
      </w:r>
    </w:p>
    <w:p w14:paraId="6E45A318">
      <w:pPr>
        <w:pStyle w:val="13"/>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_Toc6584 </w:instrText>
      </w:r>
      <w:r>
        <w:rPr>
          <w:rFonts w:ascii="仿宋" w:hAnsi="仿宋" w:eastAsia="仿宋"/>
        </w:rPr>
        <w:fldChar w:fldCharType="separate"/>
      </w:r>
      <w:r>
        <w:rPr>
          <w:rFonts w:hint="eastAsia" w:ascii="黑体" w:hAnsi="黑体" w:eastAsia="黑体"/>
        </w:rPr>
        <w:t xml:space="preserve">第三部分 </w:t>
      </w:r>
      <w:r>
        <w:rPr>
          <w:rFonts w:hint="eastAsia" w:ascii="黑体" w:hAnsi="黑体" w:eastAsia="黑体"/>
          <w:szCs w:val="44"/>
        </w:rPr>
        <w:t>名</w:t>
      </w:r>
      <w:r>
        <w:rPr>
          <w:rFonts w:hint="eastAsia" w:ascii="黑体" w:hAnsi="黑体" w:eastAsia="黑体"/>
        </w:rPr>
        <w:t>词解释</w:t>
      </w:r>
      <w:r>
        <w:tab/>
      </w:r>
      <w:r>
        <w:fldChar w:fldCharType="begin"/>
      </w:r>
      <w:r>
        <w:instrText xml:space="preserve"> PAGEREF _Toc6584 \h </w:instrText>
      </w:r>
      <w:r>
        <w:fldChar w:fldCharType="separate"/>
      </w:r>
      <w:r>
        <w:t>36</w:t>
      </w:r>
      <w:r>
        <w:fldChar w:fldCharType="end"/>
      </w:r>
      <w:r>
        <w:rPr>
          <w:rFonts w:ascii="仿宋" w:hAnsi="仿宋" w:eastAsia="仿宋"/>
          <w:color w:val="000000"/>
        </w:rPr>
        <w:fldChar w:fldCharType="end"/>
      </w:r>
    </w:p>
    <w:p w14:paraId="3E6187C2">
      <w:pPr>
        <w:pStyle w:val="13"/>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_Toc23038 </w:instrText>
      </w:r>
      <w:r>
        <w:rPr>
          <w:rFonts w:ascii="仿宋" w:hAnsi="仿宋" w:eastAsia="仿宋"/>
        </w:rPr>
        <w:fldChar w:fldCharType="separate"/>
      </w:r>
      <w:r>
        <w:rPr>
          <w:rFonts w:hint="eastAsia" w:ascii="黑体" w:hAnsi="黑体" w:eastAsia="黑体"/>
          <w:szCs w:val="44"/>
        </w:rPr>
        <w:t>第</w:t>
      </w:r>
      <w:r>
        <w:rPr>
          <w:rFonts w:hint="eastAsia" w:ascii="黑体" w:hAnsi="黑体" w:eastAsia="黑体"/>
        </w:rPr>
        <w:t>四部分 附件</w:t>
      </w:r>
      <w:r>
        <w:tab/>
      </w:r>
      <w:r>
        <w:fldChar w:fldCharType="begin"/>
      </w:r>
      <w:r>
        <w:instrText xml:space="preserve"> PAGEREF _Toc23038 \h </w:instrText>
      </w:r>
      <w:r>
        <w:fldChar w:fldCharType="separate"/>
      </w:r>
      <w:r>
        <w:t>41</w:t>
      </w:r>
      <w:r>
        <w:fldChar w:fldCharType="end"/>
      </w:r>
      <w:r>
        <w:rPr>
          <w:rFonts w:ascii="仿宋" w:hAnsi="仿宋" w:eastAsia="仿宋"/>
          <w:color w:val="000000"/>
        </w:rPr>
        <w:fldChar w:fldCharType="end"/>
      </w:r>
    </w:p>
    <w:p w14:paraId="6605DC3F">
      <w:pPr>
        <w:pStyle w:val="13"/>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_Toc17130 </w:instrText>
      </w:r>
      <w:r>
        <w:rPr>
          <w:rFonts w:ascii="仿宋" w:hAnsi="仿宋" w:eastAsia="仿宋"/>
        </w:rPr>
        <w:fldChar w:fldCharType="separate"/>
      </w:r>
      <w:r>
        <w:rPr>
          <w:rFonts w:hint="eastAsia" w:ascii="黑体" w:hAnsi="黑体" w:eastAsia="黑体" w:cs="黑体"/>
          <w:szCs w:val="32"/>
        </w:rPr>
        <w:t>附件1</w:t>
      </w:r>
      <w:r>
        <w:tab/>
      </w:r>
      <w:r>
        <w:fldChar w:fldCharType="begin"/>
      </w:r>
      <w:r>
        <w:instrText xml:space="preserve"> PAGEREF _Toc17130 \h </w:instrText>
      </w:r>
      <w:r>
        <w:fldChar w:fldCharType="separate"/>
      </w:r>
      <w:r>
        <w:t>41</w:t>
      </w:r>
      <w:r>
        <w:fldChar w:fldCharType="end"/>
      </w:r>
      <w:r>
        <w:rPr>
          <w:rFonts w:ascii="仿宋" w:hAnsi="仿宋" w:eastAsia="仿宋"/>
          <w:color w:val="000000"/>
        </w:rPr>
        <w:fldChar w:fldCharType="end"/>
      </w:r>
    </w:p>
    <w:p w14:paraId="3803DA04">
      <w:pPr>
        <w:pStyle w:val="13"/>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_Toc6106 </w:instrText>
      </w:r>
      <w:r>
        <w:rPr>
          <w:rFonts w:ascii="仿宋" w:hAnsi="仿宋" w:eastAsia="仿宋"/>
        </w:rPr>
        <w:fldChar w:fldCharType="separate"/>
      </w:r>
      <w:r>
        <w:rPr>
          <w:rFonts w:hint="eastAsia" w:ascii="黑体" w:hAnsi="黑体" w:eastAsia="黑体" w:cs="黑体"/>
          <w:szCs w:val="32"/>
        </w:rPr>
        <w:t>附件2</w:t>
      </w:r>
      <w:r>
        <w:tab/>
      </w:r>
      <w:r>
        <w:fldChar w:fldCharType="begin"/>
      </w:r>
      <w:r>
        <w:instrText xml:space="preserve"> PAGEREF _Toc6106 \h </w:instrText>
      </w:r>
      <w:r>
        <w:fldChar w:fldCharType="separate"/>
      </w:r>
      <w:r>
        <w:t>59</w:t>
      </w:r>
      <w:r>
        <w:fldChar w:fldCharType="end"/>
      </w:r>
      <w:r>
        <w:rPr>
          <w:rFonts w:ascii="仿宋" w:hAnsi="仿宋" w:eastAsia="仿宋"/>
          <w:color w:val="000000"/>
        </w:rPr>
        <w:fldChar w:fldCharType="end"/>
      </w:r>
    </w:p>
    <w:p w14:paraId="31C9ECFC">
      <w:pPr>
        <w:pStyle w:val="13"/>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_Toc30602 </w:instrText>
      </w:r>
      <w:r>
        <w:rPr>
          <w:rFonts w:ascii="仿宋" w:hAnsi="仿宋" w:eastAsia="仿宋"/>
        </w:rPr>
        <w:fldChar w:fldCharType="separate"/>
      </w:r>
      <w:r>
        <w:rPr>
          <w:rFonts w:hint="eastAsia" w:ascii="黑体" w:hAnsi="黑体" w:eastAsia="黑体"/>
          <w:szCs w:val="44"/>
        </w:rPr>
        <w:t>第</w:t>
      </w:r>
      <w:r>
        <w:rPr>
          <w:rFonts w:hint="eastAsia" w:ascii="黑体" w:hAnsi="黑体" w:eastAsia="黑体"/>
        </w:rPr>
        <w:t>五部分 附表</w:t>
      </w:r>
      <w:r>
        <w:tab/>
      </w:r>
      <w:r>
        <w:fldChar w:fldCharType="begin"/>
      </w:r>
      <w:r>
        <w:instrText xml:space="preserve"> PAGEREF _Toc30602 \h </w:instrText>
      </w:r>
      <w:r>
        <w:fldChar w:fldCharType="separate"/>
      </w:r>
      <w:r>
        <w:t>72</w:t>
      </w:r>
      <w:r>
        <w:fldChar w:fldCharType="end"/>
      </w:r>
      <w:r>
        <w:rPr>
          <w:rFonts w:ascii="仿宋" w:hAnsi="仿宋" w:eastAsia="仿宋"/>
          <w:color w:val="000000"/>
        </w:rPr>
        <w:fldChar w:fldCharType="end"/>
      </w:r>
    </w:p>
    <w:p w14:paraId="7E49B70D">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_Toc23117 </w:instrText>
      </w:r>
      <w:r>
        <w:rPr>
          <w:rFonts w:ascii="仿宋" w:hAnsi="仿宋" w:eastAsia="仿宋"/>
        </w:rPr>
        <w:fldChar w:fldCharType="separate"/>
      </w:r>
      <w:r>
        <w:rPr>
          <w:rFonts w:hint="eastAsia" w:ascii="仿宋" w:hAnsi="仿宋" w:eastAsia="仿宋"/>
        </w:rPr>
        <w:t>一、收</w:t>
      </w:r>
      <w:r>
        <w:rPr>
          <w:rFonts w:hint="eastAsia" w:ascii="仿宋" w:hAnsi="仿宋" w:eastAsia="仿宋"/>
          <w:bCs w:val="0"/>
        </w:rPr>
        <w:t>入支出决算总表</w:t>
      </w:r>
      <w:r>
        <w:tab/>
      </w:r>
      <w:r>
        <w:fldChar w:fldCharType="begin"/>
      </w:r>
      <w:r>
        <w:instrText xml:space="preserve"> PAGEREF _Toc23117 \h </w:instrText>
      </w:r>
      <w:r>
        <w:fldChar w:fldCharType="separate"/>
      </w:r>
      <w:r>
        <w:t>72</w:t>
      </w:r>
      <w:r>
        <w:fldChar w:fldCharType="end"/>
      </w:r>
      <w:r>
        <w:rPr>
          <w:rFonts w:ascii="仿宋" w:hAnsi="仿宋" w:eastAsia="仿宋"/>
          <w:color w:val="000000"/>
        </w:rPr>
        <w:fldChar w:fldCharType="end"/>
      </w:r>
    </w:p>
    <w:p w14:paraId="5F8090F9">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_Toc2532 </w:instrText>
      </w:r>
      <w:r>
        <w:rPr>
          <w:rFonts w:ascii="仿宋" w:hAnsi="仿宋" w:eastAsia="仿宋"/>
        </w:rPr>
        <w:fldChar w:fldCharType="separate"/>
      </w:r>
      <w:r>
        <w:rPr>
          <w:rFonts w:hint="eastAsia" w:ascii="仿宋" w:hAnsi="仿宋" w:eastAsia="仿宋"/>
        </w:rPr>
        <w:t>二、收</w:t>
      </w:r>
      <w:r>
        <w:rPr>
          <w:rFonts w:hint="eastAsia" w:ascii="仿宋" w:hAnsi="仿宋" w:eastAsia="仿宋"/>
          <w:bCs w:val="0"/>
        </w:rPr>
        <w:t>入总表</w:t>
      </w:r>
      <w:r>
        <w:tab/>
      </w:r>
      <w:r>
        <w:fldChar w:fldCharType="begin"/>
      </w:r>
      <w:r>
        <w:instrText xml:space="preserve"> PAGEREF _Toc2532 \h </w:instrText>
      </w:r>
      <w:r>
        <w:fldChar w:fldCharType="separate"/>
      </w:r>
      <w:r>
        <w:t>72</w:t>
      </w:r>
      <w:r>
        <w:fldChar w:fldCharType="end"/>
      </w:r>
      <w:r>
        <w:rPr>
          <w:rFonts w:ascii="仿宋" w:hAnsi="仿宋" w:eastAsia="仿宋"/>
          <w:color w:val="000000"/>
        </w:rPr>
        <w:fldChar w:fldCharType="end"/>
      </w:r>
    </w:p>
    <w:p w14:paraId="6CDC07E5">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_Toc27565 </w:instrText>
      </w:r>
      <w:r>
        <w:rPr>
          <w:rFonts w:ascii="仿宋" w:hAnsi="仿宋" w:eastAsia="仿宋"/>
        </w:rPr>
        <w:fldChar w:fldCharType="separate"/>
      </w:r>
      <w:r>
        <w:rPr>
          <w:rFonts w:hint="eastAsia" w:ascii="仿宋" w:hAnsi="仿宋" w:eastAsia="仿宋"/>
          <w:bCs w:val="0"/>
        </w:rPr>
        <w:t>三、</w:t>
      </w:r>
      <w:r>
        <w:rPr>
          <w:rFonts w:hint="eastAsia" w:ascii="仿宋" w:hAnsi="仿宋" w:eastAsia="仿宋"/>
        </w:rPr>
        <w:t>支</w:t>
      </w:r>
      <w:r>
        <w:rPr>
          <w:rFonts w:hint="eastAsia" w:ascii="仿宋" w:hAnsi="仿宋" w:eastAsia="仿宋"/>
          <w:bCs w:val="0"/>
        </w:rPr>
        <w:t>出总表</w:t>
      </w:r>
      <w:r>
        <w:tab/>
      </w:r>
      <w:r>
        <w:fldChar w:fldCharType="begin"/>
      </w:r>
      <w:r>
        <w:instrText xml:space="preserve"> PAGEREF _Toc27565 \h </w:instrText>
      </w:r>
      <w:r>
        <w:fldChar w:fldCharType="separate"/>
      </w:r>
      <w:r>
        <w:t>72</w:t>
      </w:r>
      <w:r>
        <w:fldChar w:fldCharType="end"/>
      </w:r>
      <w:r>
        <w:rPr>
          <w:rFonts w:ascii="仿宋" w:hAnsi="仿宋" w:eastAsia="仿宋"/>
          <w:color w:val="000000"/>
        </w:rPr>
        <w:fldChar w:fldCharType="end"/>
      </w:r>
    </w:p>
    <w:p w14:paraId="650E4F10">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_Toc19476 </w:instrText>
      </w:r>
      <w:r>
        <w:rPr>
          <w:rFonts w:ascii="仿宋" w:hAnsi="仿宋" w:eastAsia="仿宋"/>
        </w:rPr>
        <w:fldChar w:fldCharType="separate"/>
      </w:r>
      <w:r>
        <w:rPr>
          <w:rFonts w:hint="eastAsia" w:ascii="仿宋" w:hAnsi="仿宋" w:eastAsia="仿宋"/>
          <w:bCs w:val="0"/>
        </w:rPr>
        <w:t>四、</w:t>
      </w:r>
      <w:r>
        <w:rPr>
          <w:rFonts w:hint="eastAsia" w:ascii="仿宋" w:hAnsi="仿宋" w:eastAsia="仿宋"/>
        </w:rPr>
        <w:t>财</w:t>
      </w:r>
      <w:r>
        <w:rPr>
          <w:rFonts w:hint="eastAsia" w:ascii="仿宋" w:hAnsi="仿宋" w:eastAsia="仿宋"/>
          <w:bCs w:val="0"/>
        </w:rPr>
        <w:t>政拨款收入支出决算总表</w:t>
      </w:r>
      <w:r>
        <w:tab/>
      </w:r>
      <w:r>
        <w:fldChar w:fldCharType="begin"/>
      </w:r>
      <w:r>
        <w:instrText xml:space="preserve"> PAGEREF _Toc19476 \h </w:instrText>
      </w:r>
      <w:r>
        <w:fldChar w:fldCharType="separate"/>
      </w:r>
      <w:r>
        <w:t>72</w:t>
      </w:r>
      <w:r>
        <w:fldChar w:fldCharType="end"/>
      </w:r>
      <w:r>
        <w:rPr>
          <w:rFonts w:ascii="仿宋" w:hAnsi="仿宋" w:eastAsia="仿宋"/>
          <w:color w:val="000000"/>
        </w:rPr>
        <w:fldChar w:fldCharType="end"/>
      </w:r>
    </w:p>
    <w:p w14:paraId="06ADDC4F">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_Toc21320 </w:instrText>
      </w:r>
      <w:r>
        <w:rPr>
          <w:rFonts w:ascii="仿宋" w:hAnsi="仿宋" w:eastAsia="仿宋"/>
        </w:rPr>
        <w:fldChar w:fldCharType="separate"/>
      </w:r>
      <w:r>
        <w:rPr>
          <w:rFonts w:hint="eastAsia" w:ascii="仿宋" w:hAnsi="仿宋" w:eastAsia="仿宋"/>
          <w:bCs w:val="0"/>
        </w:rPr>
        <w:t>五、</w:t>
      </w:r>
      <w:r>
        <w:rPr>
          <w:rFonts w:hint="eastAsia" w:ascii="仿宋" w:hAnsi="仿宋" w:eastAsia="仿宋"/>
        </w:rPr>
        <w:t>财</w:t>
      </w:r>
      <w:r>
        <w:rPr>
          <w:rFonts w:hint="eastAsia" w:ascii="仿宋" w:hAnsi="仿宋" w:eastAsia="仿宋"/>
          <w:bCs w:val="0"/>
        </w:rPr>
        <w:t>政拨款支出决算明细表（政府经济分类科目）</w:t>
      </w:r>
      <w:r>
        <w:tab/>
      </w:r>
      <w:r>
        <w:fldChar w:fldCharType="begin"/>
      </w:r>
      <w:r>
        <w:instrText xml:space="preserve"> PAGEREF _Toc21320 \h </w:instrText>
      </w:r>
      <w:r>
        <w:fldChar w:fldCharType="separate"/>
      </w:r>
      <w:r>
        <w:t>72</w:t>
      </w:r>
      <w:r>
        <w:fldChar w:fldCharType="end"/>
      </w:r>
      <w:r>
        <w:rPr>
          <w:rFonts w:ascii="仿宋" w:hAnsi="仿宋" w:eastAsia="仿宋"/>
          <w:color w:val="000000"/>
        </w:rPr>
        <w:fldChar w:fldCharType="end"/>
      </w:r>
    </w:p>
    <w:p w14:paraId="000A05A0">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_Toc22372 </w:instrText>
      </w:r>
      <w:r>
        <w:rPr>
          <w:rFonts w:ascii="仿宋" w:hAnsi="仿宋" w:eastAsia="仿宋"/>
        </w:rPr>
        <w:fldChar w:fldCharType="separate"/>
      </w:r>
      <w:r>
        <w:rPr>
          <w:rFonts w:hint="eastAsia" w:ascii="仿宋" w:hAnsi="仿宋" w:eastAsia="仿宋"/>
          <w:bCs w:val="0"/>
        </w:rPr>
        <w:t>六、</w:t>
      </w:r>
      <w:r>
        <w:rPr>
          <w:rFonts w:hint="eastAsia" w:ascii="仿宋" w:hAnsi="仿宋" w:eastAsia="仿宋"/>
        </w:rPr>
        <w:t>一</w:t>
      </w:r>
      <w:r>
        <w:rPr>
          <w:rFonts w:hint="eastAsia" w:ascii="仿宋" w:hAnsi="仿宋" w:eastAsia="仿宋"/>
          <w:bCs w:val="0"/>
        </w:rPr>
        <w:t>般公共预算财政拨款支出决算表</w:t>
      </w:r>
      <w:r>
        <w:tab/>
      </w:r>
      <w:r>
        <w:fldChar w:fldCharType="begin"/>
      </w:r>
      <w:r>
        <w:instrText xml:space="preserve"> PAGEREF _Toc22372 \h </w:instrText>
      </w:r>
      <w:r>
        <w:fldChar w:fldCharType="separate"/>
      </w:r>
      <w:r>
        <w:t>72</w:t>
      </w:r>
      <w:r>
        <w:fldChar w:fldCharType="end"/>
      </w:r>
      <w:r>
        <w:rPr>
          <w:rFonts w:ascii="仿宋" w:hAnsi="仿宋" w:eastAsia="仿宋"/>
          <w:color w:val="000000"/>
        </w:rPr>
        <w:fldChar w:fldCharType="end"/>
      </w:r>
    </w:p>
    <w:p w14:paraId="670BFF09">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_Toc1304 </w:instrText>
      </w:r>
      <w:r>
        <w:rPr>
          <w:rFonts w:ascii="仿宋" w:hAnsi="仿宋" w:eastAsia="仿宋"/>
        </w:rPr>
        <w:fldChar w:fldCharType="separate"/>
      </w:r>
      <w:r>
        <w:rPr>
          <w:rFonts w:hint="eastAsia" w:ascii="仿宋" w:hAnsi="仿宋" w:eastAsia="仿宋"/>
          <w:bCs w:val="0"/>
        </w:rPr>
        <w:t>七、</w:t>
      </w:r>
      <w:r>
        <w:rPr>
          <w:rFonts w:hint="eastAsia" w:ascii="仿宋" w:hAnsi="仿宋" w:eastAsia="仿宋"/>
        </w:rPr>
        <w:t>一</w:t>
      </w:r>
      <w:r>
        <w:rPr>
          <w:rFonts w:hint="eastAsia" w:ascii="仿宋" w:hAnsi="仿宋" w:eastAsia="仿宋"/>
          <w:bCs w:val="0"/>
        </w:rPr>
        <w:t>般公共预算财政拨款支出决算明细表</w:t>
      </w:r>
      <w:r>
        <w:tab/>
      </w:r>
      <w:r>
        <w:fldChar w:fldCharType="begin"/>
      </w:r>
      <w:r>
        <w:instrText xml:space="preserve"> PAGEREF _Toc1304 \h </w:instrText>
      </w:r>
      <w:r>
        <w:fldChar w:fldCharType="separate"/>
      </w:r>
      <w:r>
        <w:t>72</w:t>
      </w:r>
      <w:r>
        <w:fldChar w:fldCharType="end"/>
      </w:r>
      <w:r>
        <w:rPr>
          <w:rFonts w:ascii="仿宋" w:hAnsi="仿宋" w:eastAsia="仿宋"/>
          <w:color w:val="000000"/>
        </w:rPr>
        <w:fldChar w:fldCharType="end"/>
      </w:r>
    </w:p>
    <w:p w14:paraId="7B4797A9">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_Toc30803 </w:instrText>
      </w:r>
      <w:r>
        <w:rPr>
          <w:rFonts w:ascii="仿宋" w:hAnsi="仿宋" w:eastAsia="仿宋"/>
        </w:rPr>
        <w:fldChar w:fldCharType="separate"/>
      </w:r>
      <w:r>
        <w:rPr>
          <w:rFonts w:hint="eastAsia" w:ascii="仿宋" w:hAnsi="仿宋" w:eastAsia="仿宋"/>
          <w:bCs w:val="0"/>
        </w:rPr>
        <w:t>八、</w:t>
      </w:r>
      <w:r>
        <w:rPr>
          <w:rFonts w:hint="eastAsia" w:ascii="仿宋" w:hAnsi="仿宋" w:eastAsia="仿宋"/>
        </w:rPr>
        <w:t>一</w:t>
      </w:r>
      <w:r>
        <w:rPr>
          <w:rFonts w:hint="eastAsia" w:ascii="仿宋" w:hAnsi="仿宋" w:eastAsia="仿宋"/>
          <w:bCs w:val="0"/>
        </w:rPr>
        <w:t>般公共预算财政拨款基本支出决算表</w:t>
      </w:r>
      <w:r>
        <w:tab/>
      </w:r>
      <w:r>
        <w:fldChar w:fldCharType="begin"/>
      </w:r>
      <w:r>
        <w:instrText xml:space="preserve"> PAGEREF _Toc30803 \h </w:instrText>
      </w:r>
      <w:r>
        <w:fldChar w:fldCharType="separate"/>
      </w:r>
      <w:r>
        <w:t>72</w:t>
      </w:r>
      <w:r>
        <w:fldChar w:fldCharType="end"/>
      </w:r>
      <w:r>
        <w:rPr>
          <w:rFonts w:ascii="仿宋" w:hAnsi="仿宋" w:eastAsia="仿宋"/>
          <w:color w:val="000000"/>
        </w:rPr>
        <w:fldChar w:fldCharType="end"/>
      </w:r>
    </w:p>
    <w:p w14:paraId="2BEE1C56">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_Toc27209 </w:instrText>
      </w:r>
      <w:r>
        <w:rPr>
          <w:rFonts w:ascii="仿宋" w:hAnsi="仿宋" w:eastAsia="仿宋"/>
        </w:rPr>
        <w:fldChar w:fldCharType="separate"/>
      </w:r>
      <w:r>
        <w:rPr>
          <w:rFonts w:hint="eastAsia" w:ascii="仿宋" w:hAnsi="仿宋" w:eastAsia="仿宋"/>
          <w:bCs w:val="0"/>
        </w:rPr>
        <w:t>九、</w:t>
      </w:r>
      <w:r>
        <w:rPr>
          <w:rFonts w:hint="eastAsia" w:ascii="仿宋" w:hAnsi="仿宋" w:eastAsia="仿宋"/>
        </w:rPr>
        <w:t>一</w:t>
      </w:r>
      <w:r>
        <w:rPr>
          <w:rFonts w:hint="eastAsia" w:ascii="仿宋" w:hAnsi="仿宋" w:eastAsia="仿宋"/>
          <w:bCs w:val="0"/>
        </w:rPr>
        <w:t>般公共预算财政拨款项目支出决算表</w:t>
      </w:r>
      <w:r>
        <w:tab/>
      </w:r>
      <w:r>
        <w:fldChar w:fldCharType="begin"/>
      </w:r>
      <w:r>
        <w:instrText xml:space="preserve"> PAGEREF _Toc27209 \h </w:instrText>
      </w:r>
      <w:r>
        <w:fldChar w:fldCharType="separate"/>
      </w:r>
      <w:r>
        <w:t>72</w:t>
      </w:r>
      <w:r>
        <w:fldChar w:fldCharType="end"/>
      </w:r>
      <w:r>
        <w:rPr>
          <w:rFonts w:ascii="仿宋" w:hAnsi="仿宋" w:eastAsia="仿宋"/>
          <w:color w:val="000000"/>
        </w:rPr>
        <w:fldChar w:fldCharType="end"/>
      </w:r>
    </w:p>
    <w:p w14:paraId="0ACA85C7">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_Toc12131 </w:instrText>
      </w:r>
      <w:r>
        <w:rPr>
          <w:rFonts w:ascii="仿宋" w:hAnsi="仿宋" w:eastAsia="仿宋"/>
        </w:rPr>
        <w:fldChar w:fldCharType="separate"/>
      </w:r>
      <w:r>
        <w:rPr>
          <w:rFonts w:hint="eastAsia" w:ascii="仿宋" w:hAnsi="仿宋" w:eastAsia="仿宋"/>
          <w:bCs w:val="0"/>
        </w:rPr>
        <w:t>十、</w:t>
      </w:r>
      <w:r>
        <w:rPr>
          <w:rFonts w:hint="eastAsia" w:ascii="仿宋" w:hAnsi="仿宋" w:eastAsia="仿宋"/>
        </w:rPr>
        <w:t>一</w:t>
      </w:r>
      <w:r>
        <w:rPr>
          <w:rFonts w:hint="eastAsia" w:ascii="仿宋" w:hAnsi="仿宋" w:eastAsia="仿宋"/>
          <w:bCs w:val="0"/>
        </w:rPr>
        <w:t>般公共预算财政拨款“三公”经费支出决算表</w:t>
      </w:r>
      <w:r>
        <w:tab/>
      </w:r>
      <w:r>
        <w:fldChar w:fldCharType="begin"/>
      </w:r>
      <w:r>
        <w:instrText xml:space="preserve"> PAGEREF _Toc12131 \h </w:instrText>
      </w:r>
      <w:r>
        <w:fldChar w:fldCharType="separate"/>
      </w:r>
      <w:r>
        <w:t>72</w:t>
      </w:r>
      <w:r>
        <w:fldChar w:fldCharType="end"/>
      </w:r>
      <w:r>
        <w:rPr>
          <w:rFonts w:ascii="仿宋" w:hAnsi="仿宋" w:eastAsia="仿宋"/>
          <w:color w:val="000000"/>
        </w:rPr>
        <w:fldChar w:fldCharType="end"/>
      </w:r>
    </w:p>
    <w:p w14:paraId="7D83A3AA">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_Toc21843 </w:instrText>
      </w:r>
      <w:r>
        <w:rPr>
          <w:rFonts w:ascii="仿宋" w:hAnsi="仿宋" w:eastAsia="仿宋"/>
        </w:rPr>
        <w:fldChar w:fldCharType="separate"/>
      </w:r>
      <w:r>
        <w:rPr>
          <w:rFonts w:hint="eastAsia" w:ascii="仿宋" w:hAnsi="仿宋" w:eastAsia="仿宋"/>
          <w:bCs w:val="0"/>
        </w:rPr>
        <w:t>十一、</w:t>
      </w:r>
      <w:r>
        <w:rPr>
          <w:rFonts w:hint="eastAsia" w:ascii="仿宋" w:hAnsi="仿宋" w:eastAsia="仿宋"/>
        </w:rPr>
        <w:t>政</w:t>
      </w:r>
      <w:r>
        <w:rPr>
          <w:rFonts w:hint="eastAsia" w:ascii="仿宋" w:hAnsi="仿宋" w:eastAsia="仿宋"/>
          <w:bCs w:val="0"/>
        </w:rPr>
        <w:t>府性基金预算财政拨款收入支出决算表</w:t>
      </w:r>
      <w:r>
        <w:tab/>
      </w:r>
      <w:r>
        <w:fldChar w:fldCharType="begin"/>
      </w:r>
      <w:r>
        <w:instrText xml:space="preserve"> PAGEREF _Toc21843 \h </w:instrText>
      </w:r>
      <w:r>
        <w:fldChar w:fldCharType="separate"/>
      </w:r>
      <w:r>
        <w:t>72</w:t>
      </w:r>
      <w:r>
        <w:fldChar w:fldCharType="end"/>
      </w:r>
      <w:r>
        <w:rPr>
          <w:rFonts w:ascii="仿宋" w:hAnsi="仿宋" w:eastAsia="仿宋"/>
          <w:color w:val="000000"/>
        </w:rPr>
        <w:fldChar w:fldCharType="end"/>
      </w:r>
    </w:p>
    <w:p w14:paraId="102879D8">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_Toc28989 </w:instrText>
      </w:r>
      <w:r>
        <w:rPr>
          <w:rFonts w:ascii="仿宋" w:hAnsi="仿宋" w:eastAsia="仿宋"/>
        </w:rPr>
        <w:fldChar w:fldCharType="separate"/>
      </w:r>
      <w:r>
        <w:rPr>
          <w:rFonts w:hint="eastAsia" w:ascii="仿宋" w:hAnsi="仿宋" w:eastAsia="仿宋"/>
          <w:bCs w:val="0"/>
        </w:rPr>
        <w:t>十二、</w:t>
      </w:r>
      <w:r>
        <w:rPr>
          <w:rFonts w:hint="eastAsia" w:ascii="仿宋" w:hAnsi="仿宋" w:eastAsia="仿宋"/>
        </w:rPr>
        <w:t>政</w:t>
      </w:r>
      <w:r>
        <w:rPr>
          <w:rFonts w:hint="eastAsia" w:ascii="仿宋" w:hAnsi="仿宋" w:eastAsia="仿宋"/>
          <w:bCs w:val="0"/>
        </w:rPr>
        <w:t>府性基金预算财政拨款“三公”经费支出决算表</w:t>
      </w:r>
      <w:r>
        <w:tab/>
      </w:r>
      <w:r>
        <w:fldChar w:fldCharType="begin"/>
      </w:r>
      <w:r>
        <w:instrText xml:space="preserve"> PAGEREF _Toc28989 \h </w:instrText>
      </w:r>
      <w:r>
        <w:fldChar w:fldCharType="separate"/>
      </w:r>
      <w:r>
        <w:t>72</w:t>
      </w:r>
      <w:r>
        <w:fldChar w:fldCharType="end"/>
      </w:r>
      <w:r>
        <w:rPr>
          <w:rFonts w:ascii="仿宋" w:hAnsi="仿宋" w:eastAsia="仿宋"/>
          <w:color w:val="000000"/>
        </w:rPr>
        <w:fldChar w:fldCharType="end"/>
      </w:r>
    </w:p>
    <w:p w14:paraId="51803EBC">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_Toc27648 </w:instrText>
      </w:r>
      <w:r>
        <w:rPr>
          <w:rFonts w:ascii="仿宋" w:hAnsi="仿宋" w:eastAsia="仿宋"/>
        </w:rPr>
        <w:fldChar w:fldCharType="separate"/>
      </w:r>
      <w:r>
        <w:rPr>
          <w:rFonts w:hint="eastAsia" w:ascii="仿宋" w:hAnsi="仿宋" w:eastAsia="仿宋"/>
          <w:bCs w:val="0"/>
        </w:rPr>
        <w:t>十三、</w:t>
      </w:r>
      <w:r>
        <w:rPr>
          <w:rFonts w:hint="eastAsia" w:ascii="仿宋" w:hAnsi="仿宋" w:eastAsia="仿宋"/>
        </w:rPr>
        <w:t>国有资本经营预算财政拨款收入支出决算表</w:t>
      </w:r>
      <w:r>
        <w:tab/>
      </w:r>
      <w:r>
        <w:fldChar w:fldCharType="begin"/>
      </w:r>
      <w:r>
        <w:instrText xml:space="preserve"> PAGEREF _Toc27648 \h </w:instrText>
      </w:r>
      <w:r>
        <w:fldChar w:fldCharType="separate"/>
      </w:r>
      <w:r>
        <w:t>72</w:t>
      </w:r>
      <w:r>
        <w:fldChar w:fldCharType="end"/>
      </w:r>
      <w:r>
        <w:rPr>
          <w:rFonts w:ascii="仿宋" w:hAnsi="仿宋" w:eastAsia="仿宋"/>
          <w:color w:val="000000"/>
        </w:rPr>
        <w:fldChar w:fldCharType="end"/>
      </w:r>
    </w:p>
    <w:p w14:paraId="5D4A2B02">
      <w:pPr>
        <w:pStyle w:val="14"/>
        <w:tabs>
          <w:tab w:val="right" w:leader="dot" w:pos="8306"/>
          <w:tab w:val="clear" w:pos="8296"/>
        </w:tabs>
      </w:pPr>
      <w:r>
        <w:rPr>
          <w:rFonts w:ascii="仿宋" w:hAnsi="仿宋" w:eastAsia="仿宋"/>
          <w:color w:val="000000"/>
        </w:rPr>
        <w:fldChar w:fldCharType="begin"/>
      </w:r>
      <w:r>
        <w:rPr>
          <w:rFonts w:ascii="仿宋" w:hAnsi="仿宋" w:eastAsia="仿宋"/>
        </w:rPr>
        <w:instrText xml:space="preserve"> HYPERLINK \l _Toc26916 </w:instrText>
      </w:r>
      <w:r>
        <w:rPr>
          <w:rFonts w:ascii="仿宋" w:hAnsi="仿宋" w:eastAsia="仿宋"/>
        </w:rPr>
        <w:fldChar w:fldCharType="separate"/>
      </w:r>
      <w:r>
        <w:rPr>
          <w:rFonts w:hint="eastAsia" w:ascii="仿宋" w:hAnsi="仿宋" w:eastAsia="仿宋"/>
          <w:bCs w:val="0"/>
        </w:rPr>
        <w:t>十</w:t>
      </w:r>
      <w:r>
        <w:rPr>
          <w:rFonts w:hint="eastAsia" w:ascii="仿宋" w:hAnsi="仿宋" w:eastAsia="仿宋"/>
          <w:bCs w:val="0"/>
          <w:lang w:eastAsia="zh-CN"/>
        </w:rPr>
        <w:t>四</w:t>
      </w:r>
      <w:r>
        <w:rPr>
          <w:rFonts w:hint="eastAsia" w:ascii="仿宋" w:hAnsi="仿宋" w:eastAsia="仿宋"/>
          <w:bCs w:val="0"/>
        </w:rPr>
        <w:t>、</w:t>
      </w:r>
      <w:r>
        <w:rPr>
          <w:rFonts w:hint="eastAsia" w:ascii="仿宋" w:hAnsi="仿宋" w:eastAsia="仿宋"/>
        </w:rPr>
        <w:t>国</w:t>
      </w:r>
      <w:r>
        <w:rPr>
          <w:rFonts w:hint="eastAsia" w:ascii="仿宋" w:hAnsi="仿宋" w:eastAsia="仿宋"/>
          <w:bCs w:val="0"/>
        </w:rPr>
        <w:t>有资本经营预算支出决算表</w:t>
      </w:r>
      <w:r>
        <w:tab/>
      </w:r>
      <w:r>
        <w:fldChar w:fldCharType="begin"/>
      </w:r>
      <w:r>
        <w:instrText xml:space="preserve"> PAGEREF _Toc26916 \h </w:instrText>
      </w:r>
      <w:r>
        <w:fldChar w:fldCharType="separate"/>
      </w:r>
      <w:r>
        <w:t>72</w:t>
      </w:r>
      <w:r>
        <w:fldChar w:fldCharType="end"/>
      </w:r>
      <w:r>
        <w:rPr>
          <w:rFonts w:ascii="仿宋" w:hAnsi="仿宋" w:eastAsia="仿宋"/>
          <w:color w:val="000000"/>
        </w:rPr>
        <w:fldChar w:fldCharType="end"/>
      </w:r>
    </w:p>
    <w:p w14:paraId="48A06FB3">
      <w:pPr>
        <w:widowControl/>
        <w:jc w:val="left"/>
        <w:rPr>
          <w:rFonts w:ascii="仿宋" w:hAnsi="仿宋" w:eastAsia="仿宋"/>
          <w:color w:val="000000"/>
          <w:sz w:val="24"/>
        </w:rPr>
      </w:pPr>
      <w:r>
        <w:rPr>
          <w:rFonts w:ascii="仿宋" w:hAnsi="仿宋" w:eastAsia="仿宋"/>
          <w:color w:val="000000"/>
        </w:rPr>
        <w:fldChar w:fldCharType="end"/>
      </w:r>
    </w:p>
    <w:p w14:paraId="43D141B6">
      <w:pPr>
        <w:widowControl/>
        <w:jc w:val="left"/>
        <w:rPr>
          <w:rFonts w:ascii="黑体" w:hAnsi="黑体" w:eastAsia="黑体"/>
          <w:bCs/>
          <w:kern w:val="44"/>
          <w:sz w:val="44"/>
          <w:szCs w:val="44"/>
        </w:rPr>
      </w:pPr>
      <w:bookmarkStart w:id="16" w:name="_Toc15396599"/>
      <w:bookmarkStart w:id="17" w:name="_Toc15377196"/>
      <w:r>
        <w:rPr>
          <w:rFonts w:ascii="黑体" w:hAnsi="黑体" w:eastAsia="黑体"/>
          <w:b/>
        </w:rPr>
        <w:br w:type="page"/>
      </w:r>
    </w:p>
    <w:p w14:paraId="07474A0F">
      <w:pPr>
        <w:pStyle w:val="3"/>
        <w:jc w:val="center"/>
        <w:rPr>
          <w:rStyle w:val="29"/>
          <w:rFonts w:ascii="黑体" w:hAnsi="黑体" w:eastAsia="黑体"/>
          <w:b/>
          <w:bCs w:val="0"/>
        </w:rPr>
      </w:pPr>
      <w:bookmarkStart w:id="18" w:name="_Toc30239"/>
      <w:bookmarkStart w:id="19" w:name="_Toc20056"/>
      <w:r>
        <w:rPr>
          <w:rFonts w:hint="eastAsia" w:ascii="黑体" w:hAnsi="黑体" w:eastAsia="黑体"/>
          <w:b w:val="0"/>
        </w:rPr>
        <w:t xml:space="preserve">第一部分 </w:t>
      </w:r>
      <w:r>
        <w:rPr>
          <w:rStyle w:val="29"/>
          <w:rFonts w:hint="eastAsia" w:ascii="黑体" w:hAnsi="黑体" w:eastAsia="黑体"/>
          <w:b w:val="0"/>
          <w:bCs w:val="0"/>
        </w:rPr>
        <w:t>部门概况</w:t>
      </w:r>
      <w:bookmarkEnd w:id="16"/>
      <w:bookmarkEnd w:id="17"/>
      <w:bookmarkEnd w:id="18"/>
      <w:bookmarkEnd w:id="19"/>
    </w:p>
    <w:p w14:paraId="311EE176">
      <w:pPr>
        <w:widowControl/>
        <w:jc w:val="left"/>
        <w:rPr>
          <w:rFonts w:ascii="黑体" w:eastAsia="黑体"/>
          <w:color w:val="000000"/>
          <w:sz w:val="32"/>
          <w:szCs w:val="32"/>
        </w:rPr>
      </w:pPr>
    </w:p>
    <w:p w14:paraId="27F65469">
      <w:pPr>
        <w:pStyle w:val="4"/>
        <w:rPr>
          <w:rStyle w:val="30"/>
          <w:rFonts w:ascii="仿宋" w:hAnsi="仿宋" w:eastAsia="仿宋"/>
          <w:b w:val="0"/>
          <w:bCs w:val="0"/>
        </w:rPr>
      </w:pPr>
      <w:bookmarkStart w:id="20" w:name="_Toc20677"/>
      <w:bookmarkStart w:id="21" w:name="_Toc5550"/>
      <w:bookmarkStart w:id="22" w:name="_Toc15396600"/>
      <w:bookmarkStart w:id="23" w:name="_Toc15377197"/>
      <w:r>
        <w:rPr>
          <w:rFonts w:hint="eastAsia" w:ascii="黑体" w:hAnsi="黑体" w:eastAsia="黑体"/>
          <w:b w:val="0"/>
          <w:color w:val="000000"/>
        </w:rPr>
        <w:t>一、基</w:t>
      </w:r>
      <w:r>
        <w:rPr>
          <w:rStyle w:val="30"/>
          <w:rFonts w:hint="eastAsia" w:ascii="黑体" w:hAnsi="黑体" w:eastAsia="黑体"/>
          <w:b w:val="0"/>
          <w:bCs w:val="0"/>
        </w:rPr>
        <w:t>本职能及主要工作</w:t>
      </w:r>
      <w:bookmarkEnd w:id="20"/>
      <w:bookmarkEnd w:id="21"/>
      <w:bookmarkEnd w:id="22"/>
      <w:bookmarkEnd w:id="23"/>
    </w:p>
    <w:p w14:paraId="43D35E95">
      <w:pPr>
        <w:pStyle w:val="6"/>
        <w:adjustRightInd w:val="0"/>
        <w:snapToGrid w:val="0"/>
        <w:spacing w:before="93" w:line="600" w:lineRule="exact"/>
        <w:ind w:firstLine="675" w:firstLineChars="210"/>
        <w:outlineLvl w:val="2"/>
        <w:rPr>
          <w:rFonts w:ascii="仿宋" w:hAnsi="仿宋" w:eastAsia="仿宋"/>
          <w:bCs/>
          <w:color w:val="000000"/>
          <w:sz w:val="32"/>
          <w:szCs w:val="32"/>
        </w:rPr>
      </w:pPr>
      <w:bookmarkStart w:id="24" w:name="_Toc30987"/>
      <w:bookmarkStart w:id="25" w:name="_Toc15378445"/>
      <w:bookmarkStart w:id="26" w:name="_Toc15377198"/>
      <w:bookmarkStart w:id="27" w:name="_Toc9168"/>
      <w:r>
        <w:rPr>
          <w:rFonts w:hint="eastAsia" w:ascii="仿宋" w:hAnsi="仿宋" w:eastAsia="仿宋"/>
          <w:b/>
          <w:color w:val="000000"/>
          <w:sz w:val="32"/>
          <w:szCs w:val="32"/>
        </w:rPr>
        <w:t>（一）主要职能。</w:t>
      </w:r>
      <w:bookmarkEnd w:id="24"/>
      <w:bookmarkEnd w:id="25"/>
      <w:bookmarkEnd w:id="26"/>
      <w:bookmarkEnd w:id="27"/>
      <w:bookmarkStart w:id="28" w:name="_Toc15377199"/>
      <w:bookmarkStart w:id="29" w:name="_Toc15378446"/>
    </w:p>
    <w:p w14:paraId="4DE8258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第一条</w:t>
      </w: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根据《中共广元市昭化区委广元市昭化区人民政府关于印发〈广元市昭化区机构改革方案〉和〈广元市昭化区机构改革方案的实施意见〉的通知》（昭委发〔</w:t>
      </w:r>
      <w:r>
        <w:rPr>
          <w:rFonts w:hint="default" w:ascii="Times New Roman" w:hAnsi="Times New Roman" w:eastAsia="仿宋_GB2312" w:cs="Times New Roman"/>
          <w:sz w:val="32"/>
          <w:szCs w:val="32"/>
          <w:lang w:val="en-US" w:eastAsia="zh-CN"/>
        </w:rPr>
        <w:t>2019</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号），制定本规定。</w:t>
      </w:r>
    </w:p>
    <w:p w14:paraId="1862011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第二条</w:t>
      </w: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广元市昭化区农业农村局（简称区农业农村局）是广元市昭化区人民政府工作部门，为正科级。挂区农业园区建设管理办公室牌子（简称区园区办）。</w:t>
      </w:r>
    </w:p>
    <w:p w14:paraId="3242D1A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第三条  区委农村工作领导小组办公室（简称区委农办）设在区农业农村局，接受区委农村工作领导小组的直接领导，承担区委农村工作领导小组具体工作，组织开展“三农”重大问题的政策研究，协调督促有关方面落实区委农村工作领导小组决定事项、工作部署和要求等。设置区委农办秘书股，负责处理区委农办日常事务，组织开展乡村振兴等重大问题调查和政策研究，牵头乡村振兴日常工作。区农业农村局的内设机构根据工作需要承担区委农办相关工作，接受区委农办的统筹协调。</w:t>
      </w:r>
    </w:p>
    <w:p w14:paraId="13E36DD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第四条  区农业农村局贯彻落实党中央关于“三农”工作的方针政策和省委、市委、区委的决策部署，在履行职责过程中坚持和加强党对“三农”工作的集中统一领导。主要职责是：</w:t>
      </w:r>
    </w:p>
    <w:p w14:paraId="7806250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统筹研究和组织实施全区“三农”工作的发展战略、中长期规划、重大政策。组织起草“三农”有关地方性政策、规范性文件。贯彻执行国家有关种植业、畜牧业、渔业、农业机械化等农业领域工作的法律、法规、政策以及省委省政府、市委市政府、区委区政府关于“三农”方面的决策部署。参与涉农的财税、价格、收储、金融保险、进出口等政策制定。</w:t>
      </w:r>
    </w:p>
    <w:p w14:paraId="5F98B0E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统筹实施乡村振兴战略，牵头组织改善全区农村人居环境。统筹推动发展农村社会事业、农村公共服务、农村文化、农村基础设施和乡村治理。指导农业遗产的保护传承和开发利用。指导农村精神文明和优秀农耕文化建设。</w:t>
      </w:r>
    </w:p>
    <w:p w14:paraId="49A0198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拟订深化全区农村经济体制改革和巩固完善农村基本经营制度的政策措施。指导农民承包地、农村宅基地管理和改革有关工作。指导农村集体产权制度改革，负责农村集体经济组织发展、集体资产和财务管理工作。拟订农业产业化经营的发展规划与政策并组织实施，负责农民合作经济组织、农业社会化服务体系、新型农业经营主体建设与发展。指导、监督减轻农民负担工作。</w:t>
      </w:r>
    </w:p>
    <w:p w14:paraId="33605171">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负责全区乡村特色产业、农产品加工业（产地初加工）、休闲农业和乡村企业发展工作。负责特色农产品优势区建设和管理工作。拟订并实施现代农业园区的政策与规划，组织现代农业园区评定工作。培育、保护和发展农产品品牌，组织协调“菜篮子”工程有关工作。负责农业信息体系建设，推动数字农业发展。发布农业农村经济信息，监测分析农业农村经济运行。承担农业统计工作。</w:t>
      </w:r>
    </w:p>
    <w:p w14:paraId="21AF1A9B">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负责全区种植业、畜牧业、渔业等农业各产业和农业机械化的监督管理。负责粮食等农产品生产。负责粮食生产功能区和重要农产品生产保护区建设和管理工作。组织构建现代农业产业体系、生产体系、经营体系，负责农业标准化、规模化生产。落实促进粮油、畜禽、水产等主要农产品生产发展的相关政策措施，引导农业产业结构调整和产品品质改善，促进农业绿色发展。负责渔政渔港、网具监督管理。</w:t>
      </w:r>
    </w:p>
    <w:p w14:paraId="7E24A13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六）负责拟订全区农业全产业机械化、智能化、数字化发展规划并组织实施。组织开展农业机械技术引进、示范，推广农业机械新技术、新机具，负责全区农业机械基础设施的规划建设和管理工作。负责设施农业、农机库棚、机电提灌、机耕道等基础设施建设。</w:t>
      </w:r>
    </w:p>
    <w:p w14:paraId="39FF87B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七）负责全区农产品质量安全监督管理。组织开展农产品质量安全监测、追溯。参与拟订初级农产品质量安全地方标准并会同有关部门组织实施。负责农业检验检测体系建设。依法组织实施符合安全标准的初级农产品生产基地认定、产品认证、初级农产品地理标志登记保护和监督管理。</w:t>
      </w:r>
    </w:p>
    <w:p w14:paraId="756A2A9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八）组织开展全区农业资源区划和资源保护工作。负责农用地、渔业水域以及农业生物物种资源的保护与管理。负责水生野生动植物、耕地及永久基本农田质量保护工作。负责农村能源建设和农业资源环境工作。负责农产品产地环境管理和农业清洁生产，提出划定农产品禁止生产区域的政策建议，负责设施农业、生态循环农业、节水农业发展以及农村可再生能源综合开发利用、农业生物质产业发展。</w:t>
      </w:r>
    </w:p>
    <w:p w14:paraId="1949526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九）负责全区有关农业生产资料和农业投入品的监督管理。组织农业生产资料市场体系建设，承担农作物种子（种苗）、蚕种、饲草良种、种畜禽、水产苗种、农药、兽药（渔药）、饲料、饲料添加剂等农业生产资料的监督管理职责。牵头“瘦肉精”监督管理。监督管理兽医医疗器械、肥料登记。拟订有关农业生产资料地方标准并监督实施，会同有关部门监督实施农业生产资料国家标准。组织兽医医政、兽药（渔药）药政药检工作，负责执业兽医和畜禽屠宰行业管理。</w:t>
      </w:r>
    </w:p>
    <w:p w14:paraId="5943306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负责全区农业防灾减灾、农作物重大病虫害防治工作。牵头起草动植物防疫和检疫的规范性文件，会同有关部门制定动植物防疫检疫政策并实施。负责动植物防疫检疫体系建设，组织监督管理区内动植物防疫检疫工作，依法组织扑灭疫情。组织植物检疫性有害生物普查。牵头管理外来农业物种。监测、核查、发布农业灾情，组织种子、种苗、化肥、兽药（渔药）等农业生产救灾物资的储备和调拨，提出生产救灾资金安排建议，负责紧急救灾和灾后生产恢复。</w:t>
      </w:r>
    </w:p>
    <w:p w14:paraId="3DC0242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一）负责全区农业投资管理。提出农业投融资体制机制改革建议。参与农村金融、农业保险的政策拟订和改革试点。编制农业投资项目建设规划，提出农业投资规模和方向、扶持农业农村发展财政项目的建议，按照规定权限审批农业投资项目。负责农业投资项目资金安排和监督管理。</w:t>
      </w:r>
    </w:p>
    <w:p w14:paraId="29128894">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二）负责全区农田建设管理。拟订农田建设发展规划，提出农田建设项目需求建议。负责全区农田建设管理、高标准农田建设和耕地质量管理。编制农业综合开发项目、农田建设项目、农田整治项目、农田水利建设项目，并组织实施和管理。</w:t>
      </w:r>
    </w:p>
    <w:p w14:paraId="73291AD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三）制定全区农业科研、农技推广的规划、计划和有关政策并组织实施。牵头推动农业科技体制改革和农业科技创新体系建设。负责农业产业技术体系和农技推广体系建设，组织农作物、畜禽、水产养殖等新品种育种攻关和农业先进技术引进、试验、转化、示范、推广。负责农业转基因生物安全监督管理和农业植物新品种保护。</w:t>
      </w:r>
    </w:p>
    <w:p w14:paraId="510D1A8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（十四）负责全区农业农村人才工作。拟订农业农村人才队伍建设规划并组织实施。负责农业教育和农业职业技能开发。承担新型职业农民培育、农业科技人才培养和农村实用人才培训工作。</w:t>
      </w:r>
    </w:p>
    <w:p w14:paraId="3003C35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五）开展全区农业对外合作工作。承办政府间农业涉外事务，参与拟订农业对外开放政策和外向型农业发展规划，指导外向型农业发展。组织开展农业贸易促进和有关国际交流合作，组织开展农业投资促进活动，推动农业开放合作。</w:t>
      </w:r>
    </w:p>
    <w:p w14:paraId="5311453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（十六）编制全区烟叶种植规划方案，督促检查烟叶种植方案贯彻落实。协调烟草工业、商业做好相关工作。组织实施区级烟草扶持项目。</w:t>
      </w:r>
    </w:p>
    <w:p w14:paraId="455F271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（十七）统筹协调和监督指导全区农业综合执法。负责区本级的涉农违法案件办理。推进农业依法行政。</w:t>
      </w:r>
    </w:p>
    <w:p w14:paraId="3F466D7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八）依法依规负责农业安全生产和职业健康监督管理工作。负责农业机械、农（兽）药、饲料、渔业、畜禽屠宰行业安全生产和职业健康的监督管理。负责组织实施农村沼气项目的安全生产和职业健康监督管理。对农业园区的安全生产和职业健康工作实施行业监督管理。负责拟订职责范围内的安全生产年度监督检查计划并组织实施。</w:t>
      </w:r>
    </w:p>
    <w:p w14:paraId="14BC9C1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（十九）负责职责范围内的生态环境保护、审批服务便民化等工作。</w:t>
      </w:r>
    </w:p>
    <w:p w14:paraId="334A457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（二十）完成区委、区政府交办的其他任务。</w:t>
      </w:r>
    </w:p>
    <w:p w14:paraId="528B57B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（二十一）职能转变</w:t>
      </w:r>
    </w:p>
    <w:p w14:paraId="677994F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1.统筹实施乡村振兴战略，深化农业供给侧结构性改革，促进农业绿色发展、高质量发展，推动农业全面升级、农村全面进步、农民全面发展，加快实现农业农村现代化。</w:t>
      </w:r>
    </w:p>
    <w:p w14:paraId="3A27220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2.加强初级农产品质量安全和相关农业生产资料、农业投入品的监督管理，严防、严管、严控农产品质量安全风险。</w:t>
      </w:r>
    </w:p>
    <w:p w14:paraId="4ADDBA1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深入推进简政放权，加强对行业内交叉重复以及性质相同、用途相近的农业投资项目的统筹整合，最大限度缩小项目审批范围，进一步下放审批权限，加强事中事后监管，切实提升支农政策效果和资金使用效益。</w:t>
      </w:r>
    </w:p>
    <w:p w14:paraId="151A0E4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统筹推进承担行政职能的事业单位改革。区植保植检站不再承担植物检疫监督管理职责；区农村合作经济管理站不再承担农村土地承包、土地流转行政管理职责；区农村能源管理办公室不再承担农村能源管理职责；区种子管理站不再承担农作物种子行政执法和市场管理职责；区农机监理站不再承担农业机械事故责任认定、调解处理和组织指导全区农业机械安全监督检查职责。上述行政职能交由区农业农村局机关有关内设机构承担。</w:t>
      </w:r>
    </w:p>
    <w:p w14:paraId="03542E3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（二十二）有关职责分工</w:t>
      </w:r>
    </w:p>
    <w:p w14:paraId="4B4A8041">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与区经济信息化和科学技术局的有关职责分工。区经济信息化和科学技术局负责农产品加工业（精深加工）相关工作，区农业农村局负责初级农产品加工业（产地初加工）相关工作。区农业农村局负责烟叶种植等相关工作。区经济信息化和科学技术局负责农业装备工业相关工作，区农业农村局负责农业机械化相关工作。</w:t>
      </w:r>
    </w:p>
    <w:p w14:paraId="5A2664C8">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2.与区文化旅游和体育局的有关职责分工。区文化旅游和体育局会同区农业农村局建立健全协同配合机制，推动乡村旅游工作。区农业农村局负责休闲农业推动工作。</w:t>
      </w:r>
    </w:p>
    <w:p w14:paraId="3D7D1AE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与区市场监督管理局有关职责分工。区农业农村局负责食用、初级农产品从种植养殖环节到进入批发、零售市场或生产加工企业前的质量安全监督管理。食用初级农产品进入批发、零售市场或生产加工企业后，由区市场监督管理局监督管理。区农业农村局负责动植物疫病防控、畜禽屠宰环节、生鲜乳收购环节质量安全的监督管理。区农业农村局负责建立初级农产品质量安全产地准出和追溯机制，区市场监督监管局负责建立食用、农产品市场准入和追溯机制。</w:t>
      </w:r>
    </w:p>
    <w:p w14:paraId="61482DB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第五条  区农业农村局设下列内设机构：</w:t>
      </w:r>
    </w:p>
    <w:p w14:paraId="11798ED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办公室。负责文电、会务、档案、机要等机关日常运转工作，承担保密、安全保卫、绩效管理、政务信息、政务公开、新闻宣传、史志编纂等工作。组织办理人大代表建议、政协委员提案。负责机关的重大突发事件应急综合管理、信访维稳等工作。承担机关国有资产管理、政府采购工作。负责机关政务信息化建设与管理工作。负责机关后勤服务管理。</w:t>
      </w:r>
    </w:p>
    <w:p w14:paraId="3803FEA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负责机关和下属单位干部队伍建设、机构编制、工资和干部职工教育培训工作。负责农业系统内专业技术职称评审、干部培训和人才队伍建设。负责机关和下属单位离退休人员工作。</w:t>
      </w:r>
    </w:p>
    <w:p w14:paraId="1E173F0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承担农业农村有关地方性法规、规范性文件的起草和执法监督工作。组织协调和督促农业依法行政工作。负责行政应诉、行政调解、规范性文件合法性审查和备案。负责区直部门涉及“三农”工作政策性文件合法性审核把关。承担普法宣传工作。牵头本系统行政权力运行工作，承担权责清单制度建设、动态调整等工作。指导农业行政执法体系建设和综合行政执法工作。牵头协调推进本系统“放管服”改革，承担审批服务便民化有关工作。牵头清理规范本系统审批服务事项，规范行政审批过程，集中承担区本级有关审批服务事项的受理、审批等工作，推进纳入一体化政务服务平台。组织实施集中审批的有关业务培训指导工作。牵头农业领域的社会信用体系建设工作。负责机关和下属单位党群、监督和内部审计工作。负责机关及下属单位工会工作。</w:t>
      </w:r>
    </w:p>
    <w:p w14:paraId="46F8C3E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计划投资财务股。编制农业项目储备，提出扶持全区农业农村发展财政项目的建议和农业投资规模、方向的建议。按国务院、省政府、农业农村部、市政府、农业农村厅、区政府和市农业农村局规定权限审批农业投资项目。牵头申报和争取上级项目。负责农业投资项目统筹整合、资金安排和监督管理。编报部门预算并组织执行。参与农村金融、农业保险的政策制定和改革试点。参与农业政策性补贴实施。负责机关财务管理。承担农业产业扶贫开发工作。负责贫困村产业扶持基金和乡村振兴产业发展贷款分险金监督管理。负责项目投资和固定资产投资工作。</w:t>
      </w:r>
    </w:p>
    <w:p w14:paraId="3AD8A40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牵头开展全区农业对外合作工作，参与拟订农业对外开放政策和外向型农业发展规划，指导外向型农业发展。承担政府间农业涉外事务、经济技术交流与合作，协调管理与有关农业国际组织或机构合作、交流。承担农业区域协调发展相关工作。指导农产品出口基地建设。研究农业投资促进的有关政策，负责农业招商、经贸洽谈。组织开展农业会展活动。负责机关外事侨务、涉农国外智力引进工作。承担涉及港澳台地区有关农业事务。</w:t>
      </w:r>
    </w:p>
    <w:p w14:paraId="66D80171">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农产品质量监管与科技教育股。牵头农作物、畜禽、水产等新品种育种攻关，组织农业先进技术引进、试验、转化、示范、推广。协调推动农业科技体制改革及农技推广体系建设。监督管理农业转基因生物安全。承担外来农业物种和农业生物物种资源管理相关工作。负责农业科技成果的管理。指导农业职业教育和学历教育工作。牵头研究拟订全区职业农民教育培训、认定管理、职称评定、生产生活扶持等制度。负责实施新型职业农民教育培训，指导培训基地建设。负责职业农民职称认定工作。研究制定农村实用人才、技能型人才扶持政策并组织实施。指导农业农村“双创”工作。</w:t>
      </w:r>
    </w:p>
    <w:p w14:paraId="03DE15D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承担农业农村数字化、智能化、信息化建设相关工作，提出项目建议和扶持措施，指导农业农村生产、经营、管理、服务信息化建设。组织开展农产品和农业生产资料供求、价格分析和监测预警。发布农业农村经济信息，指导农业信息服务。承担农业各类统计和农业农村信息化有关工作。</w:t>
      </w:r>
    </w:p>
    <w:p w14:paraId="634C333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组织实施全区农产品质量安全监督管理有关工作。负责农产品质量安全监管体系、检验检测体系和信用体系建设。承担农产品质量安全标准、监测、追溯、风险评估等相关工作。负责农产品质量体系认证管理。承担培育、保护和发展农产品品牌有关工作。牵头农业绿色发展和农业标准化工作。</w:t>
      </w:r>
    </w:p>
    <w:p w14:paraId="1763C774">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种植业股（特色产业股）。组织协调全区乡村产业发展。拟订全区种植业（粮油）产业发展政策、规划并组织实施。负责粮食生产功能区建设和管理。负责种植业（粮油）产业结构和布局调整。拟订水果、蔬菜、烟叶等特色经济作物产业发展的政策、规划并组织实施。组织协调“菜篮子”工程有关工作。</w:t>
      </w:r>
    </w:p>
    <w:p w14:paraId="0956C9C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起草全区农作物种业发展政策、规划。组织实施农作物种质资源保护和管理。承担农作物种子（种苗）、蚕种等监督管理职责。组织抗灾救灾和救灾备荒的种子储备调拨。负责农作物种子基地和良繁体系建设。承担植物新品种保护工作。牵头农业防灾减灾，负责农作物重大病虫害防治工作。指导农业植物检疫体系建设，组织实施、监督管理农业植物检疫工作，组织扑灭疫情。承担肥料有关监督管理以及农药生产、经营和质量监督管理，指导农药科学合理使用。负责农药安全生产和职业健康监督管理。负责移民库区农业相关工作，牵头农业禁毒工作。</w:t>
      </w:r>
    </w:p>
    <w:p w14:paraId="1C340C54">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畜牧水产股（兽医兽药股）。拟订全区现代畜牧业和兽医发展规划、政策并组织实施。牵头组织畜牧兽医标准化和畜牧兽医体系建设。指导生猪、肉牛羊、土鸡等畜禽产业发展，监督管理生鲜乳生产收购运输环节质量安全。负责畜禽粪污资源化利用。负责动物防疫、检疫和畜禽屠宰管理。负责兽医从业人员、动物诊疗机构和动物防疫条件审核等兽医医政管理。负责动物疫病疫情防控和防灾减灾。承担区动物重大疫病防治指挥部办公室日常工作。</w:t>
      </w:r>
    </w:p>
    <w:p w14:paraId="07812B6B">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拟订全区饲料及添加剂、兽药（渔药）及兽医器械行业发展规划、政策并组织实施。负责饲料及添加剂生产、经营和使用的监督管理。牵头负责“瘦肉精”监管工作，在生猪养殖、收购、贩运、定点屠宰环节实施对“瘦肉精”的检验、认定和查处。负责农作物秸秆等饲用饲料资源的开发与利用。负责饲草良种体系建设、标准化规模化生产和加工流通。负责兽药（渔药）及兽医器械经营和使用的监督管理。</w:t>
      </w:r>
    </w:p>
    <w:p w14:paraId="22DFFDF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拟订全区渔业发展政策、规划并组织实施。保护和合理开发利用渔业资源，负责水产健康养殖和水产品加工流通，组织水生动植物病害防控。组织实施渔业水域生态环境及水生野生动植物保护。负责渔业技术推广体系建设管理和渔政渔港、网具监督管理。负责渔业防灾减灾和灾后恢复生产。负责水生动物防疫检疫、渔事纠纷处理等相关工作。</w:t>
      </w:r>
    </w:p>
    <w:p w14:paraId="0D4C00C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起草全区畜禽种业发展政策、规划。组织实施畜禽遗传资源保护和管理。承担饲草良种、种畜禽、水产种苗等监督管理职责。负责种畜禽、水产种苗基地和良繁体系建设。承担动物及水生动植物新品种保护工作。负责水产品质量安全，渔业生产、畜禽屠宰行业、饲料、兽药（渔药）安全生产和职业健康监督管理。</w:t>
      </w:r>
    </w:p>
    <w:p w14:paraId="237758C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六）农田建设与农业机械化股。负责全区农田建设管理工作。拟订农田建设发展规划，提出农田建设项目需求建议。负责高标准农田建设和耕地质量管理。编制农业综合开发项目、农田建设项目、农田整治项目、农田水利建设项目的年度计划，并组织实施和管理。永久基本农田质量保护。拟订农田建设技术标准及规范，并指导实施。承担农业综合开发有关国际合作项目年度计划编制、组织实施等管理工作。</w:t>
      </w:r>
    </w:p>
    <w:p w14:paraId="79EDAFC4">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拟订全区农业机械化、智能化、数字化发展规划并组织实施。组织开展农业机械技术攻关、开发，引进、示范和推广农业机械新技术、新机具。指导设施农业、农机库棚、机耕道等基础设施建设。拟订农村机电提灌发展规划，指导农村机电提灌建设。组织指导农业机械安全技术检验，承担拖拉机、联合收割机等农业机械的登记、牌证核发和驾驶操作人员的监督管理。负责农业机械安全生产、职业健康的监督管理和农机驾驶培训机构监管。承担农业机械事故责任认定、调解处理工作，组织实施全区农业机械安全监督检查。牵头农业行业安全生产监督管理。</w:t>
      </w:r>
    </w:p>
    <w:p w14:paraId="1C0A41B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七）宜居乡村建设股（区委农办秘书股）。提出全区农村人居环境整治项目安排建议并组织实施。统筹指导村庄整治、村容村貌提升、新村建设。协调推动农村社会事业发展、公共服务体系建设和基础设施建设。研究全区乡村治理政策和治理体系，参与农村基层组织建设、基层政权建设、党风廉政建设、基层民主建设、基层法治建设工作。负责农民利益、惠农政策和涉农项目执行情况的督促检查。监督减轻农民负担和村民“一事一议”筹资筹劳管理。指导农业遗产的保护传承和开发利用。指导农村精神文明和优秀农耕文化建设。</w:t>
      </w:r>
    </w:p>
    <w:p w14:paraId="21FADF4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牵头农业农村生态环境保护工作。指导农用地、农业生物物种资源及农产品产地环境保护和管理。负责农村能源建设管理工作，指导农村可再生能源开发利用、节能减排、农业清洁生产和生态循环农业建设。</w:t>
      </w:r>
    </w:p>
    <w:p w14:paraId="35784C5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起草农业和农村经济发展战略、中长期发展规划。承担区域发展规划相关工作。组织构建现代农业产业体系、生产体系、经营体系，指导农业标准化、规模化生产。组织农业资源区划工作，承担农业区域协调发展相关工作。负责农业园区规划布局，拟订现代农业园区建设标准，承担各类现代农业产业园区（示范区）监测、评价、考核和监督管理工作。对农业园区的安全生产和职业健康工作实施行业监督管理。牵头指导“三江新区”昭化片区农业发展工作。</w:t>
      </w:r>
    </w:p>
    <w:p w14:paraId="093BD69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负责区委农办日常工作。</w:t>
      </w:r>
    </w:p>
    <w:p w14:paraId="61DFBEA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八）农村改革与合作经济指导股。牵头农业农村体制改革工作。组织开展农村改革综合性、全局性相关政策调查研究。牵头拟订农村体制改革、机制创新工作方案，统筹协调和组织推进农村改革工作。负责农村改革试点示范、经验总结等工作。提出全区农村基本经营制度的政策建议。负责农民承包地“三权”分置、农村宅基地“三权”分置、土地经营权流转、纠纷调解仲裁管理。承担农村集体产权制度改革工作。负责农村宅基地管理相关工作。牵头组织农村产权交易市场培育工作。负责农经统计工作。</w:t>
      </w:r>
    </w:p>
    <w:p w14:paraId="751AA0D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指导农村集体资产和财务管理。组织推行农村集体经济有效实现形式，培育发展农村集体经济组织。指导盘活农村集体资源资产，发展农村集体经济。负责农村经济运行分析研究。指导促进农民增收工作。</w:t>
      </w:r>
    </w:p>
    <w:p w14:paraId="5B3D475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指导农民合作经济组织建设。提出农业产业化经营发展的政策建议，承担农业产业化重点龙头企业的认定和监测工作。研究支持家庭农场发展的相关政策并组织实施，开展家庭农场的示范创建和监督管理。起草全区农业生产社会化服务体系发展规划，负责农产品冷链物流体系建设。研究拟订农业生产性服务相关支持政策并组织实施。指导公益性社会化服务组织建设，培育经营性农业社会化服务组织。</w:t>
      </w:r>
    </w:p>
    <w:p w14:paraId="216119B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第六条  区农业农村局机关行政编制15名。其中，局长1名，副局长3名，总农艺师1名，总经济师1名，总兽医（畜牧）师1名。股级职数8名。</w:t>
      </w:r>
    </w:p>
    <w:p w14:paraId="222737E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机关工勤人员事业编制1名。</w:t>
      </w:r>
    </w:p>
    <w:p w14:paraId="6298868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机关党委书记、工会主席等职务按有关规定配备。</w:t>
      </w:r>
    </w:p>
    <w:p w14:paraId="1E145778">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第七条  区农业农村局所属事业单位机构的设置、职责和编制事项另行规定。</w:t>
      </w:r>
    </w:p>
    <w:p w14:paraId="507BD80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第八条  本规定由中共广元市昭化区委机构编制委员会办公室负责解释，其调整由中共广元市昭化区委机构编制委员会办公室按规定程序办理。</w:t>
      </w:r>
    </w:p>
    <w:p w14:paraId="0D49232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第九条  本规定自2019年3月25日起施行。</w:t>
      </w:r>
    </w:p>
    <w:p w14:paraId="680F2267">
      <w:pPr>
        <w:pStyle w:val="6"/>
        <w:adjustRightInd w:val="0"/>
        <w:snapToGrid w:val="0"/>
        <w:spacing w:before="93" w:line="600" w:lineRule="exact"/>
        <w:ind w:firstLine="675" w:firstLineChars="210"/>
        <w:outlineLvl w:val="2"/>
        <w:rPr>
          <w:rFonts w:hint="eastAsia" w:ascii="仿宋" w:hAnsi="仿宋" w:eastAsia="仿宋"/>
          <w:b/>
          <w:color w:val="000000"/>
          <w:sz w:val="32"/>
          <w:szCs w:val="32"/>
        </w:rPr>
      </w:pPr>
      <w:bookmarkStart w:id="30" w:name="_Toc9801"/>
      <w:bookmarkStart w:id="31" w:name="_Toc23527"/>
      <w:r>
        <w:rPr>
          <w:rFonts w:hint="eastAsia" w:ascii="仿宋" w:hAnsi="仿宋" w:eastAsia="仿宋"/>
          <w:b/>
          <w:color w:val="000000"/>
          <w:sz w:val="32"/>
          <w:szCs w:val="32"/>
        </w:rPr>
        <w:t>（</w:t>
      </w:r>
      <w:r>
        <w:rPr>
          <w:rFonts w:hint="eastAsia" w:ascii="仿宋" w:hAnsi="仿宋" w:eastAsia="仿宋"/>
          <w:b/>
          <w:color w:val="000000"/>
          <w:sz w:val="32"/>
          <w:szCs w:val="32"/>
          <w:lang w:eastAsia="zh-CN"/>
        </w:rPr>
        <w:t>二</w:t>
      </w:r>
      <w:r>
        <w:rPr>
          <w:rFonts w:hint="eastAsia" w:ascii="仿宋" w:hAnsi="仿宋" w:eastAsia="仿宋"/>
          <w:b/>
          <w:color w:val="000000"/>
          <w:sz w:val="32"/>
          <w:szCs w:val="32"/>
        </w:rPr>
        <w:t>）</w:t>
      </w:r>
      <w:r>
        <w:rPr>
          <w:rFonts w:hint="eastAsia" w:ascii="仿宋" w:hAnsi="仿宋" w:eastAsia="仿宋"/>
          <w:b/>
          <w:color w:val="000000"/>
          <w:sz w:val="32"/>
          <w:szCs w:val="32"/>
          <w:lang w:eastAsia="zh-CN"/>
        </w:rPr>
        <w:t>重点工作完成情况</w:t>
      </w:r>
      <w:r>
        <w:rPr>
          <w:rFonts w:hint="eastAsia" w:ascii="仿宋" w:hAnsi="仿宋" w:eastAsia="仿宋"/>
          <w:b/>
          <w:color w:val="000000"/>
          <w:sz w:val="32"/>
          <w:szCs w:val="32"/>
        </w:rPr>
        <w:t>。</w:t>
      </w:r>
      <w:bookmarkEnd w:id="30"/>
      <w:bookmarkEnd w:id="31"/>
    </w:p>
    <w:p w14:paraId="57A523B9">
      <w:pPr>
        <w:spacing w:line="576" w:lineRule="exact"/>
        <w:ind w:firstLine="643" w:firstLineChars="200"/>
        <w:rPr>
          <w:rFonts w:ascii="Times New Roman" w:hAnsi="Times New Roman" w:eastAsia="仿宋_GB2312"/>
          <w:color w:val="000000"/>
          <w:sz w:val="32"/>
          <w:szCs w:val="32"/>
        </w:rPr>
      </w:pPr>
      <w:r>
        <w:rPr>
          <w:rFonts w:hint="eastAsia" w:ascii="Times New Roman" w:hAnsi="Times New Roman" w:eastAsia="仿宋_GB2312" w:cs="Times New Roman"/>
          <w:b/>
          <w:sz w:val="32"/>
          <w:szCs w:val="32"/>
          <w:lang w:val="zh-TW" w:eastAsia="zh-CN"/>
        </w:rPr>
        <w:t>一是</w:t>
      </w:r>
      <w:r>
        <w:rPr>
          <w:rFonts w:ascii="Times New Roman" w:hAnsi="Times New Roman" w:eastAsia="楷体_GB2312"/>
          <w:color w:val="000000"/>
          <w:sz w:val="32"/>
          <w:szCs w:val="32"/>
        </w:rPr>
        <w:t>保障粮食生猪等重要农产品安全。</w:t>
      </w:r>
      <w:r>
        <w:rPr>
          <w:rFonts w:ascii="Times New Roman" w:hAnsi="Times New Roman" w:eastAsia="仿宋_GB2312"/>
          <w:color w:val="000000"/>
          <w:sz w:val="32"/>
          <w:szCs w:val="32"/>
        </w:rPr>
        <w:t>全面落实粮食安全行政首长负责制，实施高标准农田建设，新建高标准农田3.2万亩，</w:t>
      </w:r>
      <w:r>
        <w:rPr>
          <w:rFonts w:ascii="Times New Roman" w:hAnsi="Times New Roman" w:eastAsia="仿宋_GB2312"/>
          <w:bCs/>
          <w:color w:val="000000"/>
          <w:sz w:val="32"/>
          <w:szCs w:val="32"/>
        </w:rPr>
        <w:t>积极落实种粮扶持政策，全面清理撂荒耕地，</w:t>
      </w:r>
      <w:r>
        <w:rPr>
          <w:rFonts w:ascii="Times New Roman" w:hAnsi="Times New Roman" w:eastAsia="仿宋_GB2312"/>
          <w:color w:val="000000"/>
          <w:kern w:val="0"/>
          <w:sz w:val="32"/>
          <w:szCs w:val="32"/>
          <w:lang w:bidi="ar"/>
        </w:rPr>
        <w:t>深入实施复种复垦工程，</w:t>
      </w:r>
      <w:r>
        <w:rPr>
          <w:rFonts w:ascii="Times New Roman" w:hAnsi="Times New Roman" w:eastAsia="仿宋"/>
          <w:bCs/>
          <w:color w:val="000000"/>
          <w:sz w:val="32"/>
          <w:szCs w:val="32"/>
        </w:rPr>
        <w:t>完成撂荒耕地清理2.9万亩，</w:t>
      </w:r>
      <w:r>
        <w:rPr>
          <w:rFonts w:ascii="Times New Roman" w:hAnsi="Times New Roman" w:eastAsia="仿宋_GB2312"/>
          <w:color w:val="000000"/>
          <w:sz w:val="32"/>
          <w:szCs w:val="32"/>
        </w:rPr>
        <w:t>千方百计扩种粮油3.5万亩，全年粮油播种面积61.49万亩，实现粮油总产量15.9万吨。</w:t>
      </w:r>
      <w:r>
        <w:rPr>
          <w:rFonts w:ascii="Times New Roman" w:hAnsi="Times New Roman" w:eastAsia="仿宋_GB2312"/>
          <w:color w:val="000000"/>
          <w:kern w:val="0"/>
          <w:sz w:val="32"/>
          <w:szCs w:val="32"/>
          <w:lang w:bidi="ar"/>
        </w:rPr>
        <w:t>深入实施粮油绿色优质高效行动，持续推进“四新”“六良”综合配套，大力提升粮油综合产能，推广应用新品种16个、新技术4项，良种覆盖率达到96%，病虫害损失率控制在4%以内。严格落实生猪稳产保供责任制，持续加强非洲猪瘟三级防控，建立健全非洲猪瘟网格化管理体系，全力推进生猪产能恢复，用好用活生猪生产扶持政策，推进新希望、铁骑力士等生猪产能恢复重点项目建设，大力发展生猪规模养殖，新建出栏500头以上标准化养殖场72家，出栏生猪63.2万头。</w:t>
      </w:r>
    </w:p>
    <w:p w14:paraId="12B05D88">
      <w:pPr>
        <w:spacing w:line="576" w:lineRule="exact"/>
        <w:ind w:firstLine="643" w:firstLineChars="200"/>
        <w:rPr>
          <w:rFonts w:ascii="Times New Roman" w:hAnsi="Times New Roman" w:eastAsia="仿宋_GB2312"/>
          <w:bCs/>
          <w:color w:val="000000"/>
          <w:sz w:val="32"/>
          <w:szCs w:val="32"/>
        </w:rPr>
      </w:pPr>
      <w:r>
        <w:rPr>
          <w:rFonts w:hint="eastAsia" w:ascii="Times New Roman" w:hAnsi="Times New Roman" w:eastAsia="仿宋_GB2312" w:cs="Times New Roman"/>
          <w:b/>
          <w:sz w:val="32"/>
          <w:szCs w:val="32"/>
          <w:lang w:val="zh-TW" w:eastAsia="zh-CN"/>
        </w:rPr>
        <w:t>二是</w:t>
      </w:r>
      <w:r>
        <w:rPr>
          <w:rFonts w:ascii="Times New Roman" w:hAnsi="Times New Roman" w:eastAsia="楷体_GB2312"/>
          <w:bCs/>
          <w:color w:val="000000"/>
          <w:kern w:val="0"/>
          <w:sz w:val="32"/>
          <w:szCs w:val="32"/>
        </w:rPr>
        <w:t>推进现代农业特色产业提质增效。</w:t>
      </w:r>
      <w:r>
        <w:rPr>
          <w:rFonts w:ascii="Times New Roman" w:hAnsi="Times New Roman" w:eastAsia="仿宋_GB2312"/>
          <w:color w:val="000000"/>
          <w:sz w:val="32"/>
          <w:szCs w:val="32"/>
        </w:rPr>
        <w:t>围绕现代农业特色产业“5+3”产业体系建设，按照“两廊两带两全域”重点产业布局，进一步明确各镇主导产业，扎实推进元坝、卫子、太公等猕猴桃、脆桃产业重点镇管护提质，新建猕猴桃基地0.27万亩、避雨大棚1100亩，改造提升猕猴桃老园区1.6万亩，新增产量0.13万吨。新建黄桃、枇杷产业基地0.1万亩，巩固提升桃、李等小水果产业园1.5万亩。推进昭化、虎跳、元坝等蔬菜产业重点镇围绕龙头企业加工和加强城市蔬菜调节供给，新建城市调节蔬菜基地0.87万亩，全年蔬菜种植面积18.5万亩，产量42.8万吨，打造昭化、虎跳、射箭等蔬菜产业强镇5个。推进土鸡产业发展，以三联禽业为重点，新建标准化育雏场53个，发展托管代养规模养殖农户258户，出栏土鸡1285万只。推进稻渔综合种养规模化发展，巩固王家、磨滩、清水等镇发展稻渔综合种养2万亩。实施延链升级行动，发展农产品精深加工，支持天垠农业扩建桃李等特色水果加工线，支持浩翔农业、景思源农业发展稻渔米精深加工和稻谷烘干，新建稻渔米精深加工厂2家、优质稻谷烘干厂房2个，技改优质稻谷烘干厂房3个，农产品初加工率达到85%。发展农产品冷链物流，依托东西部对口帮扶，新建冷库0.3万吨，新建农村物流配送中心5个，稳步提升电商物流园综合配置，实现园区产值1500万元。发展现代种业，支持生猪良繁体系建设，新建</w:t>
      </w:r>
      <w:r>
        <w:rPr>
          <w:rFonts w:ascii="Times New Roman" w:hAnsi="Times New Roman" w:eastAsia="仿宋_GB2312"/>
          <w:color w:val="000000"/>
          <w:kern w:val="0"/>
          <w:sz w:val="32"/>
          <w:szCs w:val="32"/>
          <w:lang w:bidi="ar"/>
        </w:rPr>
        <w:t>10万头以上仔猪扩繁场4家，</w:t>
      </w:r>
      <w:r>
        <w:rPr>
          <w:rFonts w:ascii="Times New Roman" w:hAnsi="Times New Roman" w:eastAsia="仿宋_GB2312"/>
          <w:color w:val="000000"/>
          <w:sz w:val="32"/>
          <w:szCs w:val="32"/>
        </w:rPr>
        <w:t>新增能繁母猪2.25万头，支持猕猴桃花粉繁育中心建设，建设紫云猕猴桃花粉繁育中心50亩，</w:t>
      </w:r>
      <w:r>
        <w:rPr>
          <w:rFonts w:ascii="Times New Roman" w:hAnsi="Times New Roman" w:eastAsia="仿宋_GB2312"/>
          <w:bCs/>
          <w:color w:val="000000"/>
          <w:sz w:val="32"/>
          <w:szCs w:val="32"/>
        </w:rPr>
        <w:t>组建王家贡米优质稻品种选育科技特派团，扩建选育基地50亩，收集扩繁育种材料80个。</w:t>
      </w:r>
    </w:p>
    <w:p w14:paraId="228D6CA7">
      <w:pPr>
        <w:spacing w:line="576" w:lineRule="exact"/>
        <w:ind w:firstLine="640" w:firstLineChars="200"/>
        <w:rPr>
          <w:rFonts w:ascii="仿宋_GB2312" w:eastAsia="仿宋_GB2312"/>
          <w:kern w:val="0"/>
          <w:sz w:val="32"/>
          <w:szCs w:val="32"/>
          <w:lang w:val="zh-TW"/>
        </w:rPr>
      </w:pPr>
    </w:p>
    <w:p w14:paraId="583A0BD7">
      <w:pPr>
        <w:spacing w:line="576" w:lineRule="exact"/>
        <w:ind w:firstLine="643" w:firstLineChars="200"/>
        <w:rPr>
          <w:rFonts w:ascii="楷体_GB2312" w:eastAsia="楷体_GB2312"/>
          <w:kern w:val="0"/>
          <w:sz w:val="32"/>
          <w:szCs w:val="32"/>
        </w:rPr>
      </w:pPr>
      <w:r>
        <w:rPr>
          <w:rFonts w:hint="eastAsia" w:ascii="楷体_GB2312" w:eastAsia="楷体_GB2312"/>
          <w:b/>
          <w:bCs/>
          <w:kern w:val="0"/>
          <w:sz w:val="32"/>
          <w:szCs w:val="32"/>
          <w:lang w:val="zh-TW" w:eastAsia="zh-CN"/>
        </w:rPr>
        <w:t>三是</w:t>
      </w:r>
      <w:r>
        <w:rPr>
          <w:rFonts w:ascii="Times New Roman" w:hAnsi="Times New Roman" w:eastAsia="楷体_GB2312"/>
          <w:bCs/>
          <w:color w:val="000000"/>
          <w:sz w:val="32"/>
          <w:szCs w:val="32"/>
        </w:rPr>
        <w:t>助推现代农业园区提档升星。</w:t>
      </w:r>
      <w:r>
        <w:rPr>
          <w:rFonts w:ascii="Times New Roman" w:hAnsi="Times New Roman" w:eastAsia="仿宋_GB2312"/>
          <w:color w:val="000000"/>
          <w:sz w:val="32"/>
          <w:szCs w:val="32"/>
        </w:rPr>
        <w:t>始终将现代农业园区建设作为农业产业发展的“抓手”，实施现代农业园区巩固提升年行动，全面推行“园长制”、建立“工作专班”，按照“集聚建园、绿色兴园、融合强园、创新活园”要求，完成百安、金石、紫云、昭化等现代农业园区提质增效工作。持续开展现代农业园区星级创建，完成滨湖等市级现代农业园区提档升级工作，双凤园区升4星通过省农业农村厅专家组验收考核。集中力量推进农旅融合园区建设，引领平乐如意花海建设，打造城郊近郊农旅融合典范，完成小寺山农旅综合体、五房“药博园”建设。</w:t>
      </w:r>
    </w:p>
    <w:p w14:paraId="45E3BBBF">
      <w:pPr>
        <w:spacing w:line="576" w:lineRule="exact"/>
        <w:ind w:firstLine="643" w:firstLineChars="200"/>
        <w:rPr>
          <w:rFonts w:ascii="仿宋_GB2312" w:eastAsia="仿宋_GB2312"/>
          <w:kern w:val="0"/>
          <w:sz w:val="32"/>
          <w:szCs w:val="32"/>
          <w:lang w:val="zh-TW"/>
        </w:rPr>
      </w:pPr>
      <w:r>
        <w:rPr>
          <w:rFonts w:hint="eastAsia" w:ascii="楷体_GB2312" w:eastAsia="楷体_GB2312"/>
          <w:b/>
          <w:bCs/>
          <w:kern w:val="0"/>
          <w:sz w:val="32"/>
          <w:szCs w:val="32"/>
          <w:lang w:val="zh-TW" w:eastAsia="zh-CN"/>
        </w:rPr>
        <w:t>四是</w:t>
      </w:r>
      <w:r>
        <w:rPr>
          <w:rFonts w:ascii="Times New Roman" w:hAnsi="Times New Roman" w:eastAsia="楷体_GB2312"/>
          <w:color w:val="000000"/>
          <w:sz w:val="32"/>
          <w:szCs w:val="32"/>
        </w:rPr>
        <w:t>实施宜居乡村达标建设。</w:t>
      </w:r>
      <w:r>
        <w:rPr>
          <w:rFonts w:ascii="Times New Roman" w:hAnsi="Times New Roman" w:eastAsia="仿宋_GB2312"/>
          <w:color w:val="000000"/>
          <w:sz w:val="32"/>
          <w:szCs w:val="32"/>
        </w:rPr>
        <w:t>聚焦补齐农村基础设施与公共服务短板和改善农村人居环境，实施农村基础设施补短建设，加强农村基层治理，繁荣乡村文化、修缮保护传统院落，推进宜居乡村达标建设。分类有序推进人居环境整治“4+2”专项行动，启动实施新一轮城乡垃圾处理设施建设，以厕污治理为重点，整存推进“厕所革命”，建成生活污水治理示范村13个，完成6305户农户卫生厕所改造。推进农业绿色发展，严格落实农业生产“一控两减三基本”要求，实现农药、化肥使用量负增长，秸秆综合利用率达到85%，废弃农膜回收率95%以上。实施畜禽粪污资源化利用行动，推广“生态养殖+沼气工程+绿色种植”等种养循环模式，畜禽粪污综合利用率达到93％，规模养殖场粪污处理设施装备配套率达100％。实施村庄清洁行动，推进村容村貌改造提升，强化乡村文化保护和传承，分类改造农村土坯房2205户，修缮保护传统村落10个。实施农民文明素养提升行动，全覆盖推行文明新风积分管理，推进新时代文明实践中心、所、站试点建设，文明镇、村创建比例达50%以上。推进乡村振兴示范创建，建成市级以上乡村振兴示范镇1个、示范村16个，建成宜居乡村达标村73个。</w:t>
      </w:r>
    </w:p>
    <w:p w14:paraId="7D037EF2">
      <w:pPr>
        <w:pStyle w:val="6"/>
        <w:spacing w:after="0" w:line="576" w:lineRule="exact"/>
        <w:ind w:firstLine="643" w:firstLineChars="200"/>
        <w:rPr>
          <w:rFonts w:ascii="Times New Roman" w:hAnsi="Times New Roman" w:eastAsia="仿宋_GB2312"/>
          <w:color w:val="000000"/>
          <w:sz w:val="32"/>
        </w:rPr>
      </w:pPr>
      <w:r>
        <w:rPr>
          <w:rFonts w:hint="eastAsia" w:ascii="楷体_GB2312" w:hAnsi="Times New Roman" w:eastAsia="楷体_GB2312" w:cs="Times New Roman"/>
          <w:b/>
          <w:bCs/>
          <w:sz w:val="32"/>
          <w:szCs w:val="32"/>
          <w:lang w:eastAsia="zh-CN"/>
        </w:rPr>
        <w:t>五是</w:t>
      </w:r>
      <w:r>
        <w:rPr>
          <w:rFonts w:ascii="Times New Roman" w:hAnsi="Times New Roman" w:eastAsia="楷体_GB2312"/>
          <w:color w:val="000000"/>
          <w:sz w:val="32"/>
          <w:szCs w:val="32"/>
        </w:rPr>
        <w:t>开展村集体经济消薄攻坚。</w:t>
      </w:r>
      <w:r>
        <w:rPr>
          <w:rFonts w:ascii="Times New Roman" w:hAnsi="Times New Roman" w:eastAsia="仿宋_GB2312"/>
          <w:color w:val="000000"/>
          <w:sz w:val="32"/>
          <w:szCs w:val="32"/>
        </w:rPr>
        <w:t>将深化农业农村改革作为繁荣农村经济的主要抓手，推进农村土地承包“三权分置”，完善土地经营权价格评估机制，探索建立土地流转风险保障制度，落实土地经营确权颁证。</w:t>
      </w:r>
      <w:r>
        <w:rPr>
          <w:rFonts w:ascii="Times New Roman" w:hAnsi="Times New Roman" w:eastAsia="仿宋_GB2312"/>
          <w:snapToGrid w:val="0"/>
          <w:color w:val="000000"/>
          <w:kern w:val="0"/>
          <w:sz w:val="32"/>
          <w:lang w:bidi="ar"/>
        </w:rPr>
        <w:t>实施村集体经济“消薄攻坚”行动，</w:t>
      </w:r>
      <w:r>
        <w:rPr>
          <w:rFonts w:ascii="Times New Roman" w:hAnsi="Times New Roman" w:eastAsia="仿宋_GB2312"/>
          <w:color w:val="000000"/>
          <w:sz w:val="32"/>
        </w:rPr>
        <w:t>加快</w:t>
      </w:r>
      <w:r>
        <w:rPr>
          <w:rFonts w:ascii="Times New Roman" w:hAnsi="Times New Roman" w:eastAsia="仿宋_GB2312"/>
          <w:snapToGrid w:val="0"/>
          <w:color w:val="000000"/>
          <w:kern w:val="0"/>
          <w:sz w:val="32"/>
          <w:lang w:bidi="ar"/>
        </w:rPr>
        <w:t>集体经济组织登记赋码，开展中省财政扶持村集体经济试点，探索党建引领村级集体经济发展方式和途径，实施“1村1个”</w:t>
      </w:r>
      <w:r>
        <w:rPr>
          <w:rFonts w:ascii="Times New Roman" w:hAnsi="Times New Roman" w:eastAsia="仿宋_GB2312"/>
          <w:color w:val="000000"/>
          <w:sz w:val="32"/>
        </w:rPr>
        <w:t>带动集体经济发展的新型经营主体培育计划，建立集体经济发展辅导帮扶机制，全区所有行政村集体经济经营性收入达到3万元以上，培育集体经济经营性收入过50万元的村3个，收入过10万元以上的村10个。</w:t>
      </w:r>
    </w:p>
    <w:p w14:paraId="2862C286">
      <w:pPr>
        <w:pStyle w:val="16"/>
        <w:spacing w:after="0" w:line="576" w:lineRule="exact"/>
        <w:ind w:left="0" w:leftChars="0" w:firstLine="640"/>
        <w:rPr>
          <w:rFonts w:hint="eastAsia" w:ascii="Times New Roman" w:hAnsi="Times New Roman" w:eastAsia="仿宋_GB2312" w:cs="Times New Roman"/>
          <w:sz w:val="32"/>
          <w:szCs w:val="32"/>
          <w:lang w:val="en-US" w:eastAsia="zh-CN"/>
        </w:rPr>
      </w:pPr>
      <w:r>
        <w:rPr>
          <w:rFonts w:hint="eastAsia" w:ascii="Times New Roman" w:hAnsi="Times New Roman" w:eastAsia="楷体_GB2312"/>
          <w:color w:val="000000"/>
          <w:sz w:val="32"/>
          <w:lang w:val="en-US" w:eastAsia="zh-CN"/>
        </w:rPr>
        <w:t>六是</w:t>
      </w:r>
      <w:r>
        <w:rPr>
          <w:rFonts w:ascii="Times New Roman" w:hAnsi="Times New Roman" w:eastAsia="楷体_GB2312"/>
          <w:color w:val="000000"/>
          <w:sz w:val="32"/>
        </w:rPr>
        <w:t>发展新型农业经营主体联盟。</w:t>
      </w:r>
      <w:r>
        <w:rPr>
          <w:rFonts w:ascii="Times New Roman" w:hAnsi="Times New Roman" w:eastAsia="仿宋_GB2312"/>
          <w:color w:val="000000"/>
          <w:sz w:val="32"/>
          <w:szCs w:val="32"/>
        </w:rPr>
        <w:t>实施农民专业合作社质量提升整县推进行动和家庭农场培育行动，健全扶持小农户进入现代农业经营体系的政策措施，培育市级以上农民合作社示范社20家、示范家庭农场17家，新型农业经营主体引领带动小农户覆盖率达80%。实施新型职业农民和产业领军人才提升计划，培育新型职业农民850人、产业领军人才130人。开展农产品营销体系建设，打造新型经营主体产业联盟，引进重点龙头企业2家，培育本地产业规上企业2家。强化农业品牌引领，推进有机农产品认证示范区建设，新建有机农产品生产基地1000亩，有效期内“三品一标”79个，支持农产品参加农博会、蜀道文化展销节等各种展会。发展农业新兴业态，实施“互联网+农业”行动，党政领导主动为剑门关土鸡、昭泉蜂蜜、昭化肥肠等代言，通过抖音、快手、今日头条等平台媒体推广昭化农产品，实现农产品网络销售额1000万元。</w:t>
      </w:r>
    </w:p>
    <w:bookmarkEnd w:id="28"/>
    <w:bookmarkEnd w:id="29"/>
    <w:p w14:paraId="6FF26431">
      <w:pPr>
        <w:pStyle w:val="4"/>
        <w:rPr>
          <w:rStyle w:val="30"/>
          <w:b w:val="0"/>
          <w:bCs w:val="0"/>
        </w:rPr>
      </w:pPr>
      <w:bookmarkStart w:id="32" w:name="_Toc15377200"/>
      <w:bookmarkStart w:id="33" w:name="_Toc15396601"/>
      <w:bookmarkStart w:id="34" w:name="_Toc62"/>
      <w:bookmarkStart w:id="35" w:name="_Toc8039"/>
      <w:r>
        <w:rPr>
          <w:rFonts w:hint="eastAsia" w:ascii="黑体" w:eastAsia="黑体"/>
          <w:b w:val="0"/>
          <w:color w:val="000000"/>
        </w:rPr>
        <w:t>二、</w:t>
      </w:r>
      <w:r>
        <w:rPr>
          <w:rFonts w:hint="eastAsia" w:ascii="黑体" w:hAnsi="黑体" w:eastAsia="黑体"/>
          <w:b w:val="0"/>
          <w:color w:val="000000"/>
        </w:rPr>
        <w:t>机</w:t>
      </w:r>
      <w:r>
        <w:rPr>
          <w:rStyle w:val="30"/>
          <w:rFonts w:hint="eastAsia" w:ascii="黑体" w:hAnsi="黑体" w:eastAsia="黑体"/>
          <w:b w:val="0"/>
          <w:bCs w:val="0"/>
        </w:rPr>
        <w:t>构设置</w:t>
      </w:r>
      <w:bookmarkEnd w:id="32"/>
      <w:bookmarkEnd w:id="33"/>
      <w:bookmarkEnd w:id="34"/>
      <w:bookmarkEnd w:id="35"/>
    </w:p>
    <w:p w14:paraId="765BF749">
      <w:pPr>
        <w:spacing w:line="600" w:lineRule="exact"/>
        <w:ind w:firstLine="640" w:firstLineChars="200"/>
        <w:rPr>
          <w:rFonts w:hint="eastAsia" w:ascii="黑体" w:hAnsi="黑体" w:eastAsia="黑体"/>
          <w:b w:val="0"/>
          <w:color w:val="000000"/>
        </w:rPr>
      </w:pPr>
      <w:r>
        <w:rPr>
          <w:rFonts w:hint="eastAsia" w:ascii="仿宋" w:hAnsi="仿宋" w:eastAsia="仿宋"/>
          <w:sz w:val="32"/>
          <w:szCs w:val="32"/>
        </w:rPr>
        <w:t>昭化区农业局属一级预算单位，下属二级单位0个，</w:t>
      </w:r>
      <w:r>
        <w:rPr>
          <w:rFonts w:eastAsia="仿宋_GB2312"/>
          <w:color w:val="000000"/>
          <w:sz w:val="32"/>
        </w:rPr>
        <w:t>其中行政单位</w:t>
      </w:r>
      <w:r>
        <w:rPr>
          <w:rFonts w:hint="eastAsia" w:eastAsia="仿宋_GB2312"/>
          <w:color w:val="000000"/>
          <w:sz w:val="32"/>
          <w:lang w:val="en-US" w:eastAsia="zh-CN"/>
        </w:rPr>
        <w:t>1</w:t>
      </w:r>
      <w:r>
        <w:rPr>
          <w:rFonts w:eastAsia="仿宋_GB2312"/>
          <w:color w:val="000000"/>
          <w:sz w:val="32"/>
        </w:rPr>
        <w:t>个，</w:t>
      </w:r>
      <w:r>
        <w:rPr>
          <w:rFonts w:hint="eastAsia" w:eastAsia="仿宋_GB2312"/>
          <w:color w:val="000000"/>
          <w:sz w:val="32"/>
          <w:lang w:eastAsia="zh-CN"/>
        </w:rPr>
        <w:t>区政府直属</w:t>
      </w:r>
      <w:r>
        <w:rPr>
          <w:rFonts w:hint="eastAsia" w:eastAsia="仿宋_GB2312"/>
          <w:color w:val="000000"/>
          <w:sz w:val="32"/>
        </w:rPr>
        <w:t>参照公务员法管理的事业单位</w:t>
      </w:r>
      <w:r>
        <w:rPr>
          <w:rFonts w:hint="eastAsia" w:eastAsia="仿宋_GB2312"/>
          <w:color w:val="000000"/>
          <w:sz w:val="32"/>
          <w:lang w:val="en-US" w:eastAsia="zh-CN"/>
        </w:rPr>
        <w:t>1</w:t>
      </w:r>
      <w:r>
        <w:rPr>
          <w:rFonts w:hint="eastAsia" w:eastAsia="仿宋_GB2312"/>
          <w:color w:val="000000"/>
          <w:sz w:val="32"/>
        </w:rPr>
        <w:t>个</w:t>
      </w:r>
      <w:r>
        <w:rPr>
          <w:rFonts w:hint="eastAsia" w:eastAsia="仿宋_GB2312"/>
          <w:color w:val="000000"/>
          <w:sz w:val="32"/>
          <w:lang w:eastAsia="zh-CN"/>
        </w:rPr>
        <w:t>，</w:t>
      </w:r>
      <w:r>
        <w:rPr>
          <w:rFonts w:hint="eastAsia" w:eastAsia="仿宋_GB2312"/>
          <w:color w:val="000000"/>
          <w:sz w:val="32"/>
        </w:rPr>
        <w:t>参照公务员法管理的事业单位</w:t>
      </w:r>
      <w:r>
        <w:rPr>
          <w:rFonts w:hint="eastAsia" w:eastAsia="仿宋_GB2312"/>
          <w:color w:val="000000"/>
          <w:sz w:val="32"/>
          <w:lang w:val="en-US" w:eastAsia="zh-CN"/>
        </w:rPr>
        <w:t>3</w:t>
      </w:r>
      <w:r>
        <w:rPr>
          <w:rFonts w:hint="eastAsia" w:eastAsia="仿宋_GB2312"/>
          <w:color w:val="000000"/>
          <w:sz w:val="32"/>
        </w:rPr>
        <w:t>个，其他事业单位</w:t>
      </w:r>
      <w:r>
        <w:rPr>
          <w:rFonts w:hint="eastAsia" w:eastAsia="仿宋_GB2312"/>
          <w:color w:val="000000"/>
          <w:sz w:val="32"/>
          <w:lang w:val="en-US" w:eastAsia="zh-CN"/>
        </w:rPr>
        <w:t>,13</w:t>
      </w:r>
      <w:r>
        <w:rPr>
          <w:rFonts w:hint="eastAsia" w:eastAsia="仿宋_GB2312"/>
          <w:color w:val="000000"/>
          <w:sz w:val="32"/>
        </w:rPr>
        <w:t>个。</w:t>
      </w:r>
      <w:bookmarkStart w:id="36" w:name="_Toc15396602"/>
      <w:bookmarkStart w:id="37" w:name="_Toc15377204"/>
    </w:p>
    <w:p w14:paraId="70019BA2">
      <w:pPr>
        <w:pStyle w:val="3"/>
        <w:ind w:right="440"/>
        <w:jc w:val="right"/>
        <w:rPr>
          <w:rStyle w:val="29"/>
          <w:rFonts w:ascii="黑体" w:hAnsi="黑体" w:eastAsia="黑体"/>
          <w:b w:val="0"/>
          <w:bCs w:val="0"/>
        </w:rPr>
      </w:pPr>
      <w:bookmarkStart w:id="38" w:name="_Toc22084"/>
      <w:bookmarkStart w:id="39" w:name="_Toc21322"/>
      <w:r>
        <w:rPr>
          <w:rFonts w:hint="eastAsia" w:ascii="黑体" w:hAnsi="黑体" w:eastAsia="黑体"/>
          <w:b w:val="0"/>
          <w:color w:val="000000"/>
        </w:rPr>
        <w:t>第二部分</w:t>
      </w:r>
      <w:r>
        <w:rPr>
          <w:rFonts w:hint="eastAsia" w:ascii="黑体" w:hAnsi="黑体" w:eastAsia="黑体"/>
          <w:color w:val="000000"/>
        </w:rPr>
        <w:t xml:space="preserve"> </w:t>
      </w:r>
      <w:r>
        <w:rPr>
          <w:rStyle w:val="29"/>
          <w:rFonts w:hint="eastAsia" w:ascii="黑体" w:hAnsi="黑体" w:eastAsia="黑体"/>
          <w:b w:val="0"/>
          <w:bCs w:val="0"/>
        </w:rPr>
        <w:t>20</w:t>
      </w:r>
      <w:r>
        <w:rPr>
          <w:rStyle w:val="29"/>
          <w:rFonts w:hint="eastAsia" w:ascii="黑体" w:hAnsi="黑体" w:eastAsia="黑体"/>
          <w:b w:val="0"/>
          <w:bCs w:val="0"/>
          <w:lang w:val="en-US" w:eastAsia="zh-CN"/>
        </w:rPr>
        <w:t>20</w:t>
      </w:r>
      <w:r>
        <w:rPr>
          <w:rStyle w:val="29"/>
          <w:rFonts w:hint="eastAsia" w:ascii="黑体" w:hAnsi="黑体" w:eastAsia="黑体"/>
          <w:b w:val="0"/>
          <w:bCs w:val="0"/>
        </w:rPr>
        <w:t>年度部门决算情况说明</w:t>
      </w:r>
      <w:bookmarkEnd w:id="36"/>
      <w:bookmarkEnd w:id="37"/>
      <w:bookmarkEnd w:id="38"/>
      <w:bookmarkEnd w:id="39"/>
    </w:p>
    <w:p w14:paraId="52423494"/>
    <w:p w14:paraId="493417E7">
      <w:pPr>
        <w:pStyle w:val="28"/>
        <w:numPr>
          <w:ilvl w:val="0"/>
          <w:numId w:val="1"/>
        </w:numPr>
        <w:spacing w:line="600" w:lineRule="exact"/>
        <w:ind w:left="1350" w:leftChars="0" w:firstLineChars="0"/>
        <w:outlineLvl w:val="1"/>
        <w:rPr>
          <w:rStyle w:val="30"/>
          <w:rFonts w:ascii="黑体" w:hAnsi="黑体" w:eastAsia="黑体"/>
          <w:b w:val="0"/>
        </w:rPr>
      </w:pPr>
      <w:bookmarkStart w:id="40" w:name="_Toc14188"/>
      <w:bookmarkStart w:id="41" w:name="_Toc15377205"/>
      <w:bookmarkStart w:id="42" w:name="_Toc15396603"/>
      <w:bookmarkStart w:id="43" w:name="_Toc19884"/>
      <w:r>
        <w:rPr>
          <w:rFonts w:hint="eastAsia" w:ascii="黑体" w:hAnsi="黑体" w:eastAsia="黑体"/>
          <w:color w:val="000000"/>
          <w:sz w:val="32"/>
          <w:szCs w:val="32"/>
        </w:rPr>
        <w:t>收</w:t>
      </w:r>
      <w:r>
        <w:rPr>
          <w:rStyle w:val="30"/>
          <w:rFonts w:hint="eastAsia" w:ascii="黑体" w:hAnsi="黑体" w:eastAsia="黑体"/>
          <w:b w:val="0"/>
        </w:rPr>
        <w:t>入支出决算总体情况说明</w:t>
      </w:r>
      <w:bookmarkEnd w:id="40"/>
      <w:bookmarkEnd w:id="41"/>
      <w:bookmarkEnd w:id="42"/>
      <w:bookmarkEnd w:id="43"/>
    </w:p>
    <w:p w14:paraId="4736DFFF">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年度收、支总计</w:t>
      </w:r>
      <w:r>
        <w:rPr>
          <w:rFonts w:hint="eastAsia" w:ascii="仿宋" w:hAnsi="仿宋" w:eastAsia="仿宋"/>
          <w:color w:val="000000"/>
          <w:sz w:val="32"/>
          <w:szCs w:val="32"/>
          <w:lang w:val="en-US" w:eastAsia="zh-CN"/>
        </w:rPr>
        <w:t>28468.72</w:t>
      </w:r>
      <w:r>
        <w:rPr>
          <w:rFonts w:hint="eastAsia" w:ascii="仿宋" w:hAnsi="仿宋" w:eastAsia="仿宋"/>
          <w:color w:val="000000"/>
          <w:sz w:val="32"/>
          <w:szCs w:val="32"/>
        </w:rPr>
        <w:t>万元。</w:t>
      </w:r>
      <w:r>
        <w:rPr>
          <w:rFonts w:hint="eastAsia" w:ascii="仿宋" w:hAnsi="仿宋" w:eastAsia="仿宋"/>
          <w:color w:val="auto"/>
          <w:sz w:val="32"/>
          <w:szCs w:val="32"/>
        </w:rPr>
        <w:t>与201</w:t>
      </w:r>
      <w:r>
        <w:rPr>
          <w:rFonts w:hint="eastAsia" w:ascii="仿宋" w:hAnsi="仿宋" w:eastAsia="仿宋"/>
          <w:color w:val="auto"/>
          <w:sz w:val="32"/>
          <w:szCs w:val="32"/>
          <w:lang w:val="en-US" w:eastAsia="zh-CN"/>
        </w:rPr>
        <w:t>9</w:t>
      </w:r>
      <w:r>
        <w:rPr>
          <w:rFonts w:hint="eastAsia" w:ascii="仿宋" w:hAnsi="仿宋" w:eastAsia="仿宋"/>
          <w:color w:val="auto"/>
          <w:sz w:val="32"/>
          <w:szCs w:val="32"/>
        </w:rPr>
        <w:t>年相比，</w:t>
      </w:r>
      <w:r>
        <w:rPr>
          <w:rFonts w:hint="eastAsia" w:ascii="仿宋" w:hAnsi="仿宋" w:eastAsia="仿宋"/>
          <w:color w:val="000000"/>
          <w:sz w:val="32"/>
          <w:szCs w:val="32"/>
        </w:rPr>
        <w:t>收、支总计各</w:t>
      </w:r>
      <w:r>
        <w:rPr>
          <w:rFonts w:hint="eastAsia" w:ascii="仿宋" w:hAnsi="仿宋" w:eastAsia="仿宋"/>
          <w:color w:val="000000"/>
          <w:sz w:val="32"/>
          <w:szCs w:val="32"/>
          <w:lang w:eastAsia="zh-CN"/>
        </w:rPr>
        <w:t>增加</w:t>
      </w:r>
      <w:r>
        <w:rPr>
          <w:rFonts w:hint="eastAsia" w:ascii="仿宋" w:hAnsi="仿宋" w:eastAsia="仿宋"/>
          <w:color w:val="000000"/>
          <w:sz w:val="32"/>
          <w:szCs w:val="32"/>
          <w:lang w:val="en-US" w:eastAsia="zh-CN"/>
        </w:rPr>
        <w:t>333.71</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增加</w:t>
      </w:r>
      <w:r>
        <w:rPr>
          <w:rFonts w:hint="eastAsia" w:ascii="仿宋" w:hAnsi="仿宋" w:eastAsia="仿宋"/>
          <w:color w:val="000000"/>
          <w:sz w:val="32"/>
          <w:szCs w:val="32"/>
          <w:lang w:val="en-US" w:eastAsia="zh-CN"/>
        </w:rPr>
        <w:t>1.18</w:t>
      </w:r>
      <w:r>
        <w:rPr>
          <w:rFonts w:ascii="仿宋" w:hAnsi="仿宋" w:eastAsia="仿宋"/>
          <w:color w:val="000000"/>
          <w:sz w:val="32"/>
          <w:szCs w:val="32"/>
        </w:rPr>
        <w:t>%</w:t>
      </w:r>
      <w:r>
        <w:rPr>
          <w:rFonts w:hint="eastAsia" w:ascii="仿宋" w:hAnsi="仿宋" w:eastAsia="仿宋"/>
          <w:color w:val="000000"/>
          <w:sz w:val="32"/>
          <w:szCs w:val="32"/>
        </w:rPr>
        <w:t>。主要变动原因</w:t>
      </w:r>
      <w:r>
        <w:rPr>
          <w:rFonts w:hint="eastAsia" w:ascii="仿宋" w:hAnsi="仿宋" w:eastAsia="仿宋"/>
          <w:color w:val="000000"/>
          <w:sz w:val="32"/>
          <w:szCs w:val="32"/>
          <w:lang w:eastAsia="zh-CN"/>
        </w:rPr>
        <w:t>：一</w:t>
      </w:r>
      <w:r>
        <w:rPr>
          <w:rFonts w:hint="eastAsia" w:ascii="仿宋" w:hAnsi="仿宋" w:eastAsia="仿宋"/>
          <w:color w:val="000000"/>
          <w:sz w:val="32"/>
          <w:szCs w:val="32"/>
        </w:rPr>
        <w:t>是项目资金预算</w:t>
      </w:r>
      <w:r>
        <w:rPr>
          <w:rFonts w:hint="eastAsia" w:ascii="仿宋" w:hAnsi="仿宋" w:eastAsia="仿宋"/>
          <w:color w:val="000000"/>
          <w:sz w:val="32"/>
          <w:szCs w:val="32"/>
          <w:lang w:eastAsia="zh-CN"/>
        </w:rPr>
        <w:t>增加，</w:t>
      </w:r>
      <w:r>
        <w:rPr>
          <w:rFonts w:hint="eastAsia" w:ascii="仿宋" w:hAnsi="仿宋" w:eastAsia="仿宋"/>
          <w:color w:val="000000"/>
          <w:sz w:val="32"/>
          <w:szCs w:val="32"/>
        </w:rPr>
        <w:t>二是预算人数增加</w:t>
      </w:r>
      <w:r>
        <w:rPr>
          <w:rFonts w:hint="eastAsia" w:ascii="仿宋" w:hAnsi="仿宋" w:eastAsia="仿宋"/>
          <w:color w:val="000000"/>
          <w:sz w:val="32"/>
          <w:szCs w:val="32"/>
          <w:lang w:eastAsia="zh-CN"/>
        </w:rPr>
        <w:t>。</w:t>
      </w:r>
    </w:p>
    <w:p w14:paraId="64010205">
      <w:pPr>
        <w:spacing w:line="600" w:lineRule="exact"/>
        <w:ind w:firstLine="640" w:firstLineChars="200"/>
        <w:rPr>
          <w:rFonts w:ascii="仿宋_GB2312" w:eastAsia="仿宋_GB2312"/>
          <w:color w:val="000000"/>
          <w:sz w:val="32"/>
          <w:szCs w:val="32"/>
        </w:rPr>
      </w:pPr>
      <w:r>
        <w:rPr>
          <w:rFonts w:hint="eastAsia" w:ascii="仿宋" w:hAnsi="仿宋" w:eastAsia="仿宋"/>
          <w:color w:val="000000" w:themeColor="text1"/>
          <w:sz w:val="32"/>
          <w:szCs w:val="32"/>
          <w14:textFill>
            <w14:solidFill>
              <w14:schemeClr w14:val="tx1"/>
            </w14:solidFill>
          </w14:textFill>
        </w:rPr>
        <w:t>（图</w:t>
      </w:r>
      <w:r>
        <w:rPr>
          <w:rFonts w:ascii="仿宋" w:hAnsi="仿宋" w:eastAsia="仿宋"/>
          <w:color w:val="000000" w:themeColor="text1"/>
          <w:sz w:val="32"/>
          <w:szCs w:val="32"/>
          <w14:textFill>
            <w14:solidFill>
              <w14:schemeClr w14:val="tx1"/>
            </w14:solidFill>
          </w14:textFill>
        </w:rPr>
        <w:t>1</w:t>
      </w:r>
      <w:r>
        <w:rPr>
          <w:rFonts w:hint="eastAsia" w:ascii="仿宋" w:hAnsi="仿宋" w:eastAsia="仿宋"/>
          <w:color w:val="000000" w:themeColor="text1"/>
          <w:sz w:val="32"/>
          <w:szCs w:val="32"/>
          <w14:textFill>
            <w14:solidFill>
              <w14:schemeClr w14:val="tx1"/>
            </w14:solidFill>
          </w14:textFill>
        </w:rPr>
        <w:t>：收、支决算总计变动情况图）（柱状图）</w:t>
      </w:r>
    </w:p>
    <w:p w14:paraId="7B546D88">
      <w:pPr>
        <w:pStyle w:val="16"/>
        <w:rPr>
          <w:rFonts w:ascii="仿宋_GB2312" w:eastAsia="仿宋_GB2312"/>
          <w:color w:val="000000"/>
          <w:sz w:val="32"/>
          <w:szCs w:val="32"/>
        </w:rPr>
      </w:pPr>
      <w:r>
        <w:drawing>
          <wp:inline distT="0" distB="0" distL="114300" distR="114300">
            <wp:extent cx="4572000" cy="2743200"/>
            <wp:effectExtent l="4445" t="4445" r="14605" b="14605"/>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2A75E58">
      <w:pPr>
        <w:pStyle w:val="16"/>
        <w:ind w:left="0" w:leftChars="0" w:firstLine="0" w:firstLineChars="0"/>
        <w:rPr>
          <w:rFonts w:ascii="仿宋_GB2312" w:eastAsia="仿宋_GB2312"/>
          <w:color w:val="000000"/>
          <w:sz w:val="32"/>
          <w:szCs w:val="32"/>
        </w:rPr>
      </w:pPr>
    </w:p>
    <w:p w14:paraId="0F0604FE">
      <w:pPr>
        <w:pStyle w:val="28"/>
        <w:numPr>
          <w:ilvl w:val="0"/>
          <w:numId w:val="1"/>
        </w:numPr>
        <w:spacing w:line="600" w:lineRule="exact"/>
        <w:ind w:left="1350" w:leftChars="0" w:firstLineChars="0"/>
        <w:outlineLvl w:val="1"/>
        <w:rPr>
          <w:rStyle w:val="30"/>
          <w:rFonts w:ascii="黑体" w:hAnsi="黑体" w:eastAsia="黑体"/>
          <w:b w:val="0"/>
        </w:rPr>
      </w:pPr>
      <w:bookmarkStart w:id="44" w:name="_Toc19321"/>
      <w:bookmarkStart w:id="45" w:name="_Toc15396604"/>
      <w:bookmarkStart w:id="46" w:name="_Toc15377206"/>
      <w:bookmarkStart w:id="47" w:name="_Toc23254"/>
      <w:r>
        <w:rPr>
          <w:rFonts w:hint="eastAsia" w:ascii="黑体" w:hAnsi="黑体" w:eastAsia="黑体"/>
          <w:color w:val="000000"/>
          <w:sz w:val="32"/>
          <w:szCs w:val="32"/>
        </w:rPr>
        <w:t>收</w:t>
      </w:r>
      <w:r>
        <w:rPr>
          <w:rStyle w:val="30"/>
          <w:rFonts w:hint="eastAsia" w:ascii="黑体" w:hAnsi="黑体" w:eastAsia="黑体"/>
          <w:b w:val="0"/>
        </w:rPr>
        <w:t>入决算情况说明</w:t>
      </w:r>
      <w:bookmarkEnd w:id="44"/>
      <w:bookmarkEnd w:id="45"/>
      <w:bookmarkEnd w:id="46"/>
      <w:bookmarkEnd w:id="47"/>
    </w:p>
    <w:p w14:paraId="3499F888">
      <w:pPr>
        <w:spacing w:line="600" w:lineRule="exact"/>
        <w:ind w:firstLine="640" w:firstLineChars="200"/>
        <w:outlineLvl w:val="1"/>
        <w:rPr>
          <w:rFonts w:ascii="仿宋" w:hAnsi="仿宋" w:eastAsia="仿宋"/>
          <w:color w:val="000000"/>
          <w:sz w:val="32"/>
          <w:szCs w:val="32"/>
        </w:rPr>
      </w:pPr>
      <w:bookmarkStart w:id="48" w:name="_Toc21395"/>
      <w:bookmarkStart w:id="49" w:name="_Toc29877"/>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年本年收入合计21560.42万元，其中：一般公共预算财政拨款收19970.52万元，占</w:t>
      </w:r>
      <w:r>
        <w:rPr>
          <w:rFonts w:hint="eastAsia" w:ascii="仿宋" w:hAnsi="仿宋" w:eastAsia="仿宋"/>
          <w:color w:val="000000"/>
          <w:sz w:val="32"/>
          <w:szCs w:val="32"/>
          <w:lang w:val="en-US" w:eastAsia="zh-CN"/>
        </w:rPr>
        <w:t>92.63</w:t>
      </w:r>
      <w:r>
        <w:rPr>
          <w:rFonts w:ascii="仿宋" w:hAnsi="仿宋" w:eastAsia="仿宋"/>
          <w:color w:val="000000"/>
          <w:sz w:val="32"/>
          <w:szCs w:val="32"/>
        </w:rPr>
        <w:t>%</w:t>
      </w:r>
      <w:r>
        <w:rPr>
          <w:rFonts w:hint="eastAsia" w:ascii="仿宋" w:hAnsi="仿宋" w:eastAsia="仿宋"/>
          <w:color w:val="000000"/>
          <w:sz w:val="32"/>
          <w:szCs w:val="32"/>
        </w:rPr>
        <w:t>；政府性基金预算财政拨款收入1589.9万元，占</w:t>
      </w:r>
      <w:r>
        <w:rPr>
          <w:rFonts w:hint="eastAsia" w:ascii="仿宋" w:hAnsi="仿宋" w:eastAsia="仿宋"/>
          <w:color w:val="000000"/>
          <w:sz w:val="32"/>
          <w:szCs w:val="32"/>
          <w:lang w:val="en-US" w:eastAsia="zh-CN"/>
        </w:rPr>
        <w:t>7.37</w:t>
      </w:r>
      <w:r>
        <w:rPr>
          <w:rFonts w:ascii="仿宋" w:hAnsi="仿宋" w:eastAsia="仿宋"/>
          <w:color w:val="000000"/>
          <w:sz w:val="32"/>
          <w:szCs w:val="32"/>
        </w:rPr>
        <w:t>%</w:t>
      </w:r>
      <w:r>
        <w:rPr>
          <w:rFonts w:hint="eastAsia" w:ascii="仿宋" w:hAnsi="仿宋" w:eastAsia="仿宋"/>
          <w:color w:val="000000"/>
          <w:sz w:val="32"/>
          <w:szCs w:val="32"/>
        </w:rPr>
        <w:t>；国有资本经营预算财政拨款收入0万元，占0</w:t>
      </w:r>
      <w:r>
        <w:rPr>
          <w:rFonts w:ascii="仿宋" w:hAnsi="仿宋" w:eastAsia="仿宋"/>
          <w:color w:val="000000"/>
          <w:sz w:val="32"/>
          <w:szCs w:val="32"/>
        </w:rPr>
        <w:t>%</w:t>
      </w:r>
      <w:r>
        <w:rPr>
          <w:rFonts w:hint="eastAsia" w:ascii="仿宋" w:hAnsi="仿宋" w:eastAsia="仿宋"/>
          <w:color w:val="000000"/>
          <w:sz w:val="32"/>
          <w:szCs w:val="32"/>
        </w:rPr>
        <w:t>；事业收入0万元，占0</w:t>
      </w:r>
      <w:r>
        <w:rPr>
          <w:rFonts w:ascii="仿宋" w:hAnsi="仿宋" w:eastAsia="仿宋"/>
          <w:color w:val="000000"/>
          <w:sz w:val="32"/>
          <w:szCs w:val="32"/>
        </w:rPr>
        <w:t>%</w:t>
      </w:r>
      <w:r>
        <w:rPr>
          <w:rFonts w:hint="eastAsia" w:ascii="仿宋" w:hAnsi="仿宋" w:eastAsia="仿宋"/>
          <w:color w:val="000000"/>
          <w:sz w:val="32"/>
          <w:szCs w:val="32"/>
        </w:rPr>
        <w:t>；经营收入0万元，占0</w:t>
      </w:r>
      <w:r>
        <w:rPr>
          <w:rFonts w:ascii="仿宋" w:hAnsi="仿宋" w:eastAsia="仿宋"/>
          <w:color w:val="000000"/>
          <w:sz w:val="32"/>
          <w:szCs w:val="32"/>
        </w:rPr>
        <w:t>%</w:t>
      </w:r>
      <w:r>
        <w:rPr>
          <w:rFonts w:hint="eastAsia" w:ascii="仿宋" w:hAnsi="仿宋" w:eastAsia="仿宋"/>
          <w:color w:val="000000"/>
          <w:sz w:val="32"/>
          <w:szCs w:val="32"/>
        </w:rPr>
        <w:t>；附属单位上缴收入0万元，占0</w:t>
      </w:r>
      <w:r>
        <w:rPr>
          <w:rFonts w:ascii="仿宋" w:hAnsi="仿宋" w:eastAsia="仿宋"/>
          <w:color w:val="000000"/>
          <w:sz w:val="32"/>
          <w:szCs w:val="32"/>
        </w:rPr>
        <w:t>%</w:t>
      </w:r>
      <w:r>
        <w:rPr>
          <w:rFonts w:hint="eastAsia" w:ascii="仿宋" w:hAnsi="仿宋" w:eastAsia="仿宋"/>
          <w:color w:val="000000"/>
          <w:sz w:val="32"/>
          <w:szCs w:val="32"/>
        </w:rPr>
        <w:t>；其他收入0万元，占0</w:t>
      </w:r>
      <w:r>
        <w:rPr>
          <w:rFonts w:ascii="仿宋" w:hAnsi="仿宋" w:eastAsia="仿宋"/>
          <w:color w:val="000000"/>
          <w:sz w:val="32"/>
          <w:szCs w:val="32"/>
        </w:rPr>
        <w:t>%</w:t>
      </w:r>
      <w:r>
        <w:rPr>
          <w:rFonts w:hint="eastAsia" w:ascii="仿宋" w:hAnsi="仿宋" w:eastAsia="仿宋"/>
          <w:color w:val="000000"/>
          <w:sz w:val="32"/>
          <w:szCs w:val="32"/>
        </w:rPr>
        <w:t>。</w:t>
      </w:r>
      <w:bookmarkEnd w:id="48"/>
      <w:bookmarkEnd w:id="49"/>
    </w:p>
    <w:p w14:paraId="773EB96B">
      <w:pPr>
        <w:spacing w:line="600" w:lineRule="exact"/>
        <w:ind w:firstLine="640" w:firstLineChars="200"/>
        <w:rPr>
          <w:rFonts w:ascii="仿宋_GB2312" w:eastAsia="仿宋_GB2312"/>
          <w:color w:val="FF0000"/>
          <w:sz w:val="32"/>
          <w:szCs w:val="32"/>
        </w:rPr>
      </w:pPr>
      <w:r>
        <w:rPr>
          <w:rFonts w:hint="eastAsia" w:ascii="仿宋" w:hAnsi="仿宋" w:eastAsia="仿宋"/>
          <w:color w:val="000000" w:themeColor="text1"/>
          <w:sz w:val="32"/>
          <w:szCs w:val="32"/>
          <w14:textFill>
            <w14:solidFill>
              <w14:schemeClr w14:val="tx1"/>
            </w14:solidFill>
          </w14:textFill>
        </w:rPr>
        <w:t>（图2：收入决算结构图）（饼状图）</w:t>
      </w:r>
    </w:p>
    <w:p w14:paraId="04C52A3D">
      <w:pPr>
        <w:pStyle w:val="16"/>
        <w:rPr>
          <w:rFonts w:ascii="仿宋_GB2312" w:eastAsia="仿宋_GB2312"/>
          <w:color w:val="FF0000"/>
          <w:sz w:val="32"/>
          <w:szCs w:val="32"/>
        </w:rPr>
      </w:pPr>
      <w:r>
        <w:drawing>
          <wp:inline distT="0" distB="0" distL="114300" distR="114300">
            <wp:extent cx="4572000" cy="2275840"/>
            <wp:effectExtent l="4445" t="4445" r="14605" b="571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57A6AF">
      <w:pPr>
        <w:pStyle w:val="28"/>
        <w:numPr>
          <w:ilvl w:val="0"/>
          <w:numId w:val="1"/>
        </w:numPr>
        <w:spacing w:line="600" w:lineRule="exact"/>
        <w:ind w:left="1350" w:leftChars="0" w:firstLineChars="0"/>
        <w:outlineLvl w:val="1"/>
        <w:rPr>
          <w:rStyle w:val="30"/>
          <w:rFonts w:ascii="黑体" w:hAnsi="黑体" w:eastAsia="黑体"/>
          <w:b w:val="0"/>
        </w:rPr>
      </w:pPr>
      <w:bookmarkStart w:id="50" w:name="_Toc15396605"/>
      <w:bookmarkStart w:id="51" w:name="_Toc15377207"/>
      <w:bookmarkStart w:id="52" w:name="_Toc25861"/>
      <w:bookmarkStart w:id="53" w:name="_Toc2333"/>
      <w:r>
        <w:rPr>
          <w:rFonts w:hint="eastAsia" w:ascii="黑体" w:hAnsi="黑体" w:eastAsia="黑体"/>
          <w:color w:val="000000"/>
          <w:sz w:val="32"/>
          <w:szCs w:val="32"/>
        </w:rPr>
        <w:t>支</w:t>
      </w:r>
      <w:r>
        <w:rPr>
          <w:rStyle w:val="30"/>
          <w:rFonts w:hint="eastAsia" w:ascii="黑体" w:hAnsi="黑体" w:eastAsia="黑体"/>
          <w:b w:val="0"/>
        </w:rPr>
        <w:t>出决算情况说明</w:t>
      </w:r>
      <w:bookmarkEnd w:id="50"/>
      <w:bookmarkEnd w:id="51"/>
      <w:bookmarkEnd w:id="52"/>
      <w:bookmarkEnd w:id="53"/>
    </w:p>
    <w:p w14:paraId="7B0035B3">
      <w:pPr>
        <w:spacing w:line="600" w:lineRule="exact"/>
        <w:ind w:firstLine="640"/>
        <w:rPr>
          <w:rFonts w:ascii="仿宋" w:hAnsi="仿宋" w:eastAsia="仿宋"/>
          <w:color w:val="000000"/>
          <w:sz w:val="32"/>
          <w:szCs w:val="32"/>
          <w:shd w:val="pct10" w:color="auto" w:fill="FFFFFF"/>
        </w:rPr>
      </w:pP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年本年支出合计21134.7万元，其中：基本支出1457.89万元，占</w:t>
      </w:r>
      <w:r>
        <w:rPr>
          <w:rFonts w:hint="eastAsia" w:ascii="仿宋" w:hAnsi="仿宋" w:eastAsia="仿宋"/>
          <w:color w:val="000000"/>
          <w:sz w:val="32"/>
          <w:szCs w:val="32"/>
          <w:lang w:val="en-US" w:eastAsia="zh-CN"/>
        </w:rPr>
        <w:t>6.90</w:t>
      </w:r>
      <w:r>
        <w:rPr>
          <w:rFonts w:ascii="仿宋" w:hAnsi="仿宋" w:eastAsia="仿宋"/>
          <w:color w:val="000000"/>
          <w:sz w:val="32"/>
          <w:szCs w:val="32"/>
        </w:rPr>
        <w:t>%</w:t>
      </w:r>
      <w:r>
        <w:rPr>
          <w:rFonts w:hint="eastAsia" w:ascii="仿宋" w:hAnsi="仿宋" w:eastAsia="仿宋"/>
          <w:color w:val="000000"/>
          <w:sz w:val="32"/>
          <w:szCs w:val="32"/>
        </w:rPr>
        <w:t>；项目支出19676.81万元，占</w:t>
      </w:r>
      <w:r>
        <w:rPr>
          <w:rFonts w:hint="eastAsia" w:ascii="仿宋" w:hAnsi="仿宋" w:eastAsia="仿宋"/>
          <w:color w:val="000000"/>
          <w:sz w:val="32"/>
          <w:szCs w:val="32"/>
          <w:lang w:val="en-US" w:eastAsia="zh-CN"/>
        </w:rPr>
        <w:t>93.10</w:t>
      </w:r>
      <w:r>
        <w:rPr>
          <w:rFonts w:ascii="仿宋" w:hAnsi="仿宋" w:eastAsia="仿宋"/>
          <w:color w:val="000000"/>
          <w:sz w:val="32"/>
          <w:szCs w:val="32"/>
        </w:rPr>
        <w:t>%</w:t>
      </w:r>
      <w:r>
        <w:rPr>
          <w:rFonts w:hint="eastAsia" w:ascii="仿宋" w:hAnsi="仿宋" w:eastAsia="仿宋"/>
          <w:color w:val="000000"/>
          <w:sz w:val="32"/>
          <w:szCs w:val="32"/>
        </w:rPr>
        <w:t>；上缴上级支出0万元，占0</w:t>
      </w:r>
      <w:r>
        <w:rPr>
          <w:rFonts w:ascii="仿宋" w:hAnsi="仿宋" w:eastAsia="仿宋"/>
          <w:color w:val="000000"/>
          <w:sz w:val="32"/>
          <w:szCs w:val="32"/>
        </w:rPr>
        <w:t>%</w:t>
      </w:r>
      <w:r>
        <w:rPr>
          <w:rFonts w:hint="eastAsia" w:ascii="仿宋" w:hAnsi="仿宋" w:eastAsia="仿宋"/>
          <w:color w:val="000000"/>
          <w:sz w:val="32"/>
          <w:szCs w:val="32"/>
        </w:rPr>
        <w:t>；经营支出0万元，占0</w:t>
      </w:r>
      <w:r>
        <w:rPr>
          <w:rFonts w:ascii="仿宋" w:hAnsi="仿宋" w:eastAsia="仿宋"/>
          <w:color w:val="000000"/>
          <w:sz w:val="32"/>
          <w:szCs w:val="32"/>
        </w:rPr>
        <w:t>%</w:t>
      </w:r>
      <w:r>
        <w:rPr>
          <w:rFonts w:hint="eastAsia" w:ascii="仿宋" w:hAnsi="仿宋" w:eastAsia="仿宋"/>
          <w:color w:val="000000"/>
          <w:sz w:val="32"/>
          <w:szCs w:val="32"/>
        </w:rPr>
        <w:t>；对附属单位补助支出0万元，占0</w:t>
      </w:r>
      <w:r>
        <w:rPr>
          <w:rFonts w:ascii="仿宋" w:hAnsi="仿宋" w:eastAsia="仿宋"/>
          <w:color w:val="000000"/>
          <w:sz w:val="32"/>
          <w:szCs w:val="32"/>
        </w:rPr>
        <w:t>%</w:t>
      </w:r>
      <w:r>
        <w:rPr>
          <w:rFonts w:hint="eastAsia" w:ascii="仿宋" w:hAnsi="仿宋" w:eastAsia="仿宋"/>
          <w:color w:val="000000"/>
          <w:sz w:val="32"/>
          <w:szCs w:val="32"/>
        </w:rPr>
        <w:t>。</w:t>
      </w:r>
    </w:p>
    <w:p w14:paraId="468D314B">
      <w:pPr>
        <w:spacing w:line="600" w:lineRule="exact"/>
        <w:ind w:firstLine="640" w:firstLineChars="200"/>
      </w:pPr>
      <w:r>
        <w:rPr>
          <w:rFonts w:hint="eastAsia" w:ascii="仿宋" w:hAnsi="仿宋" w:eastAsia="仿宋"/>
          <w:color w:val="000000" w:themeColor="text1"/>
          <w:sz w:val="32"/>
          <w:szCs w:val="32"/>
          <w14:textFill>
            <w14:solidFill>
              <w14:schemeClr w14:val="tx1"/>
            </w14:solidFill>
          </w14:textFill>
        </w:rPr>
        <w:t>（图3：支出决算结构图）（饼状图）</w:t>
      </w:r>
    </w:p>
    <w:p w14:paraId="0C826DB3">
      <w:pPr>
        <w:pStyle w:val="16"/>
        <w:ind w:left="0" w:leftChars="0" w:firstLine="0" w:firstLineChars="0"/>
      </w:pPr>
      <w:r>
        <w:drawing>
          <wp:inline distT="0" distB="0" distL="114300" distR="114300">
            <wp:extent cx="4610100" cy="2439035"/>
            <wp:effectExtent l="4445" t="4445" r="14605" b="13970"/>
            <wp:docPr id="1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749BAD">
      <w:pPr>
        <w:pStyle w:val="16"/>
      </w:pPr>
    </w:p>
    <w:p w14:paraId="6B9C85B6">
      <w:pPr>
        <w:pStyle w:val="16"/>
      </w:pPr>
    </w:p>
    <w:p w14:paraId="32D73CE6">
      <w:pPr>
        <w:spacing w:line="600" w:lineRule="exact"/>
        <w:ind w:firstLine="640" w:firstLineChars="200"/>
        <w:rPr>
          <w:rFonts w:ascii="仿宋_GB2312" w:eastAsia="仿宋_GB2312"/>
          <w:color w:val="FF0000"/>
          <w:sz w:val="32"/>
          <w:szCs w:val="32"/>
        </w:rPr>
      </w:pPr>
    </w:p>
    <w:p w14:paraId="57BC081F">
      <w:pPr>
        <w:spacing w:line="600" w:lineRule="exact"/>
        <w:ind w:firstLine="640" w:firstLineChars="200"/>
        <w:outlineLvl w:val="1"/>
        <w:rPr>
          <w:rStyle w:val="30"/>
          <w:rFonts w:ascii="黑体" w:hAnsi="黑体" w:eastAsia="黑体"/>
          <w:b w:val="0"/>
        </w:rPr>
      </w:pPr>
      <w:bookmarkStart w:id="54" w:name="_Toc15396606"/>
      <w:bookmarkStart w:id="55" w:name="_Toc15377208"/>
      <w:bookmarkStart w:id="56" w:name="_Toc5179"/>
      <w:bookmarkStart w:id="57" w:name="_Toc28462"/>
      <w:r>
        <w:rPr>
          <w:rFonts w:hint="eastAsia" w:ascii="黑体" w:hAnsi="黑体" w:eastAsia="黑体"/>
          <w:color w:val="000000"/>
          <w:sz w:val="32"/>
          <w:szCs w:val="32"/>
        </w:rPr>
        <w:t>四、财</w:t>
      </w:r>
      <w:r>
        <w:rPr>
          <w:rStyle w:val="30"/>
          <w:rFonts w:hint="eastAsia" w:ascii="黑体" w:hAnsi="黑体" w:eastAsia="黑体"/>
          <w:b w:val="0"/>
        </w:rPr>
        <w:t>政拨款收入支出决算总体情况说明</w:t>
      </w:r>
      <w:bookmarkEnd w:id="54"/>
      <w:bookmarkEnd w:id="55"/>
      <w:bookmarkEnd w:id="56"/>
      <w:bookmarkEnd w:id="57"/>
    </w:p>
    <w:p w14:paraId="15A649BD">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年度收、支总计</w:t>
      </w:r>
      <w:r>
        <w:rPr>
          <w:rFonts w:hint="eastAsia" w:ascii="仿宋" w:hAnsi="仿宋" w:eastAsia="仿宋"/>
          <w:color w:val="000000"/>
          <w:sz w:val="32"/>
          <w:szCs w:val="32"/>
          <w:lang w:val="en-US" w:eastAsia="zh-CN"/>
        </w:rPr>
        <w:t>28468.72</w:t>
      </w:r>
      <w:r>
        <w:rPr>
          <w:rFonts w:hint="eastAsia" w:ascii="仿宋" w:hAnsi="仿宋" w:eastAsia="仿宋"/>
          <w:color w:val="000000"/>
          <w:sz w:val="32"/>
          <w:szCs w:val="32"/>
        </w:rPr>
        <w:t>万元。</w:t>
      </w:r>
      <w:r>
        <w:rPr>
          <w:rFonts w:hint="eastAsia" w:ascii="仿宋" w:hAnsi="仿宋" w:eastAsia="仿宋"/>
          <w:color w:val="auto"/>
          <w:sz w:val="32"/>
          <w:szCs w:val="32"/>
        </w:rPr>
        <w:t>与201</w:t>
      </w:r>
      <w:r>
        <w:rPr>
          <w:rFonts w:hint="eastAsia" w:ascii="仿宋" w:hAnsi="仿宋" w:eastAsia="仿宋"/>
          <w:color w:val="auto"/>
          <w:sz w:val="32"/>
          <w:szCs w:val="32"/>
          <w:lang w:val="en-US" w:eastAsia="zh-CN"/>
        </w:rPr>
        <w:t>9</w:t>
      </w:r>
      <w:r>
        <w:rPr>
          <w:rFonts w:hint="eastAsia" w:ascii="仿宋" w:hAnsi="仿宋" w:eastAsia="仿宋"/>
          <w:color w:val="auto"/>
          <w:sz w:val="32"/>
          <w:szCs w:val="32"/>
        </w:rPr>
        <w:t>年相比，</w:t>
      </w:r>
      <w:r>
        <w:rPr>
          <w:rFonts w:hint="eastAsia" w:ascii="仿宋" w:hAnsi="仿宋" w:eastAsia="仿宋"/>
          <w:color w:val="000000"/>
          <w:sz w:val="32"/>
          <w:szCs w:val="32"/>
        </w:rPr>
        <w:t>收、支总计各</w:t>
      </w:r>
      <w:r>
        <w:rPr>
          <w:rFonts w:hint="eastAsia" w:ascii="仿宋" w:hAnsi="仿宋" w:eastAsia="仿宋"/>
          <w:color w:val="000000"/>
          <w:sz w:val="32"/>
          <w:szCs w:val="32"/>
          <w:lang w:eastAsia="zh-CN"/>
        </w:rPr>
        <w:t>增加</w:t>
      </w:r>
      <w:r>
        <w:rPr>
          <w:rFonts w:hint="eastAsia" w:ascii="仿宋" w:hAnsi="仿宋" w:eastAsia="仿宋"/>
          <w:color w:val="000000"/>
          <w:sz w:val="32"/>
          <w:szCs w:val="32"/>
          <w:lang w:val="en-US" w:eastAsia="zh-CN"/>
        </w:rPr>
        <w:t>333.71</w:t>
      </w:r>
      <w:r>
        <w:rPr>
          <w:rFonts w:hint="eastAsia" w:ascii="仿宋" w:hAnsi="仿宋" w:eastAsia="仿宋"/>
          <w:color w:val="000000"/>
          <w:sz w:val="32"/>
          <w:szCs w:val="32"/>
        </w:rPr>
        <w:t>万元，增长</w:t>
      </w:r>
      <w:r>
        <w:rPr>
          <w:rFonts w:hint="eastAsia" w:ascii="仿宋" w:hAnsi="仿宋" w:eastAsia="仿宋"/>
          <w:color w:val="000000"/>
          <w:sz w:val="32"/>
          <w:szCs w:val="32"/>
          <w:lang w:val="en-US" w:eastAsia="zh-CN"/>
        </w:rPr>
        <w:t>1.18</w:t>
      </w:r>
      <w:r>
        <w:rPr>
          <w:rFonts w:ascii="仿宋" w:hAnsi="仿宋" w:eastAsia="仿宋"/>
          <w:color w:val="000000"/>
          <w:sz w:val="32"/>
          <w:szCs w:val="32"/>
        </w:rPr>
        <w:t>%</w:t>
      </w:r>
      <w:r>
        <w:rPr>
          <w:rFonts w:hint="eastAsia" w:ascii="仿宋" w:hAnsi="仿宋" w:eastAsia="仿宋"/>
          <w:color w:val="000000"/>
          <w:sz w:val="32"/>
          <w:szCs w:val="32"/>
        </w:rPr>
        <w:t>。主要变动原因是一是项目资金预算增加，二是预算人数增加。</w:t>
      </w:r>
    </w:p>
    <w:p w14:paraId="32540DD2">
      <w:pPr>
        <w:spacing w:line="600" w:lineRule="exact"/>
        <w:ind w:firstLine="640" w:firstLineChars="200"/>
        <w:rPr>
          <w:rFonts w:ascii="仿宋" w:hAnsi="仿宋" w:eastAsia="仿宋"/>
          <w:b/>
          <w:color w:val="00B050"/>
          <w:sz w:val="32"/>
          <w:szCs w:val="32"/>
        </w:rPr>
      </w:pPr>
      <w:r>
        <w:rPr>
          <w:rFonts w:hint="eastAsia" w:ascii="仿宋" w:hAnsi="仿宋" w:eastAsia="仿宋"/>
          <w:color w:val="000000" w:themeColor="text1"/>
          <w:sz w:val="32"/>
          <w:szCs w:val="32"/>
          <w14:textFill>
            <w14:solidFill>
              <w14:schemeClr w14:val="tx1"/>
            </w14:solidFill>
          </w14:textFill>
        </w:rPr>
        <w:t>（图4：财政拨款收、支决算总计变动情况）（柱状图）</w:t>
      </w:r>
    </w:p>
    <w:p w14:paraId="2B1D438C">
      <w:pPr>
        <w:pStyle w:val="16"/>
        <w:rPr>
          <w:rFonts w:ascii="仿宋" w:hAnsi="仿宋" w:eastAsia="仿宋"/>
          <w:b/>
          <w:color w:val="00B050"/>
          <w:sz w:val="32"/>
          <w:szCs w:val="32"/>
        </w:rPr>
      </w:pPr>
    </w:p>
    <w:p w14:paraId="3F9A3A48">
      <w:pPr>
        <w:pStyle w:val="16"/>
        <w:rPr>
          <w:rFonts w:ascii="仿宋" w:hAnsi="仿宋" w:eastAsia="仿宋"/>
          <w:b/>
          <w:color w:val="00B050"/>
          <w:sz w:val="32"/>
          <w:szCs w:val="32"/>
        </w:rPr>
      </w:pPr>
      <w:r>
        <w:drawing>
          <wp:inline distT="0" distB="0" distL="114300" distR="114300">
            <wp:extent cx="4543425" cy="2067560"/>
            <wp:effectExtent l="4445" t="4445" r="5080" b="23495"/>
            <wp:docPr id="1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E0ED2F">
      <w:pPr>
        <w:spacing w:line="600" w:lineRule="exact"/>
        <w:ind w:firstLine="640" w:firstLineChars="200"/>
        <w:outlineLvl w:val="1"/>
        <w:rPr>
          <w:rStyle w:val="30"/>
          <w:rFonts w:ascii="黑体" w:hAnsi="黑体" w:eastAsia="黑体"/>
          <w:b w:val="0"/>
        </w:rPr>
      </w:pPr>
      <w:bookmarkStart w:id="58" w:name="_Toc15396607"/>
      <w:bookmarkStart w:id="59" w:name="_Toc14112"/>
      <w:bookmarkStart w:id="60" w:name="_Toc31128"/>
      <w:bookmarkStart w:id="61" w:name="_Toc15377209"/>
      <w:r>
        <w:rPr>
          <w:rFonts w:hint="eastAsia" w:ascii="黑体" w:hAnsi="黑体" w:eastAsia="黑体"/>
          <w:color w:val="000000"/>
          <w:sz w:val="32"/>
          <w:szCs w:val="32"/>
        </w:rPr>
        <w:t>五、</w:t>
      </w:r>
      <w:r>
        <w:rPr>
          <w:rFonts w:hint="eastAsia" w:ascii="黑体" w:hAnsi="黑体" w:eastAsia="黑体"/>
          <w:b/>
          <w:color w:val="000000"/>
          <w:sz w:val="32"/>
          <w:szCs w:val="32"/>
        </w:rPr>
        <w:t>一</w:t>
      </w:r>
      <w:r>
        <w:rPr>
          <w:rStyle w:val="30"/>
          <w:rFonts w:hint="eastAsia" w:ascii="黑体" w:hAnsi="黑体" w:eastAsia="黑体"/>
          <w:b w:val="0"/>
        </w:rPr>
        <w:t>般公共预算财政拨款支出决算情况说明</w:t>
      </w:r>
      <w:bookmarkEnd w:id="58"/>
      <w:bookmarkEnd w:id="59"/>
      <w:bookmarkEnd w:id="60"/>
      <w:bookmarkEnd w:id="61"/>
    </w:p>
    <w:p w14:paraId="6C088382">
      <w:pPr>
        <w:spacing w:line="600" w:lineRule="exact"/>
        <w:ind w:firstLine="643" w:firstLineChars="200"/>
        <w:outlineLvl w:val="2"/>
        <w:rPr>
          <w:rFonts w:ascii="仿宋" w:hAnsi="仿宋" w:eastAsia="仿宋"/>
          <w:b/>
          <w:color w:val="000000"/>
          <w:sz w:val="32"/>
          <w:szCs w:val="32"/>
        </w:rPr>
      </w:pPr>
      <w:bookmarkStart w:id="62" w:name="_Toc1608"/>
      <w:bookmarkStart w:id="63" w:name="_Toc22071"/>
      <w:bookmarkStart w:id="64" w:name="_Toc15377210"/>
      <w:r>
        <w:rPr>
          <w:rFonts w:hint="eastAsia" w:ascii="仿宋" w:hAnsi="仿宋" w:eastAsia="仿宋"/>
          <w:b/>
          <w:color w:val="000000"/>
          <w:sz w:val="32"/>
          <w:szCs w:val="32"/>
        </w:rPr>
        <w:t>（一）一般公共预算财政拨款支出决算总体情况</w:t>
      </w:r>
      <w:bookmarkEnd w:id="62"/>
      <w:bookmarkEnd w:id="63"/>
      <w:bookmarkEnd w:id="64"/>
    </w:p>
    <w:p w14:paraId="4D282648">
      <w:pPr>
        <w:spacing w:line="600" w:lineRule="exact"/>
        <w:ind w:firstLine="640" w:firstLineChars="200"/>
        <w:rPr>
          <w:rFonts w:ascii="仿宋" w:hAnsi="仿宋" w:eastAsia="仿宋"/>
          <w:color w:val="000000"/>
          <w:sz w:val="32"/>
          <w:szCs w:val="32"/>
        </w:rPr>
      </w:pP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年一般公共预算财政拨款支出21134.7万元，占本年支出合计的</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color w:val="auto"/>
          <w:sz w:val="32"/>
          <w:szCs w:val="32"/>
        </w:rPr>
        <w:t>与</w:t>
      </w:r>
      <w:r>
        <w:rPr>
          <w:rFonts w:ascii="仿宋" w:hAnsi="仿宋" w:eastAsia="仿宋"/>
          <w:color w:val="auto"/>
          <w:sz w:val="32"/>
          <w:szCs w:val="32"/>
        </w:rPr>
        <w:t>201</w:t>
      </w:r>
      <w:r>
        <w:rPr>
          <w:rFonts w:hint="eastAsia" w:ascii="仿宋" w:hAnsi="仿宋" w:eastAsia="仿宋"/>
          <w:color w:val="auto"/>
          <w:sz w:val="32"/>
          <w:szCs w:val="32"/>
          <w:lang w:val="en-US" w:eastAsia="zh-CN"/>
        </w:rPr>
        <w:t>9</w:t>
      </w:r>
      <w:r>
        <w:rPr>
          <w:rFonts w:hint="eastAsia" w:ascii="仿宋" w:hAnsi="仿宋" w:eastAsia="仿宋"/>
          <w:color w:val="auto"/>
          <w:sz w:val="32"/>
          <w:szCs w:val="32"/>
        </w:rPr>
        <w:t>年</w:t>
      </w:r>
      <w:r>
        <w:rPr>
          <w:rFonts w:hint="eastAsia" w:ascii="仿宋" w:hAnsi="仿宋" w:eastAsia="仿宋"/>
          <w:color w:val="auto"/>
          <w:sz w:val="32"/>
          <w:szCs w:val="32"/>
          <w:lang w:val="en-US" w:eastAsia="zh-CN"/>
        </w:rPr>
        <w:t>21259.18</w:t>
      </w:r>
      <w:r>
        <w:rPr>
          <w:rFonts w:hint="eastAsia" w:ascii="仿宋" w:hAnsi="仿宋" w:eastAsia="仿宋"/>
          <w:color w:val="auto"/>
          <w:sz w:val="32"/>
          <w:szCs w:val="32"/>
        </w:rPr>
        <w:t>相比，</w:t>
      </w:r>
      <w:r>
        <w:rPr>
          <w:rFonts w:hint="eastAsia" w:ascii="仿宋" w:hAnsi="仿宋" w:eastAsia="仿宋"/>
          <w:color w:val="000000"/>
          <w:sz w:val="32"/>
          <w:szCs w:val="32"/>
        </w:rPr>
        <w:t>一般公共预算财政拨款</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124.48</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0.59</w:t>
      </w:r>
      <w:r>
        <w:rPr>
          <w:rFonts w:ascii="仿宋" w:hAnsi="仿宋" w:eastAsia="仿宋"/>
          <w:color w:val="000000"/>
          <w:sz w:val="32"/>
          <w:szCs w:val="32"/>
        </w:rPr>
        <w:t>%</w:t>
      </w:r>
      <w:r>
        <w:rPr>
          <w:rFonts w:hint="eastAsia" w:ascii="仿宋" w:hAnsi="仿宋" w:eastAsia="仿宋"/>
          <w:color w:val="000000"/>
          <w:sz w:val="32"/>
          <w:szCs w:val="32"/>
        </w:rPr>
        <w:t>。主要变动原因一是项目支出</w:t>
      </w:r>
      <w:r>
        <w:rPr>
          <w:rFonts w:hint="eastAsia" w:ascii="仿宋" w:hAnsi="仿宋" w:eastAsia="仿宋"/>
          <w:color w:val="000000"/>
          <w:sz w:val="32"/>
          <w:szCs w:val="32"/>
          <w:lang w:eastAsia="zh-CN"/>
        </w:rPr>
        <w:t>减少</w:t>
      </w:r>
      <w:r>
        <w:rPr>
          <w:rFonts w:hint="eastAsia" w:ascii="仿宋" w:hAnsi="仿宋" w:eastAsia="仿宋"/>
          <w:color w:val="000000"/>
          <w:sz w:val="32"/>
          <w:szCs w:val="32"/>
        </w:rPr>
        <w:t>。</w:t>
      </w:r>
    </w:p>
    <w:p w14:paraId="12E832F1">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（图5：一般公共预算财政拨款支出决算变动情况）（柱状图）</w:t>
      </w:r>
    </w:p>
    <w:p w14:paraId="70ED8D14">
      <w:pPr>
        <w:pStyle w:val="16"/>
        <w:jc w:val="center"/>
        <w:rPr>
          <w:rFonts w:ascii="仿宋" w:hAnsi="仿宋" w:eastAsia="仿宋"/>
          <w:color w:val="000000" w:themeColor="text1"/>
          <w:sz w:val="32"/>
          <w:szCs w:val="32"/>
          <w14:textFill>
            <w14:solidFill>
              <w14:schemeClr w14:val="tx1"/>
            </w14:solidFill>
          </w14:textFill>
        </w:rPr>
      </w:pPr>
      <w:r>
        <w:drawing>
          <wp:inline distT="0" distB="0" distL="114300" distR="114300">
            <wp:extent cx="4572000" cy="1781810"/>
            <wp:effectExtent l="4445" t="4445" r="14605" b="2349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6294A4">
      <w:pPr>
        <w:spacing w:line="600" w:lineRule="exact"/>
        <w:ind w:firstLine="643" w:firstLineChars="200"/>
        <w:outlineLvl w:val="2"/>
        <w:rPr>
          <w:rFonts w:ascii="仿宋" w:hAnsi="仿宋" w:eastAsia="仿宋"/>
          <w:b/>
          <w:color w:val="000000"/>
          <w:sz w:val="32"/>
          <w:szCs w:val="32"/>
        </w:rPr>
      </w:pPr>
      <w:bookmarkStart w:id="65" w:name="_Toc10534"/>
      <w:bookmarkStart w:id="66" w:name="_Toc15377211"/>
      <w:bookmarkStart w:id="67" w:name="_Toc9099"/>
      <w:r>
        <w:rPr>
          <w:rFonts w:hint="eastAsia" w:ascii="仿宋" w:hAnsi="仿宋" w:eastAsia="仿宋"/>
          <w:b/>
          <w:color w:val="000000"/>
          <w:sz w:val="32"/>
          <w:szCs w:val="32"/>
        </w:rPr>
        <w:t>（二）一般公共预算财政拨款支出决算结构情况</w:t>
      </w:r>
      <w:bookmarkEnd w:id="65"/>
      <w:bookmarkEnd w:id="66"/>
      <w:bookmarkEnd w:id="67"/>
    </w:p>
    <w:p w14:paraId="223A1772">
      <w:pPr>
        <w:spacing w:line="600" w:lineRule="exact"/>
        <w:ind w:firstLine="640"/>
        <w:rPr>
          <w:rFonts w:hint="default" w:ascii="仿宋" w:hAnsi="仿宋" w:eastAsia="仿宋"/>
          <w:color w:val="000000" w:themeColor="text1"/>
          <w:sz w:val="32"/>
          <w:szCs w:val="32"/>
          <w:lang w:val="en-US" w:eastAsia="zh-CN"/>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20</w:t>
      </w:r>
      <w:r>
        <w:rPr>
          <w:rFonts w:hint="eastAsia" w:ascii="仿宋" w:hAnsi="仿宋" w:eastAsia="仿宋"/>
          <w:color w:val="000000" w:themeColor="text1"/>
          <w:sz w:val="32"/>
          <w:szCs w:val="32"/>
          <w:lang w:val="en-US" w:eastAsia="zh-CN"/>
          <w14:textFill>
            <w14:solidFill>
              <w14:schemeClr w14:val="tx1"/>
            </w14:solidFill>
          </w14:textFill>
        </w:rPr>
        <w:t>20</w:t>
      </w:r>
      <w:r>
        <w:rPr>
          <w:rFonts w:hint="eastAsia" w:ascii="仿宋" w:hAnsi="仿宋" w:eastAsia="仿宋"/>
          <w:color w:val="000000" w:themeColor="text1"/>
          <w:sz w:val="32"/>
          <w:szCs w:val="32"/>
          <w14:textFill>
            <w14:solidFill>
              <w14:schemeClr w14:val="tx1"/>
            </w14:solidFill>
          </w14:textFill>
        </w:rPr>
        <w:t>年一般公共预算财政拨款支出</w:t>
      </w:r>
      <w:r>
        <w:rPr>
          <w:rFonts w:hint="eastAsia" w:ascii="仿宋" w:hAnsi="仿宋" w:eastAsia="仿宋"/>
          <w:color w:val="000000"/>
          <w:sz w:val="32"/>
          <w:szCs w:val="32"/>
        </w:rPr>
        <w:t>21134.7</w:t>
      </w:r>
      <w:r>
        <w:rPr>
          <w:rFonts w:hint="eastAsia" w:ascii="仿宋" w:hAnsi="仿宋" w:eastAsia="仿宋"/>
          <w:color w:val="000000" w:themeColor="text1"/>
          <w:sz w:val="32"/>
          <w:szCs w:val="32"/>
          <w14:textFill>
            <w14:solidFill>
              <w14:schemeClr w14:val="tx1"/>
            </w14:solidFill>
          </w14:textFill>
        </w:rPr>
        <w:t>万元，主要用于以下方面</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lang w:eastAsia="zh-CN"/>
          <w14:textFill>
            <w14:solidFill>
              <w14:schemeClr w14:val="tx1"/>
            </w14:solidFill>
          </w14:textFill>
        </w:rPr>
        <w:t>社会保障和就业（类）</w:t>
      </w:r>
      <w:r>
        <w:rPr>
          <w:rFonts w:hint="eastAsia" w:ascii="仿宋" w:hAnsi="仿宋" w:eastAsia="仿宋"/>
          <w:color w:val="000000" w:themeColor="text1"/>
          <w:sz w:val="32"/>
          <w:szCs w:val="32"/>
          <w14:textFill>
            <w14:solidFill>
              <w14:schemeClr w14:val="tx1"/>
            </w14:solidFill>
          </w14:textFill>
        </w:rPr>
        <w:t>支出117.95</w:t>
      </w:r>
      <w:r>
        <w:rPr>
          <w:rFonts w:hint="eastAsia" w:ascii="仿宋" w:hAnsi="仿宋" w:eastAsia="仿宋"/>
          <w:color w:val="000000" w:themeColor="text1"/>
          <w:sz w:val="32"/>
          <w:szCs w:val="32"/>
          <w:lang w:eastAsia="zh-CN"/>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0.56%</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b/>
          <w:color w:val="000000" w:themeColor="text1"/>
          <w:sz w:val="32"/>
          <w:szCs w:val="32"/>
          <w:lang w:eastAsia="zh-CN"/>
          <w14:textFill>
            <w14:solidFill>
              <w14:schemeClr w14:val="tx1"/>
            </w14:solidFill>
          </w14:textFill>
        </w:rPr>
        <w:t>卫生</w:t>
      </w:r>
      <w:r>
        <w:rPr>
          <w:rFonts w:hint="eastAsia" w:ascii="仿宋" w:hAnsi="仿宋" w:eastAsia="仿宋"/>
          <w:b/>
          <w:color w:val="000000" w:themeColor="text1"/>
          <w:sz w:val="32"/>
          <w:szCs w:val="32"/>
          <w14:textFill>
            <w14:solidFill>
              <w14:schemeClr w14:val="tx1"/>
            </w14:solidFill>
          </w14:textFill>
        </w:rPr>
        <w:t>健康</w:t>
      </w:r>
      <w:r>
        <w:rPr>
          <w:rFonts w:hint="eastAsia" w:ascii="仿宋" w:hAnsi="仿宋" w:eastAsia="仿宋"/>
          <w:b/>
          <w:color w:val="000000" w:themeColor="text1"/>
          <w:sz w:val="32"/>
          <w:szCs w:val="32"/>
          <w:lang w:eastAsia="zh-CN"/>
          <w14:textFill>
            <w14:solidFill>
              <w14:schemeClr w14:val="tx1"/>
            </w14:solidFill>
          </w14:textFill>
        </w:rPr>
        <w:t>（类）</w:t>
      </w:r>
      <w:r>
        <w:rPr>
          <w:rFonts w:hint="eastAsia" w:ascii="仿宋" w:hAnsi="仿宋" w:eastAsia="仿宋"/>
          <w:color w:val="000000" w:themeColor="text1"/>
          <w:sz w:val="32"/>
          <w:szCs w:val="32"/>
          <w14:textFill>
            <w14:solidFill>
              <w14:schemeClr w14:val="tx1"/>
            </w14:solidFill>
          </w14:textFill>
        </w:rPr>
        <w:t>支出55.04</w:t>
      </w:r>
      <w:r>
        <w:rPr>
          <w:rFonts w:hint="eastAsia" w:ascii="仿宋" w:hAnsi="仿宋" w:eastAsia="仿宋"/>
          <w:color w:val="000000" w:themeColor="text1"/>
          <w:sz w:val="32"/>
          <w:szCs w:val="32"/>
          <w:lang w:eastAsia="zh-CN"/>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0.26%</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城乡社区</w:t>
      </w:r>
      <w:r>
        <w:rPr>
          <w:rFonts w:hint="eastAsia" w:ascii="仿宋" w:hAnsi="仿宋" w:eastAsia="仿宋"/>
          <w:b/>
          <w:color w:val="000000" w:themeColor="text1"/>
          <w:sz w:val="32"/>
          <w:szCs w:val="32"/>
          <w:lang w:eastAsia="zh-CN"/>
          <w14:textFill>
            <w14:solidFill>
              <w14:schemeClr w14:val="tx1"/>
            </w14:solidFill>
          </w14:textFill>
        </w:rPr>
        <w:t>（类）</w:t>
      </w:r>
      <w:r>
        <w:rPr>
          <w:rFonts w:hint="eastAsia" w:ascii="仿宋" w:hAnsi="仿宋" w:eastAsia="仿宋"/>
          <w:color w:val="000000" w:themeColor="text1"/>
          <w:sz w:val="32"/>
          <w:szCs w:val="32"/>
          <w14:textFill>
            <w14:solidFill>
              <w14:schemeClr w14:val="tx1"/>
            </w14:solidFill>
          </w14:textFill>
        </w:rPr>
        <w:t>支出309.9</w:t>
      </w:r>
      <w:r>
        <w:rPr>
          <w:rFonts w:hint="eastAsia" w:ascii="仿宋" w:hAnsi="仿宋" w:eastAsia="仿宋"/>
          <w:color w:val="000000" w:themeColor="text1"/>
          <w:sz w:val="32"/>
          <w:szCs w:val="32"/>
          <w:lang w:eastAsia="zh-CN"/>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1.47%</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农林水（类）</w:t>
      </w:r>
      <w:r>
        <w:rPr>
          <w:rFonts w:hint="eastAsia" w:ascii="仿宋" w:hAnsi="仿宋" w:eastAsia="仿宋"/>
          <w:color w:val="000000" w:themeColor="text1"/>
          <w:sz w:val="32"/>
          <w:szCs w:val="32"/>
          <w14:textFill>
            <w14:solidFill>
              <w14:schemeClr w14:val="tx1"/>
            </w14:solidFill>
          </w14:textFill>
        </w:rPr>
        <w:t>支出18626.35万元，占</w:t>
      </w:r>
      <w:r>
        <w:rPr>
          <w:rFonts w:hint="eastAsia" w:ascii="仿宋" w:hAnsi="仿宋" w:eastAsia="仿宋"/>
          <w:color w:val="000000" w:themeColor="text1"/>
          <w:sz w:val="32"/>
          <w:szCs w:val="32"/>
          <w:lang w:val="en-US" w:eastAsia="zh-CN"/>
          <w14:textFill>
            <w14:solidFill>
              <w14:schemeClr w14:val="tx1"/>
            </w14:solidFill>
          </w14:textFill>
        </w:rPr>
        <w:t>88.13</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商业服务业等（类）</w:t>
      </w:r>
      <w:r>
        <w:rPr>
          <w:rFonts w:hint="eastAsia" w:ascii="仿宋" w:hAnsi="仿宋" w:eastAsia="仿宋"/>
          <w:color w:val="000000" w:themeColor="text1"/>
          <w:sz w:val="32"/>
          <w:szCs w:val="32"/>
          <w14:textFill>
            <w14:solidFill>
              <w14:schemeClr w14:val="tx1"/>
            </w14:solidFill>
          </w14:textFill>
        </w:rPr>
        <w:t xml:space="preserve">支出635.72万元，占 </w:t>
      </w:r>
      <w:r>
        <w:rPr>
          <w:rFonts w:hint="eastAsia" w:ascii="仿宋" w:hAnsi="仿宋" w:eastAsia="仿宋"/>
          <w:color w:val="000000" w:themeColor="text1"/>
          <w:sz w:val="32"/>
          <w:szCs w:val="32"/>
          <w:lang w:val="en-US" w:eastAsia="zh-CN"/>
          <w14:textFill>
            <w14:solidFill>
              <w14:schemeClr w14:val="tx1"/>
            </w14:solidFill>
          </w14:textFill>
        </w:rPr>
        <w:t>3.00</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住房保障（类）</w:t>
      </w:r>
      <w:r>
        <w:rPr>
          <w:rFonts w:hint="eastAsia" w:ascii="仿宋" w:hAnsi="仿宋" w:eastAsia="仿宋"/>
          <w:color w:val="000000" w:themeColor="text1"/>
          <w:sz w:val="32"/>
          <w:szCs w:val="32"/>
          <w14:textFill>
            <w14:solidFill>
              <w14:schemeClr w14:val="tx1"/>
            </w14:solidFill>
          </w14:textFill>
        </w:rPr>
        <w:t>支出</w:t>
      </w:r>
      <w:r>
        <w:rPr>
          <w:rFonts w:hint="eastAsia" w:ascii="仿宋" w:hAnsi="仿宋" w:eastAsia="仿宋"/>
          <w:color w:val="000000" w:themeColor="text1"/>
          <w:sz w:val="32"/>
          <w:szCs w:val="32"/>
          <w:lang w:val="en-US" w:eastAsia="zh-CN"/>
          <w14:textFill>
            <w14:solidFill>
              <w14:schemeClr w14:val="tx1"/>
            </w14:solidFill>
          </w14:textFill>
        </w:rPr>
        <w:t>106.38</w:t>
      </w:r>
      <w:r>
        <w:rPr>
          <w:rFonts w:hint="eastAsia" w:ascii="仿宋" w:hAnsi="仿宋" w:eastAsia="仿宋"/>
          <w:color w:val="000000" w:themeColor="text1"/>
          <w:sz w:val="32"/>
          <w:szCs w:val="32"/>
          <w14:textFill>
            <w14:solidFill>
              <w14:schemeClr w14:val="tx1"/>
            </w14:solidFill>
          </w14:textFill>
        </w:rPr>
        <w:t>万元，占0.52</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b/>
          <w:color w:val="000000" w:themeColor="text1"/>
          <w:sz w:val="32"/>
          <w:szCs w:val="32"/>
          <w:lang w:eastAsia="zh-CN"/>
          <w14:textFill>
            <w14:solidFill>
              <w14:schemeClr w14:val="tx1"/>
            </w14:solidFill>
          </w14:textFill>
        </w:rPr>
        <w:t>其他支出（</w:t>
      </w:r>
      <w:r>
        <w:rPr>
          <w:rFonts w:hint="eastAsia" w:ascii="仿宋" w:hAnsi="仿宋" w:eastAsia="仿宋"/>
          <w:b/>
          <w:color w:val="000000" w:themeColor="text1"/>
          <w:sz w:val="32"/>
          <w:szCs w:val="32"/>
          <w:lang w:val="en-US" w:eastAsia="zh-CN"/>
          <w14:textFill>
            <w14:solidFill>
              <w14:schemeClr w14:val="tx1"/>
            </w14:solidFill>
          </w14:textFill>
        </w:rPr>
        <w:t>类）</w:t>
      </w:r>
      <w:r>
        <w:rPr>
          <w:rFonts w:hint="eastAsia" w:ascii="仿宋" w:hAnsi="仿宋" w:eastAsia="仿宋"/>
          <w:color w:val="000000" w:themeColor="text1"/>
          <w:sz w:val="32"/>
          <w:szCs w:val="32"/>
          <w:lang w:val="en-US" w:eastAsia="zh-CN"/>
          <w14:textFill>
            <w14:solidFill>
              <w14:schemeClr w14:val="tx1"/>
            </w14:solidFill>
          </w14:textFill>
        </w:rPr>
        <w:t>支出3.36万元，占0.01%；</w:t>
      </w:r>
      <w:r>
        <w:rPr>
          <w:rFonts w:hint="eastAsia" w:ascii="仿宋" w:hAnsi="仿宋" w:eastAsia="仿宋"/>
          <w:b/>
          <w:color w:val="000000" w:themeColor="text1"/>
          <w:sz w:val="32"/>
          <w:szCs w:val="32"/>
          <w:lang w:eastAsia="zh-CN"/>
          <w14:textFill>
            <w14:solidFill>
              <w14:schemeClr w14:val="tx1"/>
            </w14:solidFill>
          </w14:textFill>
        </w:rPr>
        <w:t>抗疫特别国债安排的支出（类）</w:t>
      </w:r>
      <w:r>
        <w:rPr>
          <w:rFonts w:hint="eastAsia" w:ascii="仿宋" w:hAnsi="仿宋" w:eastAsia="仿宋"/>
          <w:color w:val="000000" w:themeColor="text1"/>
          <w:sz w:val="32"/>
          <w:szCs w:val="32"/>
          <w:lang w:val="en-US" w:eastAsia="zh-CN"/>
          <w14:textFill>
            <w14:solidFill>
              <w14:schemeClr w14:val="tx1"/>
            </w14:solidFill>
          </w14:textFill>
        </w:rPr>
        <w:t>1280万元，占6.05%。</w:t>
      </w:r>
    </w:p>
    <w:p w14:paraId="0D2C7916">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（图6：一般公共预算财政拨款支出决算结构）</w:t>
      </w:r>
    </w:p>
    <w:p w14:paraId="3456D09C">
      <w:pPr>
        <w:pStyle w:val="16"/>
        <w:ind w:left="0" w:leftChars="0" w:firstLine="0" w:firstLineChars="0"/>
        <w:jc w:val="center"/>
        <w:rPr>
          <w:rFonts w:hint="eastAsia" w:ascii="仿宋" w:hAnsi="仿宋" w:eastAsia="仿宋"/>
          <w:b/>
          <w:color w:val="000000" w:themeColor="text1"/>
          <w:sz w:val="32"/>
          <w:szCs w:val="32"/>
          <w14:textFill>
            <w14:solidFill>
              <w14:schemeClr w14:val="tx1"/>
            </w14:solidFill>
          </w14:textFill>
        </w:rPr>
      </w:pPr>
      <w:bookmarkStart w:id="68" w:name="_Toc15377212"/>
      <w:r>
        <w:drawing>
          <wp:inline distT="0" distB="0" distL="114300" distR="114300">
            <wp:extent cx="4572000" cy="2743200"/>
            <wp:effectExtent l="4445" t="4445" r="14605" b="1460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BEF9B1">
      <w:pPr>
        <w:spacing w:line="600" w:lineRule="exact"/>
        <w:outlineLvl w:val="2"/>
        <w:rPr>
          <w:rFonts w:ascii="仿宋" w:hAnsi="仿宋" w:eastAsia="仿宋"/>
          <w:b/>
          <w:color w:val="000000" w:themeColor="text1"/>
          <w:sz w:val="32"/>
          <w:szCs w:val="32"/>
          <w14:textFill>
            <w14:solidFill>
              <w14:schemeClr w14:val="tx1"/>
            </w14:solidFill>
          </w14:textFill>
        </w:rPr>
      </w:pPr>
      <w:bookmarkStart w:id="69" w:name="_Toc2344"/>
      <w:bookmarkStart w:id="70" w:name="_Toc27775"/>
      <w:r>
        <w:rPr>
          <w:rFonts w:hint="eastAsia" w:ascii="仿宋" w:hAnsi="仿宋" w:eastAsia="仿宋"/>
          <w:b/>
          <w:color w:val="000000" w:themeColor="text1"/>
          <w:sz w:val="32"/>
          <w:szCs w:val="32"/>
          <w14:textFill>
            <w14:solidFill>
              <w14:schemeClr w14:val="tx1"/>
            </w14:solidFill>
          </w14:textFill>
        </w:rPr>
        <w:t>（三）一般公共预算财政拨款支出决算具体情况</w:t>
      </w:r>
      <w:bookmarkEnd w:id="68"/>
      <w:bookmarkEnd w:id="69"/>
      <w:bookmarkEnd w:id="70"/>
    </w:p>
    <w:p w14:paraId="3DED4D4E">
      <w:pPr>
        <w:spacing w:line="600" w:lineRule="exact"/>
        <w:ind w:firstLine="643" w:firstLineChars="200"/>
        <w:outlineLvl w:val="2"/>
        <w:rPr>
          <w:rFonts w:ascii="仿宋" w:hAnsi="仿宋" w:eastAsia="仿宋"/>
          <w:color w:val="000000" w:themeColor="text1"/>
          <w:sz w:val="32"/>
          <w:szCs w:val="32"/>
          <w14:textFill>
            <w14:solidFill>
              <w14:schemeClr w14:val="tx1"/>
            </w14:solidFill>
          </w14:textFill>
        </w:rPr>
      </w:pPr>
      <w:bookmarkStart w:id="71" w:name="_Toc15378460"/>
      <w:bookmarkStart w:id="72" w:name="_Toc11418"/>
      <w:bookmarkStart w:id="73" w:name="_Toc15377213"/>
      <w:bookmarkStart w:id="74" w:name="_Toc15377444"/>
      <w:bookmarkStart w:id="75" w:name="_Toc25892"/>
      <w:r>
        <w:rPr>
          <w:rFonts w:hint="eastAsia" w:ascii="仿宋" w:hAnsi="仿宋" w:eastAsia="仿宋"/>
          <w:b/>
          <w:color w:val="000000" w:themeColor="text1"/>
          <w:sz w:val="32"/>
          <w:szCs w:val="32"/>
          <w14:textFill>
            <w14:solidFill>
              <w14:schemeClr w14:val="tx1"/>
            </w14:solidFill>
          </w14:textFill>
        </w:rPr>
        <w:t>20</w:t>
      </w:r>
      <w:r>
        <w:rPr>
          <w:rFonts w:hint="eastAsia" w:ascii="仿宋" w:hAnsi="仿宋" w:eastAsia="仿宋"/>
          <w:b/>
          <w:color w:val="000000" w:themeColor="text1"/>
          <w:sz w:val="32"/>
          <w:szCs w:val="32"/>
          <w:lang w:val="en-US" w:eastAsia="zh-CN"/>
          <w14:textFill>
            <w14:solidFill>
              <w14:schemeClr w14:val="tx1"/>
            </w14:solidFill>
          </w14:textFill>
        </w:rPr>
        <w:t>20</w:t>
      </w:r>
      <w:r>
        <w:rPr>
          <w:rFonts w:hint="eastAsia" w:ascii="仿宋" w:hAnsi="仿宋" w:eastAsia="仿宋"/>
          <w:b/>
          <w:color w:val="000000" w:themeColor="text1"/>
          <w:sz w:val="32"/>
          <w:szCs w:val="32"/>
          <w14:textFill>
            <w14:solidFill>
              <w14:schemeClr w14:val="tx1"/>
            </w14:solidFill>
          </w14:textFill>
        </w:rPr>
        <w:t>年一般公共预算支出决算数为</w:t>
      </w:r>
      <w:r>
        <w:rPr>
          <w:rFonts w:hint="eastAsia" w:ascii="仿宋" w:hAnsi="仿宋" w:eastAsia="仿宋"/>
          <w:color w:val="000000"/>
          <w:sz w:val="32"/>
          <w:szCs w:val="32"/>
        </w:rPr>
        <w:t>21134.7</w:t>
      </w:r>
      <w:r>
        <w:rPr>
          <w:rFonts w:hint="eastAsia" w:ascii="仿宋" w:hAnsi="仿宋" w:eastAsia="仿宋"/>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14:textFill>
            <w14:solidFill>
              <w14:schemeClr w14:val="tx1"/>
            </w14:solidFill>
          </w14:textFill>
        </w:rPr>
        <w:t>完成预算</w:t>
      </w:r>
      <w:r>
        <w:rPr>
          <w:rStyle w:val="19"/>
          <w:rFonts w:hint="eastAsia" w:ascii="仿宋" w:hAnsi="仿宋" w:eastAsia="仿宋"/>
          <w:bCs/>
          <w:color w:val="000000" w:themeColor="text1"/>
          <w:sz w:val="32"/>
          <w:szCs w:val="32"/>
          <w:lang w:val="en-US" w:eastAsia="zh-CN"/>
          <w14:textFill>
            <w14:solidFill>
              <w14:schemeClr w14:val="tx1"/>
            </w14:solidFill>
          </w14:textFill>
        </w:rPr>
        <w:t>74.24</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14:textFill>
            <w14:solidFill>
              <w14:schemeClr w14:val="tx1"/>
            </w14:solidFill>
          </w14:textFill>
        </w:rPr>
        <w:t>。其中：</w:t>
      </w:r>
      <w:bookmarkEnd w:id="71"/>
      <w:bookmarkEnd w:id="72"/>
      <w:bookmarkEnd w:id="73"/>
      <w:bookmarkEnd w:id="74"/>
      <w:bookmarkEnd w:id="75"/>
    </w:p>
    <w:p w14:paraId="6B1A953B">
      <w:pPr>
        <w:numPr>
          <w:ilvl w:val="0"/>
          <w:numId w:val="0"/>
        </w:numPr>
        <w:spacing w:line="600" w:lineRule="exact"/>
        <w:ind w:firstLine="643" w:firstLineChars="200"/>
        <w:rPr>
          <w:rStyle w:val="19"/>
          <w:rFonts w:hint="eastAsia" w:ascii="仿宋" w:hAnsi="仿宋" w:eastAsia="仿宋"/>
          <w:b w:val="0"/>
          <w:bCs/>
          <w:color w:val="auto"/>
          <w:sz w:val="32"/>
          <w:szCs w:val="32"/>
        </w:rPr>
      </w:pPr>
      <w:r>
        <w:rPr>
          <w:rStyle w:val="19"/>
          <w:rFonts w:hint="eastAsia" w:ascii="仿宋" w:hAnsi="仿宋" w:eastAsia="仿宋"/>
          <w:bCs/>
          <w:color w:val="auto"/>
          <w:sz w:val="32"/>
          <w:szCs w:val="32"/>
          <w:lang w:val="en-US" w:eastAsia="zh-CN"/>
        </w:rPr>
        <w:t>1</w:t>
      </w:r>
      <w:r>
        <w:rPr>
          <w:rStyle w:val="19"/>
          <w:rFonts w:ascii="仿宋" w:hAnsi="仿宋" w:eastAsia="仿宋"/>
          <w:bCs/>
          <w:color w:val="auto"/>
          <w:sz w:val="32"/>
          <w:szCs w:val="32"/>
        </w:rPr>
        <w:t>.</w:t>
      </w:r>
      <w:r>
        <w:rPr>
          <w:rStyle w:val="19"/>
          <w:rFonts w:hint="eastAsia" w:ascii="仿宋" w:hAnsi="仿宋" w:eastAsia="仿宋"/>
          <w:bCs/>
          <w:color w:val="auto"/>
          <w:sz w:val="32"/>
          <w:szCs w:val="32"/>
        </w:rPr>
        <w:t>社会保障和就业支出（类）</w:t>
      </w:r>
      <w:r>
        <w:rPr>
          <w:rStyle w:val="19"/>
          <w:rFonts w:hint="eastAsia" w:ascii="仿宋" w:hAnsi="仿宋" w:eastAsia="仿宋"/>
          <w:bCs/>
          <w:color w:val="auto"/>
          <w:sz w:val="32"/>
          <w:szCs w:val="32"/>
          <w:lang w:eastAsia="zh-CN"/>
        </w:rPr>
        <w:t>行政事业单位养老支出</w:t>
      </w:r>
      <w:r>
        <w:rPr>
          <w:rStyle w:val="19"/>
          <w:rFonts w:hint="eastAsia" w:ascii="仿宋" w:hAnsi="仿宋" w:eastAsia="仿宋"/>
          <w:bCs/>
          <w:color w:val="auto"/>
          <w:sz w:val="32"/>
          <w:szCs w:val="32"/>
        </w:rPr>
        <w:t>（款）</w:t>
      </w:r>
      <w:r>
        <w:rPr>
          <w:rStyle w:val="19"/>
          <w:rFonts w:hint="eastAsia" w:ascii="仿宋" w:hAnsi="仿宋" w:eastAsia="仿宋"/>
          <w:bCs/>
          <w:color w:val="auto"/>
          <w:sz w:val="32"/>
          <w:szCs w:val="32"/>
          <w:lang w:eastAsia="zh-CN"/>
        </w:rPr>
        <w:t>机关事业单位基本养老保险缴费支出</w:t>
      </w:r>
      <w:r>
        <w:rPr>
          <w:rStyle w:val="19"/>
          <w:rFonts w:hint="eastAsia" w:ascii="仿宋" w:hAnsi="仿宋" w:eastAsia="仿宋"/>
          <w:bCs/>
          <w:color w:val="auto"/>
          <w:sz w:val="32"/>
          <w:szCs w:val="32"/>
        </w:rPr>
        <w:t>（项）</w:t>
      </w:r>
      <w:r>
        <w:rPr>
          <w:rStyle w:val="19"/>
          <w:rFonts w:ascii="仿宋" w:hAnsi="仿宋" w:eastAsia="仿宋"/>
          <w:bCs/>
          <w:color w:val="auto"/>
          <w:sz w:val="32"/>
          <w:szCs w:val="32"/>
        </w:rPr>
        <w:t>:</w:t>
      </w:r>
      <w:r>
        <w:rPr>
          <w:rStyle w:val="19"/>
          <w:rFonts w:ascii="仿宋" w:hAnsi="仿宋" w:eastAsia="仿宋"/>
          <w:b w:val="0"/>
          <w:bCs/>
          <w:color w:val="auto"/>
          <w:sz w:val="32"/>
          <w:szCs w:val="32"/>
        </w:rPr>
        <w:t xml:space="preserve"> </w:t>
      </w:r>
      <w:r>
        <w:rPr>
          <w:rStyle w:val="19"/>
          <w:rFonts w:hint="eastAsia" w:ascii="仿宋" w:hAnsi="仿宋" w:eastAsia="仿宋"/>
          <w:b w:val="0"/>
          <w:bCs/>
          <w:color w:val="auto"/>
          <w:sz w:val="32"/>
          <w:szCs w:val="32"/>
        </w:rPr>
        <w:t>支出决算为</w:t>
      </w:r>
      <w:r>
        <w:rPr>
          <w:rStyle w:val="19"/>
          <w:rFonts w:hint="eastAsia" w:ascii="仿宋" w:hAnsi="仿宋" w:eastAsia="仿宋"/>
          <w:b w:val="0"/>
          <w:bCs/>
          <w:color w:val="auto"/>
          <w:sz w:val="32"/>
          <w:szCs w:val="32"/>
          <w:lang w:val="en-US" w:eastAsia="zh-CN"/>
        </w:rPr>
        <w:t>109.69</w:t>
      </w:r>
      <w:r>
        <w:rPr>
          <w:rStyle w:val="19"/>
          <w:rFonts w:hint="eastAsia" w:ascii="仿宋" w:hAnsi="仿宋" w:eastAsia="仿宋"/>
          <w:b w:val="0"/>
          <w:bCs/>
          <w:color w:val="auto"/>
          <w:sz w:val="32"/>
          <w:szCs w:val="32"/>
        </w:rPr>
        <w:t>万元，完成预算</w:t>
      </w:r>
      <w:r>
        <w:rPr>
          <w:rStyle w:val="19"/>
          <w:rFonts w:hint="eastAsia" w:ascii="仿宋" w:hAnsi="仿宋" w:eastAsia="仿宋"/>
          <w:b w:val="0"/>
          <w:bCs/>
          <w:color w:val="auto"/>
          <w:sz w:val="32"/>
          <w:szCs w:val="32"/>
          <w:lang w:val="en-US" w:eastAsia="zh-CN"/>
        </w:rPr>
        <w:t>100</w:t>
      </w:r>
      <w:r>
        <w:rPr>
          <w:rStyle w:val="19"/>
          <w:rFonts w:ascii="仿宋" w:hAnsi="仿宋" w:eastAsia="仿宋"/>
          <w:b w:val="0"/>
          <w:bCs/>
          <w:color w:val="auto"/>
          <w:sz w:val="32"/>
          <w:szCs w:val="32"/>
        </w:rPr>
        <w:t>%</w:t>
      </w:r>
      <w:r>
        <w:rPr>
          <w:rStyle w:val="19"/>
          <w:rFonts w:hint="eastAsia" w:ascii="仿宋" w:hAnsi="仿宋" w:eastAsia="仿宋"/>
          <w:b w:val="0"/>
          <w:bCs/>
          <w:color w:val="auto"/>
          <w:sz w:val="32"/>
          <w:szCs w:val="32"/>
          <w:lang w:eastAsia="zh-CN"/>
        </w:rPr>
        <w:t>，</w:t>
      </w:r>
      <w:r>
        <w:rPr>
          <w:rStyle w:val="19"/>
          <w:rFonts w:hint="eastAsia" w:ascii="仿宋" w:hAnsi="仿宋" w:eastAsia="仿宋"/>
          <w:b w:val="0"/>
          <w:bCs/>
          <w:color w:val="auto"/>
          <w:sz w:val="32"/>
          <w:szCs w:val="32"/>
        </w:rPr>
        <w:t>决算数等于预算数。</w:t>
      </w:r>
    </w:p>
    <w:p w14:paraId="6B0BE679">
      <w:pPr>
        <w:numPr>
          <w:ilvl w:val="0"/>
          <w:numId w:val="0"/>
        </w:numPr>
        <w:spacing w:line="600" w:lineRule="exact"/>
        <w:ind w:firstLine="643" w:firstLineChars="200"/>
        <w:rPr>
          <w:rStyle w:val="19"/>
          <w:rFonts w:hint="eastAsia" w:ascii="仿宋" w:hAnsi="仿宋" w:eastAsia="仿宋"/>
          <w:b w:val="0"/>
          <w:bCs/>
          <w:color w:val="auto"/>
          <w:sz w:val="32"/>
          <w:szCs w:val="32"/>
        </w:rPr>
      </w:pPr>
      <w:r>
        <w:rPr>
          <w:rStyle w:val="19"/>
          <w:rFonts w:hint="eastAsia" w:ascii="仿宋" w:hAnsi="仿宋" w:eastAsia="仿宋"/>
          <w:bCs/>
          <w:color w:val="auto"/>
          <w:sz w:val="32"/>
          <w:szCs w:val="32"/>
          <w:lang w:val="en-US" w:eastAsia="zh-CN"/>
        </w:rPr>
        <w:t>2.</w:t>
      </w:r>
      <w:r>
        <w:rPr>
          <w:rStyle w:val="19"/>
          <w:rFonts w:hint="eastAsia" w:ascii="仿宋" w:hAnsi="仿宋" w:eastAsia="仿宋"/>
          <w:bCs/>
          <w:color w:val="auto"/>
          <w:sz w:val="32"/>
          <w:szCs w:val="32"/>
        </w:rPr>
        <w:t>社会保障和就业支出（类）</w:t>
      </w:r>
      <w:r>
        <w:rPr>
          <w:rStyle w:val="19"/>
          <w:rFonts w:hint="eastAsia" w:ascii="仿宋" w:hAnsi="仿宋" w:eastAsia="仿宋"/>
          <w:bCs/>
          <w:color w:val="auto"/>
          <w:sz w:val="32"/>
          <w:szCs w:val="32"/>
          <w:lang w:eastAsia="zh-CN"/>
        </w:rPr>
        <w:t>其他社会保障和就业支出</w:t>
      </w:r>
      <w:r>
        <w:rPr>
          <w:rStyle w:val="19"/>
          <w:rFonts w:hint="eastAsia" w:ascii="仿宋" w:hAnsi="仿宋" w:eastAsia="仿宋"/>
          <w:bCs/>
          <w:color w:val="auto"/>
          <w:sz w:val="32"/>
          <w:szCs w:val="32"/>
        </w:rPr>
        <w:t>（款）其他社会保障和就业支出（项）</w:t>
      </w:r>
      <w:r>
        <w:rPr>
          <w:rStyle w:val="19"/>
          <w:rFonts w:ascii="仿宋" w:hAnsi="仿宋" w:eastAsia="仿宋"/>
          <w:bCs/>
          <w:color w:val="auto"/>
          <w:sz w:val="32"/>
          <w:szCs w:val="32"/>
        </w:rPr>
        <w:t>:</w:t>
      </w:r>
      <w:r>
        <w:rPr>
          <w:rStyle w:val="19"/>
          <w:rFonts w:ascii="仿宋" w:hAnsi="仿宋" w:eastAsia="仿宋"/>
          <w:b w:val="0"/>
          <w:bCs/>
          <w:color w:val="auto"/>
          <w:sz w:val="32"/>
          <w:szCs w:val="32"/>
        </w:rPr>
        <w:t xml:space="preserve"> </w:t>
      </w:r>
      <w:r>
        <w:rPr>
          <w:rStyle w:val="19"/>
          <w:rFonts w:hint="eastAsia" w:ascii="仿宋" w:hAnsi="仿宋" w:eastAsia="仿宋"/>
          <w:b w:val="0"/>
          <w:bCs/>
          <w:color w:val="auto"/>
          <w:sz w:val="32"/>
          <w:szCs w:val="32"/>
        </w:rPr>
        <w:t>支出决算为</w:t>
      </w:r>
      <w:r>
        <w:rPr>
          <w:rStyle w:val="19"/>
          <w:rFonts w:hint="eastAsia" w:ascii="仿宋" w:hAnsi="仿宋" w:eastAsia="仿宋"/>
          <w:b w:val="0"/>
          <w:bCs/>
          <w:color w:val="auto"/>
          <w:sz w:val="32"/>
          <w:szCs w:val="32"/>
          <w:lang w:val="en-US" w:eastAsia="zh-CN"/>
        </w:rPr>
        <w:t>8.26</w:t>
      </w:r>
      <w:r>
        <w:rPr>
          <w:rStyle w:val="19"/>
          <w:rFonts w:hint="eastAsia" w:ascii="仿宋" w:hAnsi="仿宋" w:eastAsia="仿宋"/>
          <w:b w:val="0"/>
          <w:bCs/>
          <w:color w:val="auto"/>
          <w:sz w:val="32"/>
          <w:szCs w:val="32"/>
        </w:rPr>
        <w:t>万元，完成预算</w:t>
      </w:r>
      <w:r>
        <w:rPr>
          <w:rStyle w:val="19"/>
          <w:rFonts w:hint="eastAsia" w:ascii="仿宋" w:hAnsi="仿宋" w:eastAsia="仿宋"/>
          <w:b w:val="0"/>
          <w:bCs/>
          <w:color w:val="auto"/>
          <w:sz w:val="32"/>
          <w:szCs w:val="32"/>
          <w:lang w:val="en-US" w:eastAsia="zh-CN"/>
        </w:rPr>
        <w:t>100</w:t>
      </w:r>
      <w:r>
        <w:rPr>
          <w:rStyle w:val="19"/>
          <w:rFonts w:ascii="仿宋" w:hAnsi="仿宋" w:eastAsia="仿宋"/>
          <w:b w:val="0"/>
          <w:bCs/>
          <w:color w:val="auto"/>
          <w:sz w:val="32"/>
          <w:szCs w:val="32"/>
        </w:rPr>
        <w:t>%</w:t>
      </w:r>
      <w:r>
        <w:rPr>
          <w:rStyle w:val="19"/>
          <w:rFonts w:hint="eastAsia" w:ascii="仿宋" w:hAnsi="仿宋" w:eastAsia="仿宋"/>
          <w:b w:val="0"/>
          <w:bCs/>
          <w:color w:val="auto"/>
          <w:sz w:val="32"/>
          <w:szCs w:val="32"/>
          <w:lang w:eastAsia="zh-CN"/>
        </w:rPr>
        <w:t>，</w:t>
      </w:r>
      <w:r>
        <w:rPr>
          <w:rStyle w:val="19"/>
          <w:rFonts w:hint="eastAsia" w:ascii="仿宋" w:hAnsi="仿宋" w:eastAsia="仿宋"/>
          <w:b w:val="0"/>
          <w:bCs/>
          <w:color w:val="auto"/>
          <w:sz w:val="32"/>
          <w:szCs w:val="32"/>
        </w:rPr>
        <w:t>决算数等于预算数。</w:t>
      </w:r>
    </w:p>
    <w:p w14:paraId="487AFD73">
      <w:pPr>
        <w:numPr>
          <w:ilvl w:val="0"/>
          <w:numId w:val="0"/>
        </w:numPr>
        <w:spacing w:line="600" w:lineRule="exact"/>
        <w:ind w:firstLine="643" w:firstLineChars="200"/>
        <w:rPr>
          <w:rStyle w:val="19"/>
          <w:rFonts w:hint="eastAsia" w:ascii="仿宋" w:hAnsi="仿宋" w:eastAsia="仿宋"/>
          <w:b w:val="0"/>
          <w:bCs/>
          <w:color w:val="auto"/>
          <w:sz w:val="32"/>
          <w:szCs w:val="32"/>
        </w:rPr>
      </w:pPr>
      <w:r>
        <w:rPr>
          <w:rStyle w:val="19"/>
          <w:rFonts w:hint="eastAsia" w:ascii="仿宋" w:hAnsi="仿宋" w:eastAsia="仿宋"/>
          <w:bCs/>
          <w:color w:val="auto"/>
          <w:sz w:val="32"/>
          <w:szCs w:val="32"/>
          <w:lang w:val="en-US" w:eastAsia="zh-CN"/>
        </w:rPr>
        <w:t>3.</w:t>
      </w:r>
      <w:r>
        <w:rPr>
          <w:rStyle w:val="19"/>
          <w:rFonts w:hint="eastAsia" w:ascii="仿宋" w:hAnsi="仿宋" w:eastAsia="仿宋"/>
          <w:bCs/>
          <w:color w:val="auto"/>
          <w:sz w:val="32"/>
          <w:szCs w:val="32"/>
        </w:rPr>
        <w:t>卫生健康支出（类）</w:t>
      </w:r>
      <w:r>
        <w:rPr>
          <w:rStyle w:val="19"/>
          <w:rFonts w:hint="eastAsia" w:ascii="仿宋" w:hAnsi="仿宋" w:eastAsia="仿宋"/>
          <w:bCs/>
          <w:color w:val="auto"/>
          <w:sz w:val="32"/>
          <w:szCs w:val="32"/>
          <w:lang w:eastAsia="zh-CN"/>
        </w:rPr>
        <w:t>行政事业单位医疗</w:t>
      </w:r>
      <w:r>
        <w:rPr>
          <w:rStyle w:val="19"/>
          <w:rFonts w:hint="eastAsia" w:ascii="仿宋" w:hAnsi="仿宋" w:eastAsia="仿宋"/>
          <w:bCs/>
          <w:color w:val="auto"/>
          <w:sz w:val="32"/>
          <w:szCs w:val="32"/>
        </w:rPr>
        <w:t>（款）行政单位医疗（项）</w:t>
      </w:r>
      <w:r>
        <w:rPr>
          <w:rStyle w:val="19"/>
          <w:rFonts w:ascii="仿宋" w:hAnsi="仿宋" w:eastAsia="仿宋"/>
          <w:bCs/>
          <w:color w:val="auto"/>
          <w:sz w:val="32"/>
          <w:szCs w:val="32"/>
        </w:rPr>
        <w:t>:</w:t>
      </w:r>
      <w:r>
        <w:rPr>
          <w:rStyle w:val="19"/>
          <w:rFonts w:ascii="仿宋" w:hAnsi="仿宋" w:eastAsia="仿宋"/>
          <w:b w:val="0"/>
          <w:bCs/>
          <w:color w:val="auto"/>
          <w:sz w:val="32"/>
          <w:szCs w:val="32"/>
        </w:rPr>
        <w:t xml:space="preserve"> </w:t>
      </w:r>
      <w:r>
        <w:rPr>
          <w:rStyle w:val="19"/>
          <w:rFonts w:hint="eastAsia" w:ascii="仿宋" w:hAnsi="仿宋" w:eastAsia="仿宋"/>
          <w:b w:val="0"/>
          <w:bCs/>
          <w:color w:val="auto"/>
          <w:sz w:val="32"/>
          <w:szCs w:val="32"/>
        </w:rPr>
        <w:t>支出决算为</w:t>
      </w:r>
      <w:r>
        <w:rPr>
          <w:rStyle w:val="19"/>
          <w:rFonts w:hint="eastAsia" w:ascii="仿宋" w:hAnsi="仿宋" w:eastAsia="仿宋"/>
          <w:b w:val="0"/>
          <w:bCs/>
          <w:color w:val="auto"/>
          <w:sz w:val="32"/>
          <w:szCs w:val="32"/>
          <w:lang w:val="en-US" w:eastAsia="zh-CN"/>
        </w:rPr>
        <w:t>28.65</w:t>
      </w:r>
      <w:r>
        <w:rPr>
          <w:rStyle w:val="19"/>
          <w:rFonts w:hint="eastAsia" w:ascii="仿宋" w:hAnsi="仿宋" w:eastAsia="仿宋"/>
          <w:b w:val="0"/>
          <w:bCs/>
          <w:color w:val="auto"/>
          <w:sz w:val="32"/>
          <w:szCs w:val="32"/>
        </w:rPr>
        <w:t>万元，完成预算</w:t>
      </w:r>
      <w:r>
        <w:rPr>
          <w:rStyle w:val="19"/>
          <w:rFonts w:hint="eastAsia" w:ascii="仿宋" w:hAnsi="仿宋" w:eastAsia="仿宋"/>
          <w:b w:val="0"/>
          <w:bCs/>
          <w:color w:val="auto"/>
          <w:sz w:val="32"/>
          <w:szCs w:val="32"/>
          <w:lang w:val="en-US" w:eastAsia="zh-CN"/>
        </w:rPr>
        <w:t>100</w:t>
      </w:r>
      <w:r>
        <w:rPr>
          <w:rStyle w:val="19"/>
          <w:rFonts w:ascii="仿宋" w:hAnsi="仿宋" w:eastAsia="仿宋"/>
          <w:b w:val="0"/>
          <w:bCs/>
          <w:color w:val="auto"/>
          <w:sz w:val="32"/>
          <w:szCs w:val="32"/>
        </w:rPr>
        <w:t>%</w:t>
      </w:r>
      <w:r>
        <w:rPr>
          <w:rStyle w:val="19"/>
          <w:rFonts w:hint="eastAsia" w:ascii="仿宋" w:hAnsi="仿宋" w:eastAsia="仿宋"/>
          <w:b w:val="0"/>
          <w:bCs/>
          <w:color w:val="auto"/>
          <w:sz w:val="32"/>
          <w:szCs w:val="32"/>
          <w:lang w:eastAsia="zh-CN"/>
        </w:rPr>
        <w:t>，</w:t>
      </w:r>
      <w:r>
        <w:rPr>
          <w:rStyle w:val="19"/>
          <w:rFonts w:hint="eastAsia" w:ascii="仿宋" w:hAnsi="仿宋" w:eastAsia="仿宋"/>
          <w:b w:val="0"/>
          <w:bCs/>
          <w:color w:val="auto"/>
          <w:sz w:val="32"/>
          <w:szCs w:val="32"/>
        </w:rPr>
        <w:t>决算数等于预算数。</w:t>
      </w:r>
    </w:p>
    <w:p w14:paraId="267E7465">
      <w:pPr>
        <w:numPr>
          <w:ilvl w:val="0"/>
          <w:numId w:val="0"/>
        </w:numPr>
        <w:spacing w:line="600" w:lineRule="exact"/>
        <w:ind w:firstLine="643" w:firstLineChars="200"/>
        <w:rPr>
          <w:rStyle w:val="19"/>
          <w:rFonts w:hint="eastAsia" w:ascii="仿宋" w:hAnsi="仿宋" w:eastAsia="仿宋"/>
          <w:b w:val="0"/>
          <w:bCs/>
          <w:color w:val="auto"/>
          <w:sz w:val="32"/>
          <w:szCs w:val="32"/>
        </w:rPr>
      </w:pPr>
      <w:r>
        <w:rPr>
          <w:rStyle w:val="19"/>
          <w:rFonts w:hint="eastAsia" w:ascii="仿宋" w:hAnsi="仿宋" w:eastAsia="仿宋"/>
          <w:bCs/>
          <w:color w:val="auto"/>
          <w:sz w:val="32"/>
          <w:szCs w:val="32"/>
          <w:lang w:val="en-US" w:eastAsia="zh-CN"/>
        </w:rPr>
        <w:t>4.</w:t>
      </w:r>
      <w:r>
        <w:rPr>
          <w:rStyle w:val="19"/>
          <w:rFonts w:hint="eastAsia" w:ascii="仿宋" w:hAnsi="仿宋" w:eastAsia="仿宋"/>
          <w:bCs/>
          <w:color w:val="auto"/>
          <w:sz w:val="32"/>
          <w:szCs w:val="32"/>
        </w:rPr>
        <w:t>卫生健康支出（类）</w:t>
      </w:r>
      <w:r>
        <w:rPr>
          <w:rStyle w:val="19"/>
          <w:rFonts w:hint="eastAsia" w:ascii="仿宋" w:hAnsi="仿宋" w:eastAsia="仿宋"/>
          <w:bCs/>
          <w:color w:val="auto"/>
          <w:sz w:val="32"/>
          <w:szCs w:val="32"/>
          <w:lang w:eastAsia="zh-CN"/>
        </w:rPr>
        <w:t>行政事业单位医疗</w:t>
      </w:r>
      <w:r>
        <w:rPr>
          <w:rStyle w:val="19"/>
          <w:rFonts w:hint="eastAsia" w:ascii="仿宋" w:hAnsi="仿宋" w:eastAsia="仿宋"/>
          <w:bCs/>
          <w:color w:val="auto"/>
          <w:sz w:val="32"/>
          <w:szCs w:val="32"/>
        </w:rPr>
        <w:t>（款） 事业单位医疗（项）</w:t>
      </w:r>
      <w:r>
        <w:rPr>
          <w:rStyle w:val="19"/>
          <w:rFonts w:ascii="仿宋" w:hAnsi="仿宋" w:eastAsia="仿宋"/>
          <w:bCs/>
          <w:color w:val="auto"/>
          <w:sz w:val="32"/>
          <w:szCs w:val="32"/>
        </w:rPr>
        <w:t>:</w:t>
      </w:r>
      <w:r>
        <w:rPr>
          <w:rStyle w:val="19"/>
          <w:rFonts w:ascii="仿宋" w:hAnsi="仿宋" w:eastAsia="仿宋"/>
          <w:b w:val="0"/>
          <w:bCs/>
          <w:color w:val="auto"/>
          <w:sz w:val="32"/>
          <w:szCs w:val="32"/>
        </w:rPr>
        <w:t xml:space="preserve"> </w:t>
      </w:r>
      <w:r>
        <w:rPr>
          <w:rStyle w:val="19"/>
          <w:rFonts w:hint="eastAsia" w:ascii="仿宋" w:hAnsi="仿宋" w:eastAsia="仿宋"/>
          <w:b w:val="0"/>
          <w:bCs/>
          <w:color w:val="auto"/>
          <w:sz w:val="32"/>
          <w:szCs w:val="32"/>
        </w:rPr>
        <w:t>支出决算为</w:t>
      </w:r>
      <w:r>
        <w:rPr>
          <w:rStyle w:val="19"/>
          <w:rFonts w:hint="eastAsia" w:ascii="仿宋" w:hAnsi="仿宋" w:eastAsia="仿宋"/>
          <w:b w:val="0"/>
          <w:bCs/>
          <w:color w:val="auto"/>
          <w:sz w:val="32"/>
          <w:szCs w:val="32"/>
          <w:lang w:val="en-US" w:eastAsia="zh-CN"/>
        </w:rPr>
        <w:t>26.4</w:t>
      </w:r>
      <w:r>
        <w:rPr>
          <w:rStyle w:val="19"/>
          <w:rFonts w:hint="eastAsia" w:ascii="仿宋" w:hAnsi="仿宋" w:eastAsia="仿宋"/>
          <w:b w:val="0"/>
          <w:bCs/>
          <w:color w:val="auto"/>
          <w:sz w:val="32"/>
          <w:szCs w:val="32"/>
        </w:rPr>
        <w:t>万元，完成预算</w:t>
      </w:r>
      <w:r>
        <w:rPr>
          <w:rStyle w:val="19"/>
          <w:rFonts w:hint="eastAsia" w:ascii="仿宋" w:hAnsi="仿宋" w:eastAsia="仿宋"/>
          <w:b w:val="0"/>
          <w:bCs/>
          <w:color w:val="auto"/>
          <w:sz w:val="32"/>
          <w:szCs w:val="32"/>
          <w:lang w:val="en-US" w:eastAsia="zh-CN"/>
        </w:rPr>
        <w:t>100</w:t>
      </w:r>
      <w:r>
        <w:rPr>
          <w:rStyle w:val="19"/>
          <w:rFonts w:ascii="仿宋" w:hAnsi="仿宋" w:eastAsia="仿宋"/>
          <w:b w:val="0"/>
          <w:bCs/>
          <w:color w:val="auto"/>
          <w:sz w:val="32"/>
          <w:szCs w:val="32"/>
        </w:rPr>
        <w:t>%</w:t>
      </w:r>
      <w:r>
        <w:rPr>
          <w:rStyle w:val="19"/>
          <w:rFonts w:hint="eastAsia" w:ascii="仿宋" w:hAnsi="仿宋" w:eastAsia="仿宋"/>
          <w:b w:val="0"/>
          <w:bCs/>
          <w:color w:val="auto"/>
          <w:sz w:val="32"/>
          <w:szCs w:val="32"/>
          <w:lang w:eastAsia="zh-CN"/>
        </w:rPr>
        <w:t>，</w:t>
      </w:r>
      <w:r>
        <w:rPr>
          <w:rStyle w:val="19"/>
          <w:rFonts w:hint="eastAsia" w:ascii="仿宋" w:hAnsi="仿宋" w:eastAsia="仿宋"/>
          <w:b w:val="0"/>
          <w:bCs/>
          <w:color w:val="auto"/>
          <w:sz w:val="32"/>
          <w:szCs w:val="32"/>
        </w:rPr>
        <w:t>决算数等于预算数。</w:t>
      </w:r>
    </w:p>
    <w:p w14:paraId="6BB90446">
      <w:pPr>
        <w:numPr>
          <w:ilvl w:val="0"/>
          <w:numId w:val="0"/>
        </w:numPr>
        <w:spacing w:line="600" w:lineRule="exact"/>
        <w:ind w:firstLine="643" w:firstLineChars="200"/>
        <w:rPr>
          <w:color w:val="auto"/>
        </w:rPr>
      </w:pPr>
      <w:r>
        <w:rPr>
          <w:rStyle w:val="19"/>
          <w:rFonts w:hint="eastAsia" w:ascii="仿宋" w:hAnsi="仿宋" w:eastAsia="仿宋"/>
          <w:bCs/>
          <w:color w:val="auto"/>
          <w:sz w:val="32"/>
          <w:szCs w:val="32"/>
          <w:lang w:val="en-US" w:eastAsia="zh-CN"/>
        </w:rPr>
        <w:t>5.</w:t>
      </w:r>
      <w:r>
        <w:rPr>
          <w:rStyle w:val="19"/>
          <w:rFonts w:hint="eastAsia" w:ascii="仿宋" w:hAnsi="仿宋" w:eastAsia="仿宋"/>
          <w:bCs/>
          <w:color w:val="auto"/>
          <w:sz w:val="32"/>
          <w:szCs w:val="32"/>
        </w:rPr>
        <w:t>城乡社区支出（类）</w:t>
      </w:r>
      <w:r>
        <w:rPr>
          <w:rStyle w:val="19"/>
          <w:rFonts w:hint="eastAsia" w:ascii="仿宋" w:hAnsi="仿宋" w:eastAsia="仿宋"/>
          <w:bCs/>
          <w:color w:val="auto"/>
          <w:sz w:val="32"/>
          <w:szCs w:val="32"/>
          <w:lang w:eastAsia="zh-CN"/>
        </w:rPr>
        <w:t>国有土地使用权出让收入对应专项债务收入安排的支出</w:t>
      </w:r>
      <w:r>
        <w:rPr>
          <w:rStyle w:val="19"/>
          <w:rFonts w:hint="eastAsia" w:ascii="仿宋" w:hAnsi="仿宋" w:eastAsia="仿宋"/>
          <w:bCs/>
          <w:color w:val="auto"/>
          <w:sz w:val="32"/>
          <w:szCs w:val="32"/>
        </w:rPr>
        <w:t>（款） 其他国有土地使用权出让收入对应专项债务收入安排的支出（项）</w:t>
      </w:r>
      <w:r>
        <w:rPr>
          <w:rStyle w:val="19"/>
          <w:rFonts w:ascii="仿宋" w:hAnsi="仿宋" w:eastAsia="仿宋"/>
          <w:bCs/>
          <w:color w:val="auto"/>
          <w:sz w:val="32"/>
          <w:szCs w:val="32"/>
        </w:rPr>
        <w:t>:</w:t>
      </w:r>
      <w:r>
        <w:rPr>
          <w:rStyle w:val="19"/>
          <w:rFonts w:ascii="仿宋" w:hAnsi="仿宋" w:eastAsia="仿宋"/>
          <w:b w:val="0"/>
          <w:bCs/>
          <w:color w:val="auto"/>
          <w:sz w:val="32"/>
          <w:szCs w:val="32"/>
        </w:rPr>
        <w:t xml:space="preserve"> </w:t>
      </w:r>
      <w:r>
        <w:rPr>
          <w:rStyle w:val="19"/>
          <w:rFonts w:hint="eastAsia" w:ascii="仿宋" w:hAnsi="仿宋" w:eastAsia="仿宋"/>
          <w:b w:val="0"/>
          <w:bCs/>
          <w:color w:val="auto"/>
          <w:sz w:val="32"/>
          <w:szCs w:val="32"/>
        </w:rPr>
        <w:t>支出决算为</w:t>
      </w:r>
      <w:r>
        <w:rPr>
          <w:rStyle w:val="19"/>
          <w:rFonts w:hint="eastAsia" w:ascii="仿宋" w:hAnsi="仿宋" w:eastAsia="仿宋"/>
          <w:b w:val="0"/>
          <w:bCs/>
          <w:color w:val="auto"/>
          <w:sz w:val="32"/>
          <w:szCs w:val="32"/>
          <w:lang w:val="en-US" w:eastAsia="zh-CN"/>
        </w:rPr>
        <w:t>309.9</w:t>
      </w:r>
      <w:r>
        <w:rPr>
          <w:rStyle w:val="19"/>
          <w:rFonts w:hint="eastAsia" w:ascii="仿宋" w:hAnsi="仿宋" w:eastAsia="仿宋"/>
          <w:b w:val="0"/>
          <w:bCs/>
          <w:color w:val="auto"/>
          <w:sz w:val="32"/>
          <w:szCs w:val="32"/>
        </w:rPr>
        <w:t>万元，完成预算</w:t>
      </w:r>
      <w:r>
        <w:rPr>
          <w:rStyle w:val="19"/>
          <w:rFonts w:hint="eastAsia" w:ascii="仿宋" w:hAnsi="仿宋" w:eastAsia="仿宋"/>
          <w:b w:val="0"/>
          <w:bCs/>
          <w:color w:val="auto"/>
          <w:sz w:val="32"/>
          <w:szCs w:val="32"/>
          <w:lang w:val="en-US" w:eastAsia="zh-CN"/>
        </w:rPr>
        <w:t>100</w:t>
      </w:r>
      <w:r>
        <w:rPr>
          <w:rStyle w:val="19"/>
          <w:rFonts w:ascii="仿宋" w:hAnsi="仿宋" w:eastAsia="仿宋"/>
          <w:b w:val="0"/>
          <w:bCs/>
          <w:color w:val="auto"/>
          <w:sz w:val="32"/>
          <w:szCs w:val="32"/>
        </w:rPr>
        <w:t>%</w:t>
      </w:r>
      <w:r>
        <w:rPr>
          <w:rStyle w:val="19"/>
          <w:rFonts w:hint="eastAsia" w:ascii="仿宋" w:hAnsi="仿宋" w:eastAsia="仿宋"/>
          <w:b w:val="0"/>
          <w:bCs/>
          <w:color w:val="auto"/>
          <w:sz w:val="32"/>
          <w:szCs w:val="32"/>
          <w:lang w:eastAsia="zh-CN"/>
        </w:rPr>
        <w:t>，</w:t>
      </w:r>
      <w:r>
        <w:rPr>
          <w:rStyle w:val="19"/>
          <w:rFonts w:hint="eastAsia" w:ascii="仿宋" w:hAnsi="仿宋" w:eastAsia="仿宋"/>
          <w:b w:val="0"/>
          <w:bCs/>
          <w:color w:val="auto"/>
          <w:sz w:val="32"/>
          <w:szCs w:val="32"/>
        </w:rPr>
        <w:t>决算数等于预算数。</w:t>
      </w:r>
    </w:p>
    <w:p w14:paraId="37AF161B">
      <w:pPr>
        <w:spacing w:line="600" w:lineRule="exact"/>
        <w:ind w:firstLine="643" w:firstLineChars="200"/>
        <w:rPr>
          <w:rStyle w:val="19"/>
          <w:rFonts w:hint="eastAsia" w:ascii="仿宋" w:hAnsi="仿宋" w:eastAsia="仿宋"/>
          <w:b w:val="0"/>
          <w:bCs/>
          <w:color w:val="auto"/>
          <w:sz w:val="32"/>
          <w:szCs w:val="32"/>
        </w:rPr>
      </w:pPr>
      <w:r>
        <w:rPr>
          <w:rStyle w:val="19"/>
          <w:rFonts w:hint="eastAsia" w:ascii="仿宋" w:hAnsi="仿宋" w:eastAsia="仿宋"/>
          <w:bCs/>
          <w:color w:val="auto"/>
          <w:sz w:val="32"/>
          <w:szCs w:val="32"/>
          <w:lang w:val="en-US" w:eastAsia="zh-CN"/>
        </w:rPr>
        <w:t>6</w:t>
      </w:r>
      <w:r>
        <w:rPr>
          <w:rStyle w:val="19"/>
          <w:rFonts w:ascii="仿宋" w:hAnsi="仿宋" w:eastAsia="仿宋"/>
          <w:bCs/>
          <w:color w:val="auto"/>
          <w:sz w:val="32"/>
          <w:szCs w:val="32"/>
        </w:rPr>
        <w:t>.</w:t>
      </w:r>
      <w:r>
        <w:rPr>
          <w:rStyle w:val="19"/>
          <w:rFonts w:hint="eastAsia" w:ascii="仿宋" w:hAnsi="仿宋" w:eastAsia="仿宋"/>
          <w:bCs/>
          <w:color w:val="auto"/>
          <w:sz w:val="32"/>
          <w:szCs w:val="32"/>
        </w:rPr>
        <w:t>农林水支出（类）农业</w:t>
      </w:r>
      <w:r>
        <w:rPr>
          <w:rStyle w:val="19"/>
          <w:rFonts w:hint="eastAsia" w:ascii="仿宋" w:hAnsi="仿宋" w:eastAsia="仿宋"/>
          <w:bCs/>
          <w:color w:val="auto"/>
          <w:sz w:val="32"/>
          <w:szCs w:val="32"/>
          <w:lang w:val="en-US" w:eastAsia="zh-CN"/>
        </w:rPr>
        <w:t>农村</w:t>
      </w:r>
      <w:r>
        <w:rPr>
          <w:rStyle w:val="19"/>
          <w:rFonts w:hint="eastAsia" w:ascii="仿宋" w:hAnsi="仿宋" w:eastAsia="仿宋"/>
          <w:bCs/>
          <w:color w:val="auto"/>
          <w:sz w:val="32"/>
          <w:szCs w:val="32"/>
        </w:rPr>
        <w:t>（款）行政运行</w:t>
      </w:r>
      <w:r>
        <w:rPr>
          <w:rStyle w:val="19"/>
          <w:rFonts w:hint="eastAsia" w:ascii="仿宋" w:hAnsi="仿宋" w:eastAsia="仿宋"/>
          <w:bCs/>
          <w:color w:val="auto"/>
          <w:sz w:val="32"/>
          <w:szCs w:val="32"/>
          <w:lang w:eastAsia="zh-CN"/>
        </w:rPr>
        <w:t>（</w:t>
      </w:r>
      <w:r>
        <w:rPr>
          <w:rStyle w:val="19"/>
          <w:rFonts w:hint="eastAsia" w:ascii="仿宋" w:hAnsi="仿宋" w:eastAsia="仿宋"/>
          <w:bCs/>
          <w:color w:val="auto"/>
          <w:sz w:val="32"/>
          <w:szCs w:val="32"/>
          <w:lang w:val="en-US" w:eastAsia="zh-CN"/>
        </w:rPr>
        <w:t>项）</w:t>
      </w:r>
      <w:r>
        <w:rPr>
          <w:rStyle w:val="19"/>
          <w:rFonts w:ascii="仿宋" w:hAnsi="仿宋" w:eastAsia="仿宋"/>
          <w:bCs/>
          <w:color w:val="auto"/>
          <w:sz w:val="32"/>
          <w:szCs w:val="32"/>
        </w:rPr>
        <w:t>:</w:t>
      </w:r>
      <w:r>
        <w:rPr>
          <w:rStyle w:val="19"/>
          <w:rFonts w:hint="eastAsia" w:ascii="仿宋" w:hAnsi="仿宋" w:eastAsia="仿宋"/>
          <w:b w:val="0"/>
          <w:bCs/>
          <w:color w:val="auto"/>
          <w:sz w:val="32"/>
          <w:szCs w:val="32"/>
        </w:rPr>
        <w:t>支出决算为</w:t>
      </w:r>
      <w:r>
        <w:rPr>
          <w:rFonts w:hint="eastAsia" w:ascii="仿宋" w:hAnsi="仿宋" w:eastAsia="仿宋"/>
          <w:color w:val="auto"/>
          <w:sz w:val="32"/>
          <w:szCs w:val="32"/>
        </w:rPr>
        <w:t>1178.52</w:t>
      </w:r>
      <w:r>
        <w:rPr>
          <w:rStyle w:val="19"/>
          <w:rFonts w:hint="eastAsia" w:ascii="仿宋" w:hAnsi="仿宋" w:eastAsia="仿宋"/>
          <w:b w:val="0"/>
          <w:bCs/>
          <w:color w:val="auto"/>
          <w:sz w:val="32"/>
          <w:szCs w:val="32"/>
        </w:rPr>
        <w:t>万元，完成预算</w:t>
      </w:r>
      <w:r>
        <w:rPr>
          <w:rStyle w:val="19"/>
          <w:rFonts w:hint="eastAsia" w:ascii="仿宋" w:hAnsi="仿宋" w:eastAsia="仿宋"/>
          <w:b w:val="0"/>
          <w:bCs/>
          <w:color w:val="auto"/>
          <w:sz w:val="32"/>
          <w:szCs w:val="32"/>
          <w:lang w:val="en-US" w:eastAsia="zh-CN"/>
        </w:rPr>
        <w:t>94.15</w:t>
      </w:r>
      <w:r>
        <w:rPr>
          <w:rStyle w:val="19"/>
          <w:rFonts w:ascii="仿宋" w:hAnsi="仿宋" w:eastAsia="仿宋"/>
          <w:b w:val="0"/>
          <w:bCs/>
          <w:color w:val="auto"/>
          <w:sz w:val="32"/>
          <w:szCs w:val="32"/>
        </w:rPr>
        <w:t>%</w:t>
      </w:r>
      <w:r>
        <w:rPr>
          <w:rStyle w:val="19"/>
          <w:rFonts w:hint="eastAsia" w:ascii="仿宋" w:hAnsi="仿宋" w:eastAsia="仿宋"/>
          <w:b w:val="0"/>
          <w:bCs/>
          <w:color w:val="auto"/>
          <w:sz w:val="32"/>
          <w:szCs w:val="32"/>
        </w:rPr>
        <w:t>，决算数</w:t>
      </w:r>
      <w:r>
        <w:rPr>
          <w:rStyle w:val="19"/>
          <w:rFonts w:hint="eastAsia" w:ascii="仿宋" w:hAnsi="仿宋" w:eastAsia="仿宋"/>
          <w:b w:val="0"/>
          <w:bCs/>
          <w:color w:val="auto"/>
          <w:sz w:val="32"/>
          <w:szCs w:val="32"/>
          <w:lang w:eastAsia="zh-CN"/>
        </w:rPr>
        <w:t>小</w:t>
      </w:r>
      <w:r>
        <w:rPr>
          <w:rStyle w:val="19"/>
          <w:rFonts w:hint="eastAsia" w:ascii="仿宋" w:hAnsi="仿宋" w:eastAsia="仿宋"/>
          <w:b w:val="0"/>
          <w:bCs/>
          <w:color w:val="auto"/>
          <w:sz w:val="32"/>
          <w:szCs w:val="32"/>
        </w:rPr>
        <w:t>于预算数的主要原因</w:t>
      </w:r>
      <w:r>
        <w:rPr>
          <w:rStyle w:val="19"/>
          <w:rFonts w:hint="eastAsia" w:ascii="仿宋" w:hAnsi="仿宋" w:eastAsia="仿宋"/>
          <w:b w:val="0"/>
          <w:bCs/>
          <w:color w:val="auto"/>
          <w:sz w:val="32"/>
          <w:szCs w:val="32"/>
          <w:lang w:eastAsia="zh-CN"/>
        </w:rPr>
        <w:t>年底追加的退休人员独生子女费还未支付及坐实人员职业年金还未支付</w:t>
      </w:r>
      <w:r>
        <w:rPr>
          <w:rStyle w:val="19"/>
          <w:rFonts w:hint="eastAsia" w:ascii="仿宋" w:hAnsi="仿宋" w:eastAsia="仿宋"/>
          <w:b w:val="0"/>
          <w:bCs/>
          <w:color w:val="auto"/>
          <w:sz w:val="32"/>
          <w:szCs w:val="32"/>
        </w:rPr>
        <w:t>。</w:t>
      </w:r>
    </w:p>
    <w:p w14:paraId="51825518">
      <w:pPr>
        <w:spacing w:line="600" w:lineRule="exact"/>
        <w:ind w:firstLine="643" w:firstLineChars="200"/>
        <w:rPr>
          <w:rFonts w:hint="eastAsia"/>
          <w:highlight w:val="none"/>
        </w:rPr>
      </w:pPr>
      <w:r>
        <w:rPr>
          <w:rStyle w:val="19"/>
          <w:rFonts w:hint="eastAsia" w:ascii="仿宋" w:hAnsi="仿宋" w:eastAsia="仿宋"/>
          <w:bCs/>
          <w:color w:val="auto"/>
          <w:sz w:val="32"/>
          <w:szCs w:val="32"/>
          <w:highlight w:val="none"/>
          <w:lang w:val="en-US" w:eastAsia="zh-CN"/>
        </w:rPr>
        <w:t>7</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农林水支出（类）农业</w:t>
      </w:r>
      <w:r>
        <w:rPr>
          <w:rStyle w:val="19"/>
          <w:rFonts w:hint="eastAsia" w:ascii="仿宋" w:hAnsi="仿宋" w:eastAsia="仿宋"/>
          <w:bCs/>
          <w:color w:val="auto"/>
          <w:sz w:val="32"/>
          <w:szCs w:val="32"/>
          <w:highlight w:val="none"/>
          <w:lang w:val="en-US" w:eastAsia="zh-CN"/>
        </w:rPr>
        <w:t>农村</w:t>
      </w:r>
      <w:r>
        <w:rPr>
          <w:rStyle w:val="19"/>
          <w:rFonts w:hint="eastAsia" w:ascii="仿宋" w:hAnsi="仿宋" w:eastAsia="仿宋"/>
          <w:bCs/>
          <w:color w:val="auto"/>
          <w:sz w:val="32"/>
          <w:szCs w:val="32"/>
          <w:highlight w:val="none"/>
        </w:rPr>
        <w:t>（款）病虫害控制</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lang w:val="en-US" w:eastAsia="zh-CN"/>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Fonts w:hint="eastAsia" w:ascii="仿宋" w:hAnsi="仿宋" w:eastAsia="仿宋"/>
          <w:color w:val="auto"/>
          <w:sz w:val="32"/>
          <w:szCs w:val="32"/>
          <w:highlight w:val="none"/>
          <w:lang w:val="en-US" w:eastAsia="zh-CN"/>
        </w:rPr>
        <w:t>3.6</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72</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，决算数</w:t>
      </w:r>
      <w:r>
        <w:rPr>
          <w:rStyle w:val="19"/>
          <w:rFonts w:hint="eastAsia" w:ascii="仿宋" w:hAnsi="仿宋" w:eastAsia="仿宋"/>
          <w:b w:val="0"/>
          <w:bCs/>
          <w:color w:val="auto"/>
          <w:sz w:val="32"/>
          <w:szCs w:val="32"/>
          <w:highlight w:val="none"/>
          <w:lang w:eastAsia="zh-CN"/>
        </w:rPr>
        <w:t>小</w:t>
      </w:r>
      <w:r>
        <w:rPr>
          <w:rStyle w:val="19"/>
          <w:rFonts w:hint="eastAsia" w:ascii="仿宋" w:hAnsi="仿宋" w:eastAsia="仿宋"/>
          <w:b w:val="0"/>
          <w:bCs/>
          <w:color w:val="auto"/>
          <w:sz w:val="32"/>
          <w:szCs w:val="32"/>
          <w:highlight w:val="none"/>
        </w:rPr>
        <w:t>于预算数的主要原因</w:t>
      </w:r>
      <w:r>
        <w:rPr>
          <w:rStyle w:val="19"/>
          <w:rFonts w:hint="eastAsia" w:ascii="仿宋" w:hAnsi="仿宋" w:eastAsia="仿宋"/>
          <w:b w:val="0"/>
          <w:bCs/>
          <w:color w:val="auto"/>
          <w:sz w:val="32"/>
          <w:szCs w:val="32"/>
          <w:highlight w:val="none"/>
          <w:lang w:eastAsia="zh-CN"/>
        </w:rPr>
        <w:t>项目资金项目实施进度拨款</w:t>
      </w:r>
      <w:r>
        <w:rPr>
          <w:rStyle w:val="19"/>
          <w:rFonts w:hint="eastAsia" w:ascii="仿宋" w:hAnsi="仿宋" w:eastAsia="仿宋"/>
          <w:b w:val="0"/>
          <w:bCs/>
          <w:color w:val="auto"/>
          <w:sz w:val="32"/>
          <w:szCs w:val="32"/>
          <w:highlight w:val="none"/>
        </w:rPr>
        <w:t>。</w:t>
      </w:r>
    </w:p>
    <w:p w14:paraId="2504A78F">
      <w:pPr>
        <w:spacing w:line="600" w:lineRule="exact"/>
        <w:ind w:firstLine="643" w:firstLineChars="20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8</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农林水支出（类）农业</w:t>
      </w:r>
      <w:r>
        <w:rPr>
          <w:rStyle w:val="19"/>
          <w:rFonts w:hint="eastAsia" w:ascii="仿宋" w:hAnsi="仿宋" w:eastAsia="仿宋"/>
          <w:bCs/>
          <w:color w:val="auto"/>
          <w:sz w:val="32"/>
          <w:szCs w:val="32"/>
          <w:highlight w:val="none"/>
          <w:lang w:val="en-US" w:eastAsia="zh-CN"/>
        </w:rPr>
        <w:t>农村</w:t>
      </w:r>
      <w:r>
        <w:rPr>
          <w:rStyle w:val="19"/>
          <w:rFonts w:hint="eastAsia" w:ascii="仿宋" w:hAnsi="仿宋" w:eastAsia="仿宋"/>
          <w:bCs/>
          <w:color w:val="auto"/>
          <w:sz w:val="32"/>
          <w:szCs w:val="32"/>
          <w:highlight w:val="none"/>
        </w:rPr>
        <w:t>（款</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rPr>
        <w:t>防灾救灾</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lang w:val="en-US" w:eastAsia="zh-CN"/>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Fonts w:hint="eastAsia" w:ascii="仿宋" w:hAnsi="仿宋" w:eastAsia="仿宋"/>
          <w:color w:val="auto"/>
          <w:sz w:val="32"/>
          <w:szCs w:val="32"/>
          <w:highlight w:val="none"/>
          <w:lang w:val="en-US" w:eastAsia="zh-CN"/>
        </w:rPr>
        <w:t>124.39</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26.19</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，决算数</w:t>
      </w:r>
      <w:r>
        <w:rPr>
          <w:rStyle w:val="19"/>
          <w:rFonts w:hint="eastAsia" w:ascii="仿宋" w:hAnsi="仿宋" w:eastAsia="仿宋"/>
          <w:b w:val="0"/>
          <w:bCs/>
          <w:color w:val="auto"/>
          <w:sz w:val="32"/>
          <w:szCs w:val="32"/>
          <w:highlight w:val="none"/>
          <w:lang w:eastAsia="zh-CN"/>
        </w:rPr>
        <w:t>小</w:t>
      </w:r>
      <w:r>
        <w:rPr>
          <w:rStyle w:val="19"/>
          <w:rFonts w:hint="eastAsia" w:ascii="仿宋" w:hAnsi="仿宋" w:eastAsia="仿宋"/>
          <w:b w:val="0"/>
          <w:bCs/>
          <w:color w:val="auto"/>
          <w:sz w:val="32"/>
          <w:szCs w:val="32"/>
          <w:highlight w:val="none"/>
        </w:rPr>
        <w:t>于预算数的主要原因</w:t>
      </w:r>
      <w:r>
        <w:rPr>
          <w:rStyle w:val="19"/>
          <w:rFonts w:hint="eastAsia" w:ascii="仿宋" w:hAnsi="仿宋" w:eastAsia="仿宋"/>
          <w:b w:val="0"/>
          <w:bCs/>
          <w:color w:val="auto"/>
          <w:sz w:val="32"/>
          <w:szCs w:val="32"/>
          <w:highlight w:val="none"/>
          <w:lang w:eastAsia="zh-CN"/>
        </w:rPr>
        <w:t>项目资金项目实施进度拨款</w:t>
      </w:r>
      <w:r>
        <w:rPr>
          <w:rStyle w:val="19"/>
          <w:rFonts w:hint="eastAsia" w:ascii="仿宋" w:hAnsi="仿宋" w:eastAsia="仿宋"/>
          <w:b w:val="0"/>
          <w:bCs/>
          <w:color w:val="auto"/>
          <w:sz w:val="32"/>
          <w:szCs w:val="32"/>
          <w:highlight w:val="none"/>
        </w:rPr>
        <w:t>。</w:t>
      </w:r>
    </w:p>
    <w:p w14:paraId="3D0FEE2B">
      <w:pPr>
        <w:spacing w:line="600" w:lineRule="exact"/>
        <w:ind w:firstLine="643" w:firstLineChars="20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9</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农林水支出（类）农业</w:t>
      </w:r>
      <w:r>
        <w:rPr>
          <w:rStyle w:val="19"/>
          <w:rFonts w:hint="eastAsia" w:ascii="仿宋" w:hAnsi="仿宋" w:eastAsia="仿宋"/>
          <w:bCs/>
          <w:color w:val="auto"/>
          <w:sz w:val="32"/>
          <w:szCs w:val="32"/>
          <w:highlight w:val="none"/>
          <w:lang w:val="en-US" w:eastAsia="zh-CN"/>
        </w:rPr>
        <w:t>农村</w:t>
      </w:r>
      <w:r>
        <w:rPr>
          <w:rStyle w:val="19"/>
          <w:rFonts w:hint="eastAsia" w:ascii="仿宋" w:hAnsi="仿宋" w:eastAsia="仿宋"/>
          <w:bCs/>
          <w:color w:val="auto"/>
          <w:sz w:val="32"/>
          <w:szCs w:val="32"/>
          <w:highlight w:val="none"/>
        </w:rPr>
        <w:t>（款</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rPr>
        <w:t>农村合作经济</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lang w:val="en-US" w:eastAsia="zh-CN"/>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Fonts w:hint="eastAsia" w:ascii="仿宋" w:hAnsi="仿宋" w:eastAsia="仿宋"/>
          <w:color w:val="auto"/>
          <w:sz w:val="32"/>
          <w:szCs w:val="32"/>
          <w:highlight w:val="none"/>
          <w:lang w:val="en-US" w:eastAsia="zh-CN"/>
        </w:rPr>
        <w:t>206.3</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95.76</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，决算数</w:t>
      </w:r>
      <w:r>
        <w:rPr>
          <w:rStyle w:val="19"/>
          <w:rFonts w:hint="eastAsia" w:ascii="仿宋" w:hAnsi="仿宋" w:eastAsia="仿宋"/>
          <w:b w:val="0"/>
          <w:bCs/>
          <w:color w:val="auto"/>
          <w:sz w:val="32"/>
          <w:szCs w:val="32"/>
          <w:highlight w:val="none"/>
          <w:lang w:eastAsia="zh-CN"/>
        </w:rPr>
        <w:t>小</w:t>
      </w:r>
      <w:r>
        <w:rPr>
          <w:rStyle w:val="19"/>
          <w:rFonts w:hint="eastAsia" w:ascii="仿宋" w:hAnsi="仿宋" w:eastAsia="仿宋"/>
          <w:b w:val="0"/>
          <w:bCs/>
          <w:color w:val="auto"/>
          <w:sz w:val="32"/>
          <w:szCs w:val="32"/>
          <w:highlight w:val="none"/>
        </w:rPr>
        <w:t>于预算数的主要原因</w:t>
      </w:r>
      <w:r>
        <w:rPr>
          <w:rStyle w:val="19"/>
          <w:rFonts w:hint="eastAsia" w:ascii="仿宋" w:hAnsi="仿宋" w:eastAsia="仿宋"/>
          <w:b w:val="0"/>
          <w:bCs/>
          <w:color w:val="auto"/>
          <w:sz w:val="32"/>
          <w:szCs w:val="32"/>
          <w:highlight w:val="none"/>
          <w:lang w:eastAsia="zh-CN"/>
        </w:rPr>
        <w:t>项目资金项目实施进度拨款</w:t>
      </w:r>
      <w:r>
        <w:rPr>
          <w:rStyle w:val="19"/>
          <w:rFonts w:hint="eastAsia" w:ascii="仿宋" w:hAnsi="仿宋" w:eastAsia="仿宋"/>
          <w:b w:val="0"/>
          <w:bCs/>
          <w:color w:val="auto"/>
          <w:sz w:val="32"/>
          <w:szCs w:val="32"/>
          <w:highlight w:val="none"/>
        </w:rPr>
        <w:t>。</w:t>
      </w:r>
    </w:p>
    <w:p w14:paraId="27F913C1">
      <w:pPr>
        <w:spacing w:line="600" w:lineRule="exact"/>
        <w:ind w:firstLine="643" w:firstLineChars="20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10</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农林水支出（类）农业</w:t>
      </w:r>
      <w:r>
        <w:rPr>
          <w:rStyle w:val="19"/>
          <w:rFonts w:hint="eastAsia" w:ascii="仿宋" w:hAnsi="仿宋" w:eastAsia="仿宋"/>
          <w:bCs/>
          <w:color w:val="auto"/>
          <w:sz w:val="32"/>
          <w:szCs w:val="32"/>
          <w:highlight w:val="none"/>
          <w:lang w:val="en-US" w:eastAsia="zh-CN"/>
        </w:rPr>
        <w:t>农村</w:t>
      </w:r>
      <w:r>
        <w:rPr>
          <w:rStyle w:val="19"/>
          <w:rFonts w:hint="eastAsia" w:ascii="仿宋" w:hAnsi="仿宋" w:eastAsia="仿宋"/>
          <w:bCs/>
          <w:color w:val="auto"/>
          <w:sz w:val="32"/>
          <w:szCs w:val="32"/>
          <w:highlight w:val="none"/>
        </w:rPr>
        <w:t>（款</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rPr>
        <w:t>农业资源保护修复与利用</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lang w:val="en-US" w:eastAsia="zh-CN"/>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Fonts w:hint="eastAsia" w:ascii="仿宋" w:hAnsi="仿宋" w:eastAsia="仿宋"/>
          <w:color w:val="auto"/>
          <w:sz w:val="32"/>
          <w:szCs w:val="32"/>
          <w:highlight w:val="none"/>
          <w:lang w:val="en-US" w:eastAsia="zh-CN"/>
        </w:rPr>
        <w:t>3492.82</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76.99</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，决算数</w:t>
      </w:r>
      <w:r>
        <w:rPr>
          <w:rStyle w:val="19"/>
          <w:rFonts w:hint="eastAsia" w:ascii="仿宋" w:hAnsi="仿宋" w:eastAsia="仿宋"/>
          <w:b w:val="0"/>
          <w:bCs/>
          <w:color w:val="auto"/>
          <w:sz w:val="32"/>
          <w:szCs w:val="32"/>
          <w:highlight w:val="none"/>
          <w:lang w:eastAsia="zh-CN"/>
        </w:rPr>
        <w:t>小</w:t>
      </w:r>
      <w:r>
        <w:rPr>
          <w:rStyle w:val="19"/>
          <w:rFonts w:hint="eastAsia" w:ascii="仿宋" w:hAnsi="仿宋" w:eastAsia="仿宋"/>
          <w:b w:val="0"/>
          <w:bCs/>
          <w:color w:val="auto"/>
          <w:sz w:val="32"/>
          <w:szCs w:val="32"/>
          <w:highlight w:val="none"/>
        </w:rPr>
        <w:t>于预算数的主要原因</w:t>
      </w:r>
      <w:r>
        <w:rPr>
          <w:rStyle w:val="19"/>
          <w:rFonts w:hint="eastAsia" w:ascii="仿宋" w:hAnsi="仿宋" w:eastAsia="仿宋"/>
          <w:b w:val="0"/>
          <w:bCs/>
          <w:color w:val="auto"/>
          <w:sz w:val="32"/>
          <w:szCs w:val="32"/>
          <w:highlight w:val="none"/>
          <w:lang w:eastAsia="zh-CN"/>
        </w:rPr>
        <w:t>项目资金项目实施进度拨款</w:t>
      </w:r>
      <w:r>
        <w:rPr>
          <w:rStyle w:val="19"/>
          <w:rFonts w:hint="eastAsia" w:ascii="仿宋" w:hAnsi="仿宋" w:eastAsia="仿宋"/>
          <w:b w:val="0"/>
          <w:bCs/>
          <w:color w:val="auto"/>
          <w:sz w:val="32"/>
          <w:szCs w:val="32"/>
          <w:highlight w:val="none"/>
        </w:rPr>
        <w:t>。</w:t>
      </w:r>
    </w:p>
    <w:p w14:paraId="33B3AEF8">
      <w:pPr>
        <w:spacing w:line="600" w:lineRule="exact"/>
        <w:ind w:firstLine="643" w:firstLineChars="20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11</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农林水支出（类）农业</w:t>
      </w:r>
      <w:r>
        <w:rPr>
          <w:rStyle w:val="19"/>
          <w:rFonts w:hint="eastAsia" w:ascii="仿宋" w:hAnsi="仿宋" w:eastAsia="仿宋"/>
          <w:bCs/>
          <w:color w:val="auto"/>
          <w:sz w:val="32"/>
          <w:szCs w:val="32"/>
          <w:highlight w:val="none"/>
          <w:lang w:val="en-US" w:eastAsia="zh-CN"/>
        </w:rPr>
        <w:t>农村</w:t>
      </w:r>
      <w:r>
        <w:rPr>
          <w:rStyle w:val="19"/>
          <w:rFonts w:hint="eastAsia" w:ascii="仿宋" w:hAnsi="仿宋" w:eastAsia="仿宋"/>
          <w:bCs/>
          <w:color w:val="auto"/>
          <w:sz w:val="32"/>
          <w:szCs w:val="32"/>
          <w:highlight w:val="none"/>
        </w:rPr>
        <w:t>（款</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rPr>
        <w:t>其他农业农村支出</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lang w:val="en-US" w:eastAsia="zh-CN"/>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Fonts w:hint="eastAsia" w:ascii="仿宋" w:hAnsi="仿宋" w:eastAsia="仿宋"/>
          <w:color w:val="auto"/>
          <w:sz w:val="32"/>
          <w:szCs w:val="32"/>
          <w:highlight w:val="none"/>
          <w:lang w:val="en-US" w:eastAsia="zh-CN"/>
        </w:rPr>
        <w:t>7019.77</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61.45</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，决算数</w:t>
      </w:r>
      <w:r>
        <w:rPr>
          <w:rStyle w:val="19"/>
          <w:rFonts w:hint="eastAsia" w:ascii="仿宋" w:hAnsi="仿宋" w:eastAsia="仿宋"/>
          <w:b w:val="0"/>
          <w:bCs/>
          <w:color w:val="auto"/>
          <w:sz w:val="32"/>
          <w:szCs w:val="32"/>
          <w:highlight w:val="none"/>
          <w:lang w:eastAsia="zh-CN"/>
        </w:rPr>
        <w:t>小</w:t>
      </w:r>
      <w:r>
        <w:rPr>
          <w:rStyle w:val="19"/>
          <w:rFonts w:hint="eastAsia" w:ascii="仿宋" w:hAnsi="仿宋" w:eastAsia="仿宋"/>
          <w:b w:val="0"/>
          <w:bCs/>
          <w:color w:val="auto"/>
          <w:sz w:val="32"/>
          <w:szCs w:val="32"/>
          <w:highlight w:val="none"/>
        </w:rPr>
        <w:t>于预算数的主要原因</w:t>
      </w:r>
      <w:r>
        <w:rPr>
          <w:rStyle w:val="19"/>
          <w:rFonts w:hint="eastAsia" w:ascii="仿宋" w:hAnsi="仿宋" w:eastAsia="仿宋"/>
          <w:b w:val="0"/>
          <w:bCs/>
          <w:color w:val="auto"/>
          <w:sz w:val="32"/>
          <w:szCs w:val="32"/>
          <w:highlight w:val="none"/>
          <w:lang w:eastAsia="zh-CN"/>
        </w:rPr>
        <w:t>项目资金项目实施进度拨款</w:t>
      </w:r>
      <w:r>
        <w:rPr>
          <w:rStyle w:val="19"/>
          <w:rFonts w:hint="eastAsia" w:ascii="仿宋" w:hAnsi="仿宋" w:eastAsia="仿宋"/>
          <w:b w:val="0"/>
          <w:bCs/>
          <w:color w:val="auto"/>
          <w:sz w:val="32"/>
          <w:szCs w:val="32"/>
          <w:highlight w:val="none"/>
        </w:rPr>
        <w:t>。</w:t>
      </w:r>
    </w:p>
    <w:p w14:paraId="285FE0BE">
      <w:pPr>
        <w:spacing w:line="600" w:lineRule="exact"/>
        <w:ind w:firstLine="643" w:firstLineChars="20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12</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农林水支出（类）扶贫（款</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rPr>
        <w:t>其他扶贫支出</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lang w:val="en-US" w:eastAsia="zh-CN"/>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Fonts w:hint="eastAsia" w:ascii="仿宋" w:hAnsi="仿宋" w:eastAsia="仿宋"/>
          <w:color w:val="auto"/>
          <w:sz w:val="32"/>
          <w:szCs w:val="32"/>
          <w:highlight w:val="none"/>
          <w:lang w:val="en-US" w:eastAsia="zh-CN"/>
        </w:rPr>
        <w:t>4742</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98.11</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，决算数</w:t>
      </w:r>
      <w:r>
        <w:rPr>
          <w:rStyle w:val="19"/>
          <w:rFonts w:hint="eastAsia" w:ascii="仿宋" w:hAnsi="仿宋" w:eastAsia="仿宋"/>
          <w:b w:val="0"/>
          <w:bCs/>
          <w:color w:val="auto"/>
          <w:sz w:val="32"/>
          <w:szCs w:val="32"/>
          <w:highlight w:val="none"/>
          <w:lang w:eastAsia="zh-CN"/>
        </w:rPr>
        <w:t>小</w:t>
      </w:r>
      <w:r>
        <w:rPr>
          <w:rStyle w:val="19"/>
          <w:rFonts w:hint="eastAsia" w:ascii="仿宋" w:hAnsi="仿宋" w:eastAsia="仿宋"/>
          <w:b w:val="0"/>
          <w:bCs/>
          <w:color w:val="auto"/>
          <w:sz w:val="32"/>
          <w:szCs w:val="32"/>
          <w:highlight w:val="none"/>
        </w:rPr>
        <w:t>于预算数的主要原因</w:t>
      </w:r>
      <w:r>
        <w:rPr>
          <w:rStyle w:val="19"/>
          <w:rFonts w:hint="eastAsia" w:ascii="仿宋" w:hAnsi="仿宋" w:eastAsia="仿宋"/>
          <w:b w:val="0"/>
          <w:bCs/>
          <w:color w:val="auto"/>
          <w:sz w:val="32"/>
          <w:szCs w:val="32"/>
          <w:highlight w:val="none"/>
          <w:lang w:eastAsia="zh-CN"/>
        </w:rPr>
        <w:t>项目资金项目实施进度拨款</w:t>
      </w:r>
      <w:r>
        <w:rPr>
          <w:rStyle w:val="19"/>
          <w:rFonts w:hint="eastAsia" w:ascii="仿宋" w:hAnsi="仿宋" w:eastAsia="仿宋"/>
          <w:b w:val="0"/>
          <w:bCs/>
          <w:color w:val="auto"/>
          <w:sz w:val="32"/>
          <w:szCs w:val="32"/>
          <w:highlight w:val="none"/>
        </w:rPr>
        <w:t>。</w:t>
      </w:r>
    </w:p>
    <w:p w14:paraId="6AF7062D">
      <w:pPr>
        <w:spacing w:line="600" w:lineRule="exact"/>
        <w:ind w:firstLine="643" w:firstLineChars="20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13</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农林水支出（类）农村综合改革（款</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rPr>
        <w:t>对村集体经济组织的补助</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lang w:val="en-US" w:eastAsia="zh-CN"/>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Fonts w:hint="eastAsia" w:ascii="仿宋" w:hAnsi="仿宋" w:eastAsia="仿宋"/>
          <w:color w:val="auto"/>
          <w:sz w:val="32"/>
          <w:szCs w:val="32"/>
          <w:highlight w:val="none"/>
          <w:lang w:val="en-US" w:eastAsia="zh-CN"/>
        </w:rPr>
        <w:t>190</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82.61</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，决算数</w:t>
      </w:r>
      <w:r>
        <w:rPr>
          <w:rStyle w:val="19"/>
          <w:rFonts w:hint="eastAsia" w:ascii="仿宋" w:hAnsi="仿宋" w:eastAsia="仿宋"/>
          <w:b w:val="0"/>
          <w:bCs/>
          <w:color w:val="auto"/>
          <w:sz w:val="32"/>
          <w:szCs w:val="32"/>
          <w:highlight w:val="none"/>
          <w:lang w:eastAsia="zh-CN"/>
        </w:rPr>
        <w:t>小</w:t>
      </w:r>
      <w:r>
        <w:rPr>
          <w:rStyle w:val="19"/>
          <w:rFonts w:hint="eastAsia" w:ascii="仿宋" w:hAnsi="仿宋" w:eastAsia="仿宋"/>
          <w:b w:val="0"/>
          <w:bCs/>
          <w:color w:val="auto"/>
          <w:sz w:val="32"/>
          <w:szCs w:val="32"/>
          <w:highlight w:val="none"/>
        </w:rPr>
        <w:t>于预算数的主要原因</w:t>
      </w:r>
      <w:r>
        <w:rPr>
          <w:rStyle w:val="19"/>
          <w:rFonts w:hint="eastAsia" w:ascii="仿宋" w:hAnsi="仿宋" w:eastAsia="仿宋"/>
          <w:b w:val="0"/>
          <w:bCs/>
          <w:color w:val="auto"/>
          <w:sz w:val="32"/>
          <w:szCs w:val="32"/>
          <w:highlight w:val="none"/>
          <w:lang w:eastAsia="zh-CN"/>
        </w:rPr>
        <w:t>项目资金项目实施进度拨款</w:t>
      </w:r>
      <w:r>
        <w:rPr>
          <w:rStyle w:val="19"/>
          <w:rFonts w:hint="eastAsia" w:ascii="仿宋" w:hAnsi="仿宋" w:eastAsia="仿宋"/>
          <w:b w:val="0"/>
          <w:bCs/>
          <w:color w:val="auto"/>
          <w:sz w:val="32"/>
          <w:szCs w:val="32"/>
          <w:highlight w:val="none"/>
        </w:rPr>
        <w:t>。</w:t>
      </w:r>
    </w:p>
    <w:p w14:paraId="0F5FF9CD">
      <w:pPr>
        <w:spacing w:line="600" w:lineRule="exact"/>
        <w:ind w:firstLine="643" w:firstLineChars="20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14</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农林水支出（类）农村综合改革（款</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rPr>
        <w:t>其他农村综合改革支出</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lang w:val="en-US" w:eastAsia="zh-CN"/>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Fonts w:hint="eastAsia" w:ascii="仿宋" w:hAnsi="仿宋" w:eastAsia="仿宋"/>
          <w:color w:val="auto"/>
          <w:sz w:val="32"/>
          <w:szCs w:val="32"/>
          <w:highlight w:val="none"/>
          <w:lang w:val="en-US" w:eastAsia="zh-CN"/>
        </w:rPr>
        <w:t>749.26</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53.48</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，决算数</w:t>
      </w:r>
      <w:r>
        <w:rPr>
          <w:rStyle w:val="19"/>
          <w:rFonts w:hint="eastAsia" w:ascii="仿宋" w:hAnsi="仿宋" w:eastAsia="仿宋"/>
          <w:b w:val="0"/>
          <w:bCs/>
          <w:color w:val="auto"/>
          <w:sz w:val="32"/>
          <w:szCs w:val="32"/>
          <w:highlight w:val="none"/>
          <w:lang w:eastAsia="zh-CN"/>
        </w:rPr>
        <w:t>小</w:t>
      </w:r>
      <w:r>
        <w:rPr>
          <w:rStyle w:val="19"/>
          <w:rFonts w:hint="eastAsia" w:ascii="仿宋" w:hAnsi="仿宋" w:eastAsia="仿宋"/>
          <w:b w:val="0"/>
          <w:bCs/>
          <w:color w:val="auto"/>
          <w:sz w:val="32"/>
          <w:szCs w:val="32"/>
          <w:highlight w:val="none"/>
        </w:rPr>
        <w:t>于预算数的主要原因</w:t>
      </w:r>
      <w:r>
        <w:rPr>
          <w:rStyle w:val="19"/>
          <w:rFonts w:hint="eastAsia" w:ascii="仿宋" w:hAnsi="仿宋" w:eastAsia="仿宋"/>
          <w:b w:val="0"/>
          <w:bCs/>
          <w:color w:val="auto"/>
          <w:sz w:val="32"/>
          <w:szCs w:val="32"/>
          <w:highlight w:val="none"/>
          <w:lang w:eastAsia="zh-CN"/>
        </w:rPr>
        <w:t>项目资金项目实施进度拨款</w:t>
      </w:r>
      <w:r>
        <w:rPr>
          <w:rStyle w:val="19"/>
          <w:rFonts w:hint="eastAsia" w:ascii="仿宋" w:hAnsi="仿宋" w:eastAsia="仿宋"/>
          <w:b w:val="0"/>
          <w:bCs/>
          <w:color w:val="auto"/>
          <w:sz w:val="32"/>
          <w:szCs w:val="32"/>
          <w:highlight w:val="none"/>
        </w:rPr>
        <w:t>。</w:t>
      </w:r>
    </w:p>
    <w:p w14:paraId="0329EA8D">
      <w:pPr>
        <w:spacing w:line="600" w:lineRule="exact"/>
        <w:ind w:firstLine="643" w:firstLineChars="200"/>
        <w:rPr>
          <w:rStyle w:val="19"/>
          <w:rFonts w:hint="default" w:ascii="仿宋" w:hAnsi="仿宋" w:eastAsia="仿宋"/>
          <w:b w:val="0"/>
          <w:bCs/>
          <w:color w:val="auto"/>
          <w:sz w:val="32"/>
          <w:szCs w:val="32"/>
          <w:highlight w:val="none"/>
          <w:lang w:val="en-US" w:eastAsia="zh-CN"/>
        </w:rPr>
      </w:pPr>
      <w:r>
        <w:rPr>
          <w:rStyle w:val="19"/>
          <w:rFonts w:hint="eastAsia" w:ascii="仿宋" w:hAnsi="仿宋" w:eastAsia="仿宋"/>
          <w:bCs/>
          <w:color w:val="auto"/>
          <w:sz w:val="32"/>
          <w:szCs w:val="32"/>
          <w:highlight w:val="none"/>
          <w:lang w:val="en-US" w:eastAsia="zh-CN"/>
        </w:rPr>
        <w:t>15</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农林水支出（类）普惠金融发展支出（款</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rPr>
        <w:t>农业保险保费补贴</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lang w:val="en-US" w:eastAsia="zh-CN"/>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403.86</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40.72</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lang w:eastAsia="zh-CN"/>
        </w:rPr>
        <w:t>。</w:t>
      </w:r>
      <w:r>
        <w:rPr>
          <w:rStyle w:val="19"/>
          <w:rFonts w:hint="eastAsia" w:ascii="仿宋" w:hAnsi="仿宋" w:eastAsia="仿宋"/>
          <w:b w:val="0"/>
          <w:bCs/>
          <w:color w:val="auto"/>
          <w:sz w:val="32"/>
          <w:szCs w:val="32"/>
          <w:highlight w:val="none"/>
        </w:rPr>
        <w:t>决算数</w:t>
      </w:r>
      <w:r>
        <w:rPr>
          <w:rStyle w:val="19"/>
          <w:rFonts w:hint="eastAsia" w:ascii="仿宋" w:hAnsi="仿宋" w:eastAsia="仿宋"/>
          <w:b w:val="0"/>
          <w:bCs/>
          <w:color w:val="auto"/>
          <w:sz w:val="32"/>
          <w:szCs w:val="32"/>
          <w:highlight w:val="none"/>
          <w:lang w:eastAsia="zh-CN"/>
        </w:rPr>
        <w:t>小</w:t>
      </w:r>
      <w:r>
        <w:rPr>
          <w:rStyle w:val="19"/>
          <w:rFonts w:hint="eastAsia" w:ascii="仿宋" w:hAnsi="仿宋" w:eastAsia="仿宋"/>
          <w:b w:val="0"/>
          <w:bCs/>
          <w:color w:val="auto"/>
          <w:sz w:val="32"/>
          <w:szCs w:val="32"/>
          <w:highlight w:val="none"/>
        </w:rPr>
        <w:t>于预算数的主要原因</w:t>
      </w:r>
      <w:r>
        <w:rPr>
          <w:rStyle w:val="19"/>
          <w:rFonts w:hint="eastAsia" w:ascii="仿宋" w:hAnsi="仿宋" w:eastAsia="仿宋"/>
          <w:b w:val="0"/>
          <w:bCs/>
          <w:color w:val="auto"/>
          <w:sz w:val="32"/>
          <w:szCs w:val="32"/>
          <w:highlight w:val="none"/>
          <w:lang w:eastAsia="zh-CN"/>
        </w:rPr>
        <w:t>项目资金按实施进度拨款。</w:t>
      </w:r>
    </w:p>
    <w:p w14:paraId="2830BEF4">
      <w:pPr>
        <w:spacing w:line="600" w:lineRule="exact"/>
        <w:ind w:firstLine="643" w:firstLineChars="200"/>
        <w:rPr>
          <w:rStyle w:val="19"/>
          <w:rFonts w:hint="eastAsia" w:ascii="仿宋" w:hAnsi="仿宋" w:eastAsia="仿宋"/>
          <w:b w:val="0"/>
          <w:bCs/>
          <w:color w:val="auto"/>
          <w:sz w:val="32"/>
          <w:szCs w:val="32"/>
          <w:highlight w:val="none"/>
          <w:lang w:eastAsia="zh-CN"/>
        </w:rPr>
      </w:pPr>
      <w:r>
        <w:rPr>
          <w:rStyle w:val="19"/>
          <w:rFonts w:hint="eastAsia" w:ascii="仿宋" w:hAnsi="仿宋" w:eastAsia="仿宋"/>
          <w:bCs/>
          <w:color w:val="auto"/>
          <w:sz w:val="32"/>
          <w:szCs w:val="32"/>
          <w:highlight w:val="none"/>
          <w:lang w:val="en-US" w:eastAsia="zh-CN"/>
        </w:rPr>
        <w:t>16</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农林水支出（类）目标价格补贴（款</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rPr>
        <w:t>其他目标价格补贴</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lang w:val="en-US" w:eastAsia="zh-CN"/>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Fonts w:hint="eastAsia" w:ascii="仿宋" w:hAnsi="仿宋" w:eastAsia="仿宋"/>
          <w:color w:val="auto"/>
          <w:sz w:val="32"/>
          <w:szCs w:val="32"/>
          <w:highlight w:val="none"/>
          <w:lang w:val="en-US" w:eastAsia="zh-CN"/>
        </w:rPr>
        <w:t>382.6</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lang w:eastAsia="zh-CN"/>
        </w:rPr>
        <w:t>。</w:t>
      </w:r>
    </w:p>
    <w:p w14:paraId="768E00FB">
      <w:pPr>
        <w:spacing w:line="600" w:lineRule="exact"/>
        <w:ind w:firstLine="643" w:firstLineChars="200"/>
        <w:rPr>
          <w:highlight w:val="none"/>
        </w:rPr>
      </w:pPr>
      <w:r>
        <w:rPr>
          <w:rStyle w:val="19"/>
          <w:rFonts w:hint="eastAsia" w:ascii="仿宋" w:hAnsi="仿宋" w:eastAsia="仿宋"/>
          <w:bCs/>
          <w:color w:val="auto"/>
          <w:sz w:val="32"/>
          <w:szCs w:val="32"/>
          <w:highlight w:val="none"/>
          <w:lang w:val="en-US" w:eastAsia="zh-CN"/>
        </w:rPr>
        <w:t>17</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农林水支出（类）其他农林水支出（款</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rPr>
        <w:t>其他农林水支出</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lang w:val="en-US" w:eastAsia="zh-CN"/>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Fonts w:hint="eastAsia" w:ascii="仿宋" w:hAnsi="仿宋" w:eastAsia="仿宋"/>
          <w:color w:val="auto"/>
          <w:sz w:val="32"/>
          <w:szCs w:val="32"/>
          <w:highlight w:val="none"/>
          <w:lang w:val="en-US" w:eastAsia="zh-CN"/>
        </w:rPr>
        <w:t>133.22</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4.14</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lang w:eastAsia="zh-CN"/>
        </w:rPr>
        <w:t>，</w:t>
      </w:r>
      <w:r>
        <w:rPr>
          <w:rStyle w:val="19"/>
          <w:rFonts w:hint="eastAsia" w:ascii="仿宋" w:hAnsi="仿宋" w:eastAsia="仿宋"/>
          <w:b w:val="0"/>
          <w:bCs/>
          <w:color w:val="auto"/>
          <w:sz w:val="32"/>
          <w:szCs w:val="32"/>
        </w:rPr>
        <w:t>决算数</w:t>
      </w:r>
      <w:r>
        <w:rPr>
          <w:rStyle w:val="19"/>
          <w:rFonts w:hint="eastAsia" w:ascii="仿宋" w:hAnsi="仿宋" w:eastAsia="仿宋"/>
          <w:b w:val="0"/>
          <w:bCs/>
          <w:color w:val="auto"/>
          <w:sz w:val="32"/>
          <w:szCs w:val="32"/>
          <w:lang w:eastAsia="zh-CN"/>
        </w:rPr>
        <w:t>小于</w:t>
      </w:r>
      <w:r>
        <w:rPr>
          <w:rStyle w:val="19"/>
          <w:rFonts w:hint="eastAsia" w:ascii="仿宋" w:hAnsi="仿宋" w:eastAsia="仿宋"/>
          <w:b w:val="0"/>
          <w:bCs/>
          <w:color w:val="auto"/>
          <w:sz w:val="32"/>
          <w:szCs w:val="32"/>
        </w:rPr>
        <w:t>预算数的主要原因</w:t>
      </w:r>
      <w:r>
        <w:rPr>
          <w:rStyle w:val="19"/>
          <w:rFonts w:hint="eastAsia" w:ascii="仿宋" w:hAnsi="仿宋" w:eastAsia="仿宋"/>
          <w:b w:val="0"/>
          <w:bCs/>
          <w:color w:val="auto"/>
          <w:sz w:val="32"/>
          <w:szCs w:val="32"/>
          <w:lang w:eastAsia="zh-CN"/>
        </w:rPr>
        <w:t>项目还未验收按进度拨款。</w:t>
      </w:r>
    </w:p>
    <w:p w14:paraId="5AF78D64">
      <w:pPr>
        <w:spacing w:line="600" w:lineRule="exact"/>
        <w:ind w:firstLine="643" w:firstLineChars="200"/>
        <w:rPr>
          <w:rStyle w:val="19"/>
          <w:rFonts w:ascii="仿宋" w:hAnsi="仿宋" w:eastAsia="仿宋"/>
          <w:b w:val="0"/>
          <w:bCs/>
          <w:color w:val="auto"/>
          <w:sz w:val="32"/>
          <w:szCs w:val="32"/>
        </w:rPr>
      </w:pPr>
      <w:r>
        <w:rPr>
          <w:rStyle w:val="19"/>
          <w:rFonts w:hint="eastAsia" w:ascii="仿宋" w:hAnsi="仿宋" w:eastAsia="仿宋"/>
          <w:bCs/>
          <w:color w:val="auto"/>
          <w:sz w:val="32"/>
          <w:szCs w:val="32"/>
          <w:lang w:val="en-US" w:eastAsia="zh-CN"/>
        </w:rPr>
        <w:t>18</w:t>
      </w:r>
      <w:r>
        <w:rPr>
          <w:rStyle w:val="19"/>
          <w:rFonts w:ascii="仿宋" w:hAnsi="仿宋" w:eastAsia="仿宋"/>
          <w:bCs/>
          <w:color w:val="auto"/>
          <w:sz w:val="32"/>
          <w:szCs w:val="32"/>
        </w:rPr>
        <w:t>.</w:t>
      </w:r>
      <w:r>
        <w:rPr>
          <w:rStyle w:val="19"/>
          <w:rFonts w:hint="eastAsia" w:ascii="仿宋" w:hAnsi="仿宋" w:eastAsia="仿宋"/>
          <w:bCs/>
          <w:color w:val="auto"/>
          <w:sz w:val="32"/>
          <w:szCs w:val="32"/>
        </w:rPr>
        <w:t>商业服务业等支出（类）商业流通事务（款）其他商业流通事务支出（项）</w:t>
      </w:r>
      <w:r>
        <w:rPr>
          <w:rStyle w:val="19"/>
          <w:rFonts w:ascii="仿宋" w:hAnsi="仿宋" w:eastAsia="仿宋"/>
          <w:bCs/>
          <w:color w:val="auto"/>
          <w:sz w:val="32"/>
          <w:szCs w:val="32"/>
        </w:rPr>
        <w:t>:</w:t>
      </w:r>
      <w:r>
        <w:rPr>
          <w:rStyle w:val="19"/>
          <w:rFonts w:hint="eastAsia" w:ascii="仿宋" w:hAnsi="仿宋" w:eastAsia="仿宋"/>
          <w:b w:val="0"/>
          <w:bCs/>
          <w:color w:val="auto"/>
          <w:sz w:val="32"/>
          <w:szCs w:val="32"/>
        </w:rPr>
        <w:t>支出决算为</w:t>
      </w:r>
      <w:r>
        <w:rPr>
          <w:rStyle w:val="19"/>
          <w:rFonts w:hint="eastAsia" w:ascii="仿宋" w:hAnsi="仿宋" w:eastAsia="仿宋"/>
          <w:b w:val="0"/>
          <w:bCs/>
          <w:color w:val="auto"/>
          <w:sz w:val="32"/>
          <w:szCs w:val="32"/>
          <w:lang w:val="en-US" w:eastAsia="zh-CN"/>
        </w:rPr>
        <w:t>635.72</w:t>
      </w:r>
      <w:r>
        <w:rPr>
          <w:rStyle w:val="19"/>
          <w:rFonts w:hint="eastAsia" w:ascii="仿宋" w:hAnsi="仿宋" w:eastAsia="仿宋"/>
          <w:b w:val="0"/>
          <w:bCs/>
          <w:color w:val="auto"/>
          <w:sz w:val="32"/>
          <w:szCs w:val="32"/>
        </w:rPr>
        <w:t>万元，完成预算</w:t>
      </w:r>
      <w:r>
        <w:rPr>
          <w:rStyle w:val="19"/>
          <w:rFonts w:hint="eastAsia" w:ascii="仿宋" w:hAnsi="仿宋" w:eastAsia="仿宋"/>
          <w:b w:val="0"/>
          <w:bCs/>
          <w:color w:val="auto"/>
          <w:sz w:val="32"/>
          <w:szCs w:val="32"/>
          <w:lang w:val="en-US" w:eastAsia="zh-CN"/>
        </w:rPr>
        <w:t>61.94</w:t>
      </w:r>
      <w:r>
        <w:rPr>
          <w:rStyle w:val="19"/>
          <w:rFonts w:ascii="仿宋" w:hAnsi="仿宋" w:eastAsia="仿宋"/>
          <w:b w:val="0"/>
          <w:bCs/>
          <w:color w:val="auto"/>
          <w:sz w:val="32"/>
          <w:szCs w:val="32"/>
        </w:rPr>
        <w:t>%</w:t>
      </w:r>
      <w:r>
        <w:rPr>
          <w:rStyle w:val="19"/>
          <w:rFonts w:hint="eastAsia" w:ascii="仿宋" w:hAnsi="仿宋" w:eastAsia="仿宋"/>
          <w:b w:val="0"/>
          <w:bCs/>
          <w:color w:val="auto"/>
          <w:sz w:val="32"/>
          <w:szCs w:val="32"/>
        </w:rPr>
        <w:t>，决算数</w:t>
      </w:r>
      <w:r>
        <w:rPr>
          <w:rStyle w:val="19"/>
          <w:rFonts w:hint="eastAsia" w:ascii="仿宋" w:hAnsi="仿宋" w:eastAsia="仿宋"/>
          <w:b w:val="0"/>
          <w:bCs/>
          <w:color w:val="auto"/>
          <w:sz w:val="32"/>
          <w:szCs w:val="32"/>
          <w:lang w:eastAsia="zh-CN"/>
        </w:rPr>
        <w:t>小于</w:t>
      </w:r>
      <w:r>
        <w:rPr>
          <w:rStyle w:val="19"/>
          <w:rFonts w:hint="eastAsia" w:ascii="仿宋" w:hAnsi="仿宋" w:eastAsia="仿宋"/>
          <w:b w:val="0"/>
          <w:bCs/>
          <w:color w:val="auto"/>
          <w:sz w:val="32"/>
          <w:szCs w:val="32"/>
        </w:rPr>
        <w:t>预算数的主要原因</w:t>
      </w:r>
      <w:r>
        <w:rPr>
          <w:rStyle w:val="19"/>
          <w:rFonts w:hint="eastAsia" w:ascii="仿宋" w:hAnsi="仿宋" w:eastAsia="仿宋"/>
          <w:b w:val="0"/>
          <w:bCs/>
          <w:color w:val="auto"/>
          <w:sz w:val="32"/>
          <w:szCs w:val="32"/>
          <w:lang w:eastAsia="zh-CN"/>
        </w:rPr>
        <w:t>项目还未验收按进度拨款</w:t>
      </w:r>
      <w:r>
        <w:rPr>
          <w:rStyle w:val="19"/>
          <w:rFonts w:hint="eastAsia" w:ascii="仿宋" w:hAnsi="仿宋" w:eastAsia="仿宋"/>
          <w:b w:val="0"/>
          <w:bCs/>
          <w:color w:val="auto"/>
          <w:sz w:val="32"/>
          <w:szCs w:val="32"/>
        </w:rPr>
        <w:t>。</w:t>
      </w:r>
    </w:p>
    <w:p w14:paraId="627D93BB">
      <w:pPr>
        <w:spacing w:line="600" w:lineRule="exact"/>
        <w:ind w:firstLine="643" w:firstLineChars="200"/>
        <w:rPr>
          <w:rStyle w:val="19"/>
          <w:rFonts w:hint="eastAsia" w:ascii="仿宋" w:hAnsi="仿宋" w:eastAsia="仿宋"/>
          <w:b w:val="0"/>
          <w:bCs/>
          <w:color w:val="000000" w:themeColor="text1"/>
          <w:sz w:val="32"/>
          <w:szCs w:val="32"/>
          <w14:textFill>
            <w14:solidFill>
              <w14:schemeClr w14:val="tx1"/>
            </w14:solidFill>
          </w14:textFill>
        </w:rPr>
      </w:pPr>
      <w:r>
        <w:rPr>
          <w:rStyle w:val="19"/>
          <w:rFonts w:hint="eastAsia" w:ascii="仿宋" w:hAnsi="仿宋" w:eastAsia="仿宋"/>
          <w:bCs/>
          <w:color w:val="000000" w:themeColor="text1"/>
          <w:sz w:val="32"/>
          <w:szCs w:val="32"/>
          <w:lang w:val="en-US" w:eastAsia="zh-CN"/>
          <w14:textFill>
            <w14:solidFill>
              <w14:schemeClr w14:val="tx1"/>
            </w14:solidFill>
          </w14:textFill>
        </w:rPr>
        <w:t>19</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14:textFill>
            <w14:solidFill>
              <w14:schemeClr w14:val="tx1"/>
            </w14:solidFill>
          </w14:textFill>
        </w:rPr>
        <w:t>住房保障支出（类）住房改革支出（款）住房公积金（项）</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支出决算为</w:t>
      </w:r>
      <w:r>
        <w:rPr>
          <w:rStyle w:val="19"/>
          <w:rFonts w:hint="eastAsia" w:ascii="仿宋" w:hAnsi="仿宋" w:eastAsia="仿宋"/>
          <w:b w:val="0"/>
          <w:bCs/>
          <w:color w:val="000000" w:themeColor="text1"/>
          <w:sz w:val="32"/>
          <w:szCs w:val="32"/>
          <w:lang w:val="en-US" w:eastAsia="zh-CN"/>
          <w14:textFill>
            <w14:solidFill>
              <w14:schemeClr w14:val="tx1"/>
            </w14:solidFill>
          </w14:textFill>
        </w:rPr>
        <w:t>106.38</w:t>
      </w:r>
      <w:r>
        <w:rPr>
          <w:rStyle w:val="19"/>
          <w:rFonts w:hint="eastAsia" w:ascii="仿宋" w:hAnsi="仿宋" w:eastAsia="仿宋"/>
          <w:b w:val="0"/>
          <w:bCs/>
          <w:color w:val="000000" w:themeColor="text1"/>
          <w:sz w:val="32"/>
          <w:szCs w:val="32"/>
          <w14:textFill>
            <w14:solidFill>
              <w14:schemeClr w14:val="tx1"/>
            </w14:solidFill>
          </w14:textFill>
        </w:rPr>
        <w:t>万元，完成预算100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，决算数等于预算数。</w:t>
      </w:r>
    </w:p>
    <w:p w14:paraId="556CCFAE">
      <w:pPr>
        <w:spacing w:line="600" w:lineRule="exact"/>
        <w:ind w:firstLine="643" w:firstLineChars="200"/>
        <w:rPr>
          <w:rFonts w:hint="eastAsia"/>
          <w:highlight w:val="none"/>
        </w:rPr>
      </w:pPr>
      <w:r>
        <w:rPr>
          <w:rStyle w:val="19"/>
          <w:rFonts w:hint="eastAsia" w:ascii="仿宋" w:hAnsi="仿宋" w:eastAsia="仿宋"/>
          <w:bCs/>
          <w:color w:val="auto"/>
          <w:sz w:val="32"/>
          <w:szCs w:val="32"/>
          <w:highlight w:val="none"/>
          <w:lang w:val="en-US" w:eastAsia="zh-CN"/>
        </w:rPr>
        <w:t>20</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其他支出（类）其他支出（款</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rPr>
        <w:t>其他支出</w:t>
      </w:r>
      <w:r>
        <w:rPr>
          <w:rStyle w:val="19"/>
          <w:rFonts w:hint="eastAsia" w:ascii="仿宋" w:hAnsi="仿宋" w:eastAsia="仿宋"/>
          <w:bCs/>
          <w:color w:val="auto"/>
          <w:sz w:val="32"/>
          <w:szCs w:val="32"/>
          <w:highlight w:val="none"/>
          <w:lang w:eastAsia="zh-CN"/>
        </w:rPr>
        <w:t>（</w:t>
      </w:r>
      <w:r>
        <w:rPr>
          <w:rStyle w:val="19"/>
          <w:rFonts w:hint="eastAsia" w:ascii="仿宋" w:hAnsi="仿宋" w:eastAsia="仿宋"/>
          <w:bCs/>
          <w:color w:val="auto"/>
          <w:sz w:val="32"/>
          <w:szCs w:val="32"/>
          <w:highlight w:val="none"/>
          <w:lang w:val="en-US" w:eastAsia="zh-CN"/>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Fonts w:hint="eastAsia" w:ascii="仿宋" w:hAnsi="仿宋" w:eastAsia="仿宋"/>
          <w:color w:val="auto"/>
          <w:sz w:val="32"/>
          <w:szCs w:val="32"/>
          <w:highlight w:val="none"/>
          <w:lang w:val="en-US" w:eastAsia="zh-CN"/>
        </w:rPr>
        <w:t>3.36</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47584F49">
      <w:pPr>
        <w:spacing w:line="600" w:lineRule="exact"/>
        <w:ind w:firstLine="643" w:firstLineChars="200"/>
      </w:pPr>
      <w:r>
        <w:rPr>
          <w:rStyle w:val="19"/>
          <w:rFonts w:hint="eastAsia" w:ascii="仿宋" w:hAnsi="仿宋" w:eastAsia="仿宋"/>
          <w:bCs/>
          <w:color w:val="000000" w:themeColor="text1"/>
          <w:sz w:val="32"/>
          <w:szCs w:val="32"/>
          <w:lang w:val="en-US" w:eastAsia="zh-CN"/>
          <w14:textFill>
            <w14:solidFill>
              <w14:schemeClr w14:val="tx1"/>
            </w14:solidFill>
          </w14:textFill>
        </w:rPr>
        <w:t>21</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14:textFill>
            <w14:solidFill>
              <w14:schemeClr w14:val="tx1"/>
            </w14:solidFill>
          </w14:textFill>
        </w:rPr>
        <w:t>抗疫特别国债安排的支出（类）基础设施建设（款）其他基础设施建设（项）</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支出决算为</w:t>
      </w:r>
      <w:r>
        <w:rPr>
          <w:rStyle w:val="19"/>
          <w:rFonts w:hint="eastAsia" w:ascii="仿宋" w:hAnsi="仿宋" w:eastAsia="仿宋"/>
          <w:b w:val="0"/>
          <w:bCs/>
          <w:color w:val="000000" w:themeColor="text1"/>
          <w:sz w:val="32"/>
          <w:szCs w:val="32"/>
          <w:lang w:val="en-US" w:eastAsia="zh-CN"/>
          <w14:textFill>
            <w14:solidFill>
              <w14:schemeClr w14:val="tx1"/>
            </w14:solidFill>
          </w14:textFill>
        </w:rPr>
        <w:t>1280</w:t>
      </w:r>
      <w:r>
        <w:rPr>
          <w:rStyle w:val="19"/>
          <w:rFonts w:hint="eastAsia" w:ascii="仿宋" w:hAnsi="仿宋" w:eastAsia="仿宋"/>
          <w:b w:val="0"/>
          <w:bCs/>
          <w:color w:val="000000" w:themeColor="text1"/>
          <w:sz w:val="32"/>
          <w:szCs w:val="32"/>
          <w14:textFill>
            <w14:solidFill>
              <w14:schemeClr w14:val="tx1"/>
            </w14:solidFill>
          </w14:textFill>
        </w:rPr>
        <w:t>万元，完成预算100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，决算数等于预算数。</w:t>
      </w:r>
    </w:p>
    <w:p w14:paraId="5945888C">
      <w:pPr>
        <w:tabs>
          <w:tab w:val="right" w:pos="8306"/>
        </w:tabs>
        <w:spacing w:line="600" w:lineRule="exact"/>
        <w:ind w:firstLine="640"/>
        <w:outlineLvl w:val="1"/>
        <w:rPr>
          <w:rStyle w:val="30"/>
          <w:color w:val="000000" w:themeColor="text1"/>
          <w14:textFill>
            <w14:solidFill>
              <w14:schemeClr w14:val="tx1"/>
            </w14:solidFill>
          </w14:textFill>
        </w:rPr>
      </w:pPr>
      <w:bookmarkStart w:id="76" w:name="_Toc15396608"/>
      <w:bookmarkStart w:id="77" w:name="_Toc25556"/>
      <w:bookmarkStart w:id="78" w:name="_Toc2518"/>
      <w:bookmarkStart w:id="79" w:name="_Toc15377214"/>
      <w:r>
        <w:rPr>
          <w:rFonts w:hint="eastAsia" w:ascii="黑体" w:eastAsia="黑体"/>
          <w:color w:val="000000" w:themeColor="text1"/>
          <w:sz w:val="32"/>
          <w:szCs w:val="32"/>
          <w14:textFill>
            <w14:solidFill>
              <w14:schemeClr w14:val="tx1"/>
            </w14:solidFill>
          </w14:textFill>
        </w:rPr>
        <w:t>六</w:t>
      </w:r>
      <w:r>
        <w:rPr>
          <w:rFonts w:hint="eastAsia" w:ascii="黑体" w:eastAsia="黑体"/>
          <w:b/>
          <w:color w:val="000000" w:themeColor="text1"/>
          <w:sz w:val="32"/>
          <w:szCs w:val="32"/>
          <w14:textFill>
            <w14:solidFill>
              <w14:schemeClr w14:val="tx1"/>
            </w14:solidFill>
          </w14:textFill>
        </w:rPr>
        <w:t>、</w:t>
      </w:r>
      <w:r>
        <w:rPr>
          <w:rFonts w:hint="eastAsia" w:ascii="黑体" w:hAnsi="黑体" w:eastAsia="黑体"/>
          <w:b/>
          <w:color w:val="000000" w:themeColor="text1"/>
          <w:sz w:val="32"/>
          <w:szCs w:val="32"/>
          <w14:textFill>
            <w14:solidFill>
              <w14:schemeClr w14:val="tx1"/>
            </w14:solidFill>
          </w14:textFill>
        </w:rPr>
        <w:t>一</w:t>
      </w:r>
      <w:r>
        <w:rPr>
          <w:rStyle w:val="30"/>
          <w:rFonts w:hint="eastAsia" w:ascii="黑体" w:hAnsi="黑体" w:eastAsia="黑体"/>
          <w:b w:val="0"/>
          <w:color w:val="000000" w:themeColor="text1"/>
          <w14:textFill>
            <w14:solidFill>
              <w14:schemeClr w14:val="tx1"/>
            </w14:solidFill>
          </w14:textFill>
        </w:rPr>
        <w:t>般公共预算财政拨款基本支出决算情况说明</w:t>
      </w:r>
      <w:bookmarkEnd w:id="76"/>
      <w:bookmarkEnd w:id="77"/>
      <w:bookmarkEnd w:id="78"/>
      <w:bookmarkEnd w:id="79"/>
      <w:r>
        <w:rPr>
          <w:rStyle w:val="30"/>
          <w:rFonts w:ascii="黑体" w:hAnsi="黑体" w:eastAsia="黑体"/>
          <w:b w:val="0"/>
          <w:color w:val="000000" w:themeColor="text1"/>
          <w14:textFill>
            <w14:solidFill>
              <w14:schemeClr w14:val="tx1"/>
            </w14:solidFill>
          </w14:textFill>
        </w:rPr>
        <w:tab/>
      </w:r>
    </w:p>
    <w:p w14:paraId="25B6F6A8">
      <w:pPr>
        <w:spacing w:line="600" w:lineRule="exact"/>
        <w:ind w:firstLine="645"/>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20</w:t>
      </w:r>
      <w:r>
        <w:rPr>
          <w:rFonts w:hint="eastAsia" w:ascii="仿宋" w:hAnsi="仿宋" w:eastAsia="仿宋"/>
          <w:color w:val="000000" w:themeColor="text1"/>
          <w:sz w:val="32"/>
          <w:szCs w:val="32"/>
          <w:lang w:val="en-US" w:eastAsia="zh-CN"/>
          <w14:textFill>
            <w14:solidFill>
              <w14:schemeClr w14:val="tx1"/>
            </w14:solidFill>
          </w14:textFill>
        </w:rPr>
        <w:t>20</w:t>
      </w:r>
      <w:r>
        <w:rPr>
          <w:rFonts w:hint="eastAsia" w:ascii="仿宋" w:hAnsi="仿宋" w:eastAsia="仿宋"/>
          <w:color w:val="000000" w:themeColor="text1"/>
          <w:sz w:val="32"/>
          <w:szCs w:val="32"/>
          <w14:textFill>
            <w14:solidFill>
              <w14:schemeClr w14:val="tx1"/>
            </w14:solidFill>
          </w14:textFill>
        </w:rPr>
        <w:t>年一般公共预算财政拨款基本支出</w:t>
      </w:r>
      <w:r>
        <w:rPr>
          <w:rFonts w:hint="eastAsia" w:ascii="仿宋" w:hAnsi="仿宋" w:eastAsia="仿宋"/>
          <w:color w:val="000000" w:themeColor="text1"/>
          <w:sz w:val="32"/>
          <w:szCs w:val="32"/>
          <w:lang w:val="en-US" w:eastAsia="zh-CN"/>
          <w14:textFill>
            <w14:solidFill>
              <w14:schemeClr w14:val="tx1"/>
            </w14:solidFill>
          </w14:textFill>
        </w:rPr>
        <w:t>1457.89</w:t>
      </w:r>
      <w:r>
        <w:rPr>
          <w:rFonts w:hint="eastAsia" w:ascii="仿宋" w:hAnsi="仿宋" w:eastAsia="仿宋"/>
          <w:color w:val="000000" w:themeColor="text1"/>
          <w:sz w:val="32"/>
          <w:szCs w:val="32"/>
          <w14:textFill>
            <w14:solidFill>
              <w14:schemeClr w14:val="tx1"/>
            </w14:solidFill>
          </w14:textFill>
        </w:rPr>
        <w:t>万元，其中：</w:t>
      </w:r>
    </w:p>
    <w:p w14:paraId="041211B6">
      <w:pPr>
        <w:spacing w:line="600" w:lineRule="exact"/>
        <w:ind w:firstLine="645"/>
        <w:rPr>
          <w:rFonts w:hint="eastAsia"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人员经费</w:t>
      </w:r>
      <w:r>
        <w:rPr>
          <w:rFonts w:hint="eastAsia" w:ascii="仿宋" w:hAnsi="仿宋" w:eastAsia="仿宋"/>
          <w:color w:val="000000" w:themeColor="text1"/>
          <w:sz w:val="32"/>
          <w:szCs w:val="32"/>
          <w:lang w:val="en-US" w:eastAsia="zh-CN"/>
          <w14:textFill>
            <w14:solidFill>
              <w14:schemeClr w14:val="tx1"/>
            </w14:solidFill>
          </w14:textFill>
        </w:rPr>
        <w:t>1207.28</w:t>
      </w:r>
      <w:r>
        <w:rPr>
          <w:rFonts w:hint="eastAsia" w:ascii="仿宋" w:hAnsi="仿宋" w:eastAsia="仿宋"/>
          <w:color w:val="000000" w:themeColor="text1"/>
          <w:sz w:val="32"/>
          <w:szCs w:val="32"/>
          <w14:textFill>
            <w14:solidFill>
              <w14:schemeClr w14:val="tx1"/>
            </w14:solidFill>
          </w14:textFill>
        </w:rPr>
        <w:t>万元，主要包括：基本工资、津贴补贴、奖金、绩效工资、机关事业单位基本养老保险缴费、职业年金缴费、职工基本医疗保险缴费、其他社会保障缴费、其他工资福利支出、生活补助、奖励金、住房公积金</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其他个人和家庭的补助支出。</w:t>
      </w:r>
    </w:p>
    <w:p w14:paraId="28124D5E">
      <w:pPr>
        <w:spacing w:line="600" w:lineRule="exact"/>
        <w:ind w:firstLine="645"/>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公用经费</w:t>
      </w:r>
      <w:r>
        <w:rPr>
          <w:rFonts w:hint="eastAsia" w:ascii="仿宋" w:hAnsi="仿宋" w:eastAsia="仿宋"/>
          <w:color w:val="000000" w:themeColor="text1"/>
          <w:sz w:val="32"/>
          <w:szCs w:val="32"/>
          <w:lang w:val="en-US" w:eastAsia="zh-CN"/>
          <w14:textFill>
            <w14:solidFill>
              <w14:schemeClr w14:val="tx1"/>
            </w14:solidFill>
          </w14:textFill>
        </w:rPr>
        <w:t>250.61</w:t>
      </w:r>
      <w:r>
        <w:rPr>
          <w:rFonts w:hint="eastAsia" w:ascii="仿宋" w:hAnsi="仿宋" w:eastAsia="仿宋"/>
          <w:color w:val="000000" w:themeColor="text1"/>
          <w:sz w:val="32"/>
          <w:szCs w:val="32"/>
          <w14:textFill>
            <w14:solidFill>
              <w14:schemeClr w14:val="tx1"/>
            </w14:solidFill>
          </w14:textFill>
        </w:rPr>
        <w:t>万元，主要包括：办公费、印刷费、水费、电费、邮电费、取物业管理费、差旅费、维修（护）费、会议费、培训费、公务接待费、劳务费、、工会经费、其他交通费、其他商品和服务支出。</w:t>
      </w:r>
    </w:p>
    <w:p w14:paraId="248F8DD1">
      <w:pPr>
        <w:spacing w:line="600" w:lineRule="exact"/>
        <w:ind w:firstLine="640"/>
        <w:outlineLvl w:val="1"/>
        <w:rPr>
          <w:rStyle w:val="30"/>
          <w:rFonts w:ascii="黑体" w:hAnsi="黑体" w:eastAsia="黑体"/>
          <w:b w:val="0"/>
          <w:color w:val="000000" w:themeColor="text1"/>
          <w14:textFill>
            <w14:solidFill>
              <w14:schemeClr w14:val="tx1"/>
            </w14:solidFill>
          </w14:textFill>
        </w:rPr>
      </w:pPr>
      <w:bookmarkStart w:id="80" w:name="_Toc11200"/>
      <w:bookmarkStart w:id="81" w:name="_Toc15396609"/>
      <w:bookmarkStart w:id="82" w:name="_Toc15377215"/>
      <w:bookmarkStart w:id="83" w:name="_Toc15928"/>
      <w:r>
        <w:rPr>
          <w:rFonts w:hint="eastAsia" w:ascii="黑体" w:eastAsia="黑体"/>
          <w:color w:val="000000" w:themeColor="text1"/>
          <w:sz w:val="32"/>
          <w:szCs w:val="32"/>
          <w14:textFill>
            <w14:solidFill>
              <w14:schemeClr w14:val="tx1"/>
            </w14:solidFill>
          </w14:textFill>
        </w:rPr>
        <w:t>七、</w:t>
      </w:r>
      <w:r>
        <w:rPr>
          <w:rStyle w:val="30"/>
          <w:rFonts w:hint="eastAsia" w:ascii="黑体" w:hAnsi="黑体" w:eastAsia="黑体"/>
          <w:color w:val="000000" w:themeColor="text1"/>
          <w14:textFill>
            <w14:solidFill>
              <w14:schemeClr w14:val="tx1"/>
            </w14:solidFill>
          </w14:textFill>
        </w:rPr>
        <w:t>“</w:t>
      </w:r>
      <w:r>
        <w:rPr>
          <w:rStyle w:val="30"/>
          <w:rFonts w:hint="eastAsia" w:ascii="黑体" w:hAnsi="黑体" w:eastAsia="黑体"/>
          <w:b w:val="0"/>
          <w:color w:val="000000" w:themeColor="text1"/>
          <w14:textFill>
            <w14:solidFill>
              <w14:schemeClr w14:val="tx1"/>
            </w14:solidFill>
          </w14:textFill>
        </w:rPr>
        <w:t>三公”经费财政拨款支出决算情况说明</w:t>
      </w:r>
      <w:bookmarkEnd w:id="80"/>
      <w:bookmarkEnd w:id="81"/>
      <w:bookmarkEnd w:id="82"/>
      <w:bookmarkEnd w:id="83"/>
    </w:p>
    <w:p w14:paraId="6D2A6BFF">
      <w:pPr>
        <w:spacing w:line="600" w:lineRule="exact"/>
        <w:ind w:firstLine="640"/>
        <w:outlineLvl w:val="2"/>
        <w:rPr>
          <w:rFonts w:ascii="仿宋" w:hAnsi="仿宋" w:eastAsia="仿宋"/>
          <w:b/>
          <w:color w:val="000000" w:themeColor="text1"/>
          <w:sz w:val="32"/>
          <w:szCs w:val="32"/>
          <w14:textFill>
            <w14:solidFill>
              <w14:schemeClr w14:val="tx1"/>
            </w14:solidFill>
          </w14:textFill>
        </w:rPr>
      </w:pPr>
      <w:bookmarkStart w:id="84" w:name="_Toc10292"/>
      <w:bookmarkStart w:id="85" w:name="_Toc15045"/>
      <w:bookmarkStart w:id="86" w:name="_Toc15377216"/>
      <w:r>
        <w:rPr>
          <w:rFonts w:hint="eastAsia" w:ascii="仿宋" w:hAnsi="仿宋" w:eastAsia="仿宋"/>
          <w:b/>
          <w:color w:val="000000" w:themeColor="text1"/>
          <w:sz w:val="32"/>
          <w:szCs w:val="32"/>
          <w14:textFill>
            <w14:solidFill>
              <w14:schemeClr w14:val="tx1"/>
            </w14:solidFill>
          </w14:textFill>
        </w:rPr>
        <w:t>（一）“三公”经费财政拨款支出决算总体情况说明</w:t>
      </w:r>
      <w:bookmarkEnd w:id="84"/>
      <w:bookmarkEnd w:id="85"/>
      <w:bookmarkEnd w:id="86"/>
    </w:p>
    <w:p w14:paraId="69C24778">
      <w:pPr>
        <w:spacing w:line="600" w:lineRule="exact"/>
        <w:ind w:firstLine="640"/>
        <w:rPr>
          <w:rFonts w:ascii="仿宋" w:hAnsi="仿宋" w:eastAsia="仿宋"/>
          <w:b/>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20</w:t>
      </w:r>
      <w:r>
        <w:rPr>
          <w:rFonts w:hint="eastAsia" w:ascii="仿宋" w:hAnsi="仿宋" w:eastAsia="仿宋"/>
          <w:color w:val="000000" w:themeColor="text1"/>
          <w:sz w:val="32"/>
          <w:szCs w:val="32"/>
          <w:lang w:val="en-US" w:eastAsia="zh-CN"/>
          <w14:textFill>
            <w14:solidFill>
              <w14:schemeClr w14:val="tx1"/>
            </w14:solidFill>
          </w14:textFill>
        </w:rPr>
        <w:t>20</w:t>
      </w:r>
      <w:r>
        <w:rPr>
          <w:rFonts w:hint="eastAsia" w:ascii="仿宋" w:hAnsi="仿宋" w:eastAsia="仿宋"/>
          <w:color w:val="000000" w:themeColor="text1"/>
          <w:sz w:val="32"/>
          <w:szCs w:val="32"/>
          <w14:textFill>
            <w14:solidFill>
              <w14:schemeClr w14:val="tx1"/>
            </w14:solidFill>
          </w14:textFill>
        </w:rPr>
        <w:t>年“三公”经费财政拨款支出决算为</w:t>
      </w:r>
      <w:r>
        <w:rPr>
          <w:rFonts w:hint="eastAsia" w:ascii="仿宋" w:hAnsi="仿宋" w:eastAsia="仿宋"/>
          <w:color w:val="000000" w:themeColor="text1"/>
          <w:sz w:val="32"/>
          <w:szCs w:val="32"/>
          <w:lang w:val="en-US" w:eastAsia="zh-CN"/>
          <w14:textFill>
            <w14:solidFill>
              <w14:schemeClr w14:val="tx1"/>
            </w14:solidFill>
          </w14:textFill>
        </w:rPr>
        <w:t>17.81</w:t>
      </w:r>
      <w:r>
        <w:rPr>
          <w:rFonts w:hint="eastAsia" w:ascii="仿宋" w:hAnsi="仿宋" w:eastAsia="仿宋"/>
          <w:color w:val="000000" w:themeColor="text1"/>
          <w:sz w:val="32"/>
          <w:szCs w:val="32"/>
          <w14:textFill>
            <w14:solidFill>
              <w14:schemeClr w14:val="tx1"/>
            </w14:solidFill>
          </w14:textFill>
        </w:rPr>
        <w:t>万元，完成预算</w:t>
      </w:r>
      <w:r>
        <w:rPr>
          <w:rFonts w:hint="eastAsia" w:ascii="仿宋" w:hAnsi="仿宋" w:eastAsia="仿宋"/>
          <w:color w:val="000000" w:themeColor="text1"/>
          <w:sz w:val="32"/>
          <w:szCs w:val="32"/>
          <w:lang w:val="en-US" w:eastAsia="zh-CN"/>
          <w14:textFill>
            <w14:solidFill>
              <w14:schemeClr w14:val="tx1"/>
            </w14:solidFill>
          </w14:textFill>
        </w:rPr>
        <w:t>98.94</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，决算数小于预算数的主要原因是严格</w:t>
      </w:r>
      <w:r>
        <w:rPr>
          <w:rFonts w:hint="eastAsia" w:ascii="仿宋" w:hAnsi="仿宋" w:eastAsia="仿宋"/>
          <w:color w:val="000000"/>
          <w:sz w:val="32"/>
          <w:szCs w:val="32"/>
        </w:rPr>
        <w:t>按照公务接待标准，控制公务接待费开支。</w:t>
      </w:r>
    </w:p>
    <w:p w14:paraId="3D303A7D">
      <w:pPr>
        <w:spacing w:line="600" w:lineRule="exact"/>
        <w:ind w:firstLine="640"/>
        <w:outlineLvl w:val="2"/>
        <w:rPr>
          <w:rFonts w:ascii="仿宋" w:hAnsi="仿宋" w:eastAsia="仿宋"/>
          <w:b/>
          <w:color w:val="000000"/>
          <w:sz w:val="32"/>
          <w:szCs w:val="32"/>
        </w:rPr>
      </w:pPr>
      <w:bookmarkStart w:id="87" w:name="_Toc15377217"/>
      <w:bookmarkStart w:id="88" w:name="_Toc15906"/>
      <w:bookmarkStart w:id="89" w:name="_Toc5548"/>
      <w:r>
        <w:rPr>
          <w:rFonts w:hint="eastAsia" w:ascii="仿宋" w:hAnsi="仿宋" w:eastAsia="仿宋"/>
          <w:b/>
          <w:color w:val="000000"/>
          <w:sz w:val="32"/>
          <w:szCs w:val="32"/>
        </w:rPr>
        <w:t>（二）“三公”经费财政拨款支出决算具体情况说明</w:t>
      </w:r>
      <w:bookmarkEnd w:id="87"/>
      <w:bookmarkEnd w:id="88"/>
      <w:bookmarkEnd w:id="89"/>
    </w:p>
    <w:p w14:paraId="7986067C">
      <w:pPr>
        <w:spacing w:line="600" w:lineRule="exact"/>
        <w:ind w:firstLine="640"/>
        <w:rPr>
          <w:rFonts w:ascii="仿宋" w:hAnsi="仿宋" w:eastAsia="仿宋"/>
          <w:color w:val="000000"/>
          <w:sz w:val="32"/>
          <w:szCs w:val="32"/>
        </w:rPr>
      </w:pP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年“三公”经费财政拨款支出决算中，因公出国（境）费支出决算0万元，占0</w:t>
      </w:r>
      <w:r>
        <w:rPr>
          <w:rFonts w:ascii="仿宋" w:hAnsi="仿宋" w:eastAsia="仿宋"/>
          <w:color w:val="000000"/>
          <w:sz w:val="32"/>
          <w:szCs w:val="32"/>
        </w:rPr>
        <w:t>%</w:t>
      </w:r>
      <w:r>
        <w:rPr>
          <w:rFonts w:hint="eastAsia" w:ascii="仿宋" w:hAnsi="仿宋" w:eastAsia="仿宋"/>
          <w:color w:val="000000"/>
          <w:sz w:val="32"/>
          <w:szCs w:val="32"/>
        </w:rPr>
        <w:t>；公务用车购置及运行维护费支出决算0万元，占0</w:t>
      </w:r>
      <w:r>
        <w:rPr>
          <w:rFonts w:ascii="仿宋" w:hAnsi="仿宋" w:eastAsia="仿宋"/>
          <w:color w:val="000000"/>
          <w:sz w:val="32"/>
          <w:szCs w:val="32"/>
        </w:rPr>
        <w:t>%</w:t>
      </w:r>
      <w:r>
        <w:rPr>
          <w:rFonts w:hint="eastAsia" w:ascii="仿宋" w:hAnsi="仿宋" w:eastAsia="仿宋"/>
          <w:color w:val="000000"/>
          <w:sz w:val="32"/>
          <w:szCs w:val="32"/>
        </w:rPr>
        <w:t>；公务接待费支出决算</w:t>
      </w:r>
      <w:r>
        <w:rPr>
          <w:rFonts w:hint="eastAsia" w:ascii="仿宋" w:hAnsi="仿宋" w:eastAsia="仿宋"/>
          <w:color w:val="000000"/>
          <w:sz w:val="32"/>
          <w:szCs w:val="32"/>
          <w:lang w:val="en-US" w:eastAsia="zh-CN"/>
        </w:rPr>
        <w:t>17.81</w:t>
      </w:r>
      <w:r>
        <w:rPr>
          <w:rFonts w:hint="eastAsia" w:ascii="仿宋" w:hAnsi="仿宋" w:eastAsia="仿宋"/>
          <w:color w:val="000000"/>
          <w:sz w:val="32"/>
          <w:szCs w:val="32"/>
        </w:rPr>
        <w:t>万元，占100</w:t>
      </w:r>
      <w:r>
        <w:rPr>
          <w:rFonts w:ascii="仿宋" w:hAnsi="仿宋" w:eastAsia="仿宋"/>
          <w:color w:val="000000"/>
          <w:sz w:val="32"/>
          <w:szCs w:val="32"/>
        </w:rPr>
        <w:t>%</w:t>
      </w:r>
      <w:r>
        <w:rPr>
          <w:rFonts w:hint="eastAsia" w:ascii="仿宋" w:hAnsi="仿宋" w:eastAsia="仿宋"/>
          <w:color w:val="000000"/>
          <w:sz w:val="32"/>
          <w:szCs w:val="32"/>
        </w:rPr>
        <w:t>。具体情况如下：</w:t>
      </w:r>
    </w:p>
    <w:p w14:paraId="160E5EA0">
      <w:pPr>
        <w:spacing w:line="600" w:lineRule="exact"/>
        <w:ind w:firstLine="640"/>
        <w:rPr>
          <w:rFonts w:ascii="仿宋" w:hAnsi="仿宋" w:eastAsia="仿宋"/>
          <w:color w:val="000000"/>
          <w:sz w:val="32"/>
          <w:szCs w:val="32"/>
        </w:rPr>
      </w:pPr>
      <w:r>
        <w:rPr>
          <w:rFonts w:hint="eastAsia" w:ascii="仿宋" w:hAnsi="仿宋" w:eastAsia="仿宋"/>
          <w:color w:val="000000"/>
          <w:sz w:val="32"/>
          <w:szCs w:val="32"/>
        </w:rPr>
        <w:t>（图</w:t>
      </w:r>
      <w:r>
        <w:rPr>
          <w:rFonts w:hint="eastAsia" w:ascii="仿宋" w:hAnsi="仿宋" w:eastAsia="仿宋"/>
          <w:color w:val="000000"/>
          <w:sz w:val="32"/>
          <w:szCs w:val="32"/>
          <w:lang w:val="en-US" w:eastAsia="zh-CN"/>
        </w:rPr>
        <w:t>7</w:t>
      </w:r>
      <w:r>
        <w:rPr>
          <w:rFonts w:hint="eastAsia" w:ascii="仿宋" w:hAnsi="仿宋" w:eastAsia="仿宋"/>
          <w:color w:val="000000"/>
          <w:sz w:val="32"/>
          <w:szCs w:val="32"/>
        </w:rPr>
        <w:t>：“三公”经费财政拨款支出结构）</w:t>
      </w:r>
    </w:p>
    <w:p w14:paraId="0394DDBC">
      <w:pPr>
        <w:spacing w:line="600" w:lineRule="exact"/>
        <w:ind w:firstLine="640"/>
        <w:rPr>
          <w:rFonts w:ascii="仿宋" w:hAnsi="仿宋" w:eastAsia="仿宋"/>
          <w:color w:val="000000"/>
          <w:sz w:val="32"/>
          <w:szCs w:val="32"/>
        </w:rPr>
      </w:pPr>
      <w:r>
        <w:drawing>
          <wp:anchor distT="0" distB="0" distL="114300" distR="114300" simplePos="0" relativeHeight="251661312" behindDoc="0" locked="0" layoutInCell="1" allowOverlap="1">
            <wp:simplePos x="0" y="0"/>
            <wp:positionH relativeFrom="column">
              <wp:posOffset>296545</wp:posOffset>
            </wp:positionH>
            <wp:positionV relativeFrom="paragraph">
              <wp:posOffset>379730</wp:posOffset>
            </wp:positionV>
            <wp:extent cx="4572000" cy="2153285"/>
            <wp:effectExtent l="5080" t="4445" r="13970" b="13970"/>
            <wp:wrapSquare wrapText="bothSides"/>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50BC2153">
      <w:pPr>
        <w:spacing w:line="600" w:lineRule="exact"/>
        <w:ind w:firstLine="640"/>
        <w:rPr>
          <w:rFonts w:ascii="仿宋" w:hAnsi="仿宋" w:eastAsia="仿宋"/>
          <w:color w:val="000000"/>
          <w:sz w:val="32"/>
          <w:szCs w:val="32"/>
        </w:rPr>
      </w:pPr>
    </w:p>
    <w:p w14:paraId="50B8ED3B">
      <w:pPr>
        <w:spacing w:line="600" w:lineRule="exact"/>
        <w:ind w:firstLine="640"/>
      </w:pPr>
    </w:p>
    <w:p w14:paraId="65DABE93">
      <w:pPr>
        <w:spacing w:line="600" w:lineRule="exact"/>
        <w:ind w:firstLine="640"/>
      </w:pPr>
    </w:p>
    <w:p w14:paraId="4643995A">
      <w:pPr>
        <w:spacing w:line="600" w:lineRule="exact"/>
        <w:ind w:firstLine="640"/>
      </w:pPr>
    </w:p>
    <w:p w14:paraId="68AB449F">
      <w:pPr>
        <w:spacing w:line="600" w:lineRule="exact"/>
        <w:ind w:firstLine="640"/>
      </w:pPr>
    </w:p>
    <w:p w14:paraId="0DAE68D6">
      <w:pPr>
        <w:spacing w:line="600" w:lineRule="exact"/>
        <w:rPr>
          <w:rFonts w:ascii="仿宋" w:hAnsi="仿宋" w:eastAsia="仿宋"/>
          <w:color w:val="000000"/>
          <w:sz w:val="32"/>
          <w:szCs w:val="32"/>
        </w:rPr>
      </w:pPr>
    </w:p>
    <w:p w14:paraId="418635E6">
      <w:pPr>
        <w:numPr>
          <w:ilvl w:val="0"/>
          <w:numId w:val="2"/>
        </w:numPr>
        <w:spacing w:line="600" w:lineRule="exact"/>
        <w:ind w:firstLine="640"/>
        <w:rPr>
          <w:rStyle w:val="19"/>
          <w:rFonts w:ascii="仿宋" w:hAnsi="仿宋" w:eastAsia="仿宋"/>
          <w:b w:val="0"/>
          <w:bCs/>
          <w:color w:val="000000"/>
          <w:sz w:val="32"/>
          <w:szCs w:val="32"/>
          <w:highlight w:val="none"/>
        </w:rPr>
      </w:pPr>
      <w:r>
        <w:rPr>
          <w:rFonts w:hint="eastAsia" w:ascii="仿宋_GB2312" w:eastAsia="仿宋_GB2312"/>
          <w:b/>
          <w:color w:val="000000"/>
          <w:sz w:val="32"/>
          <w:szCs w:val="32"/>
          <w:highlight w:val="none"/>
        </w:rPr>
        <w:t>因公出国（境）经费</w:t>
      </w:r>
      <w:r>
        <w:rPr>
          <w:rFonts w:hint="eastAsia" w:ascii="仿宋_GB2312" w:eastAsia="仿宋_GB2312"/>
          <w:color w:val="000000"/>
          <w:sz w:val="32"/>
          <w:szCs w:val="32"/>
          <w:highlight w:val="none"/>
        </w:rPr>
        <w:t>支出0万元，年初未安排预算</w:t>
      </w:r>
      <w:r>
        <w:rPr>
          <w:rFonts w:hint="eastAsia" w:ascii="仿宋_GB2312" w:eastAsia="仿宋_GB2312"/>
          <w:color w:val="000000"/>
          <w:sz w:val="32"/>
          <w:szCs w:val="32"/>
          <w:highlight w:val="none"/>
          <w:lang w:eastAsia="zh-CN"/>
        </w:rPr>
        <w:t>，</w:t>
      </w:r>
      <w:r>
        <w:rPr>
          <w:rStyle w:val="19"/>
          <w:rFonts w:hint="eastAsia" w:ascii="仿宋" w:hAnsi="仿宋" w:eastAsia="仿宋"/>
          <w:b w:val="0"/>
          <w:bCs/>
          <w:color w:val="000000"/>
          <w:sz w:val="32"/>
          <w:szCs w:val="32"/>
          <w:highlight w:val="none"/>
        </w:rPr>
        <w:t>与上年数持平</w:t>
      </w:r>
      <w:r>
        <w:rPr>
          <w:rStyle w:val="19"/>
          <w:rFonts w:hint="eastAsia" w:ascii="仿宋" w:hAnsi="仿宋" w:eastAsia="仿宋"/>
          <w:b w:val="0"/>
          <w:bCs/>
          <w:color w:val="000000"/>
          <w:sz w:val="32"/>
          <w:szCs w:val="32"/>
          <w:highlight w:val="none"/>
          <w:lang w:eastAsia="zh-CN"/>
        </w:rPr>
        <w:t>。</w:t>
      </w:r>
    </w:p>
    <w:p w14:paraId="0859B129">
      <w:pPr>
        <w:spacing w:line="600" w:lineRule="exact"/>
        <w:ind w:firstLine="643" w:firstLineChars="200"/>
        <w:rPr>
          <w:rFonts w:hint="eastAsia" w:ascii="仿宋_GB2312" w:eastAsia="仿宋"/>
          <w:b/>
          <w:color w:val="000000"/>
          <w:sz w:val="32"/>
          <w:szCs w:val="32"/>
          <w:highlight w:val="none"/>
          <w:lang w:val="en-US" w:eastAsia="zh-CN"/>
        </w:rPr>
      </w:pPr>
      <w:r>
        <w:rPr>
          <w:rFonts w:ascii="仿宋_GB2312" w:eastAsia="仿宋_GB2312"/>
          <w:b/>
          <w:color w:val="000000"/>
          <w:sz w:val="32"/>
          <w:szCs w:val="32"/>
          <w:highlight w:val="none"/>
        </w:rPr>
        <w:t>2.</w:t>
      </w:r>
      <w:r>
        <w:rPr>
          <w:rFonts w:hint="eastAsia" w:ascii="仿宋_GB2312" w:eastAsia="仿宋_GB2312"/>
          <w:b/>
          <w:color w:val="000000"/>
          <w:sz w:val="32"/>
          <w:szCs w:val="32"/>
          <w:highlight w:val="none"/>
        </w:rPr>
        <w:t>公务用车购置及运行维护费</w:t>
      </w:r>
      <w:r>
        <w:rPr>
          <w:rFonts w:hint="eastAsia" w:ascii="仿宋_GB2312" w:eastAsia="仿宋_GB2312"/>
          <w:color w:val="000000"/>
          <w:sz w:val="32"/>
          <w:szCs w:val="32"/>
          <w:highlight w:val="none"/>
        </w:rPr>
        <w:t>支出0万元,</w:t>
      </w:r>
      <w:r>
        <w:rPr>
          <w:rFonts w:hint="eastAsia" w:ascii="仿宋_GB2312" w:eastAsia="仿宋_GB2312"/>
          <w:color w:val="000000"/>
          <w:sz w:val="32"/>
          <w:szCs w:val="32"/>
          <w:highlight w:val="none"/>
          <w:lang w:val="en-US" w:eastAsia="zh-CN"/>
        </w:rPr>
        <w:t>年初未安排预算，</w:t>
      </w:r>
      <w:r>
        <w:rPr>
          <w:rStyle w:val="19"/>
          <w:rFonts w:hint="eastAsia" w:ascii="仿宋" w:hAnsi="仿宋" w:eastAsia="仿宋"/>
          <w:b w:val="0"/>
          <w:bCs/>
          <w:color w:val="000000"/>
          <w:sz w:val="32"/>
          <w:szCs w:val="32"/>
          <w:highlight w:val="none"/>
        </w:rPr>
        <w:t>与上年数持平</w:t>
      </w:r>
      <w:r>
        <w:rPr>
          <w:rStyle w:val="19"/>
          <w:rFonts w:hint="eastAsia" w:ascii="仿宋" w:hAnsi="仿宋" w:eastAsia="仿宋"/>
          <w:b w:val="0"/>
          <w:bCs/>
          <w:color w:val="000000"/>
          <w:sz w:val="32"/>
          <w:szCs w:val="32"/>
          <w:highlight w:val="none"/>
          <w:lang w:eastAsia="zh-CN"/>
        </w:rPr>
        <w:t>。</w:t>
      </w:r>
    </w:p>
    <w:p w14:paraId="2F0034A5">
      <w:pPr>
        <w:spacing w:line="600" w:lineRule="exact"/>
        <w:ind w:firstLine="640" w:firstLineChars="200"/>
        <w:rPr>
          <w:rFonts w:ascii="仿宋_GB2312" w:eastAsia="仿宋_GB2312"/>
          <w:b/>
          <w:color w:val="000000"/>
          <w:sz w:val="32"/>
          <w:szCs w:val="32"/>
          <w:highlight w:val="none"/>
        </w:rPr>
      </w:pPr>
      <w:r>
        <w:rPr>
          <w:rFonts w:hint="eastAsia" w:ascii="仿宋_GB2312" w:eastAsia="仿宋_GB2312"/>
          <w:color w:val="000000"/>
          <w:sz w:val="32"/>
          <w:szCs w:val="32"/>
          <w:highlight w:val="none"/>
        </w:rPr>
        <w:t>其中：</w:t>
      </w:r>
      <w:r>
        <w:rPr>
          <w:rFonts w:hint="eastAsia" w:ascii="仿宋_GB2312" w:eastAsia="仿宋_GB2312"/>
          <w:b/>
          <w:color w:val="000000"/>
          <w:sz w:val="32"/>
          <w:szCs w:val="32"/>
          <w:highlight w:val="none"/>
        </w:rPr>
        <w:t>公务用车购置支出</w:t>
      </w:r>
      <w:r>
        <w:rPr>
          <w:rFonts w:hint="eastAsia" w:ascii="仿宋_GB2312" w:eastAsia="仿宋_GB2312"/>
          <w:color w:val="000000"/>
          <w:sz w:val="32"/>
          <w:szCs w:val="32"/>
          <w:highlight w:val="none"/>
        </w:rPr>
        <w:t>0万元。全年按规定更新购置公务用车0辆，截至</w:t>
      </w:r>
      <w:r>
        <w:rPr>
          <w:rFonts w:ascii="仿宋_GB2312" w:eastAsia="仿宋_GB2312"/>
          <w:color w:val="000000"/>
          <w:sz w:val="32"/>
          <w:szCs w:val="32"/>
          <w:highlight w:val="none"/>
        </w:rPr>
        <w:t>20</w:t>
      </w:r>
      <w:r>
        <w:rPr>
          <w:rFonts w:hint="eastAsia" w:ascii="仿宋_GB2312" w:eastAsia="仿宋_GB2312"/>
          <w:color w:val="000000"/>
          <w:sz w:val="32"/>
          <w:szCs w:val="32"/>
          <w:highlight w:val="none"/>
          <w:lang w:val="en-US" w:eastAsia="zh-CN"/>
        </w:rPr>
        <w:t>20</w:t>
      </w:r>
      <w:r>
        <w:rPr>
          <w:rFonts w:hint="eastAsia" w:ascii="仿宋_GB2312" w:eastAsia="仿宋_GB2312"/>
          <w:color w:val="000000"/>
          <w:sz w:val="32"/>
          <w:szCs w:val="32"/>
          <w:highlight w:val="none"/>
        </w:rPr>
        <w:t>年</w:t>
      </w:r>
      <w:r>
        <w:rPr>
          <w:rFonts w:ascii="仿宋_GB2312" w:eastAsia="仿宋_GB2312"/>
          <w:color w:val="000000"/>
          <w:sz w:val="32"/>
          <w:szCs w:val="32"/>
          <w:highlight w:val="none"/>
        </w:rPr>
        <w:t>12</w:t>
      </w:r>
      <w:r>
        <w:rPr>
          <w:rFonts w:hint="eastAsia" w:ascii="仿宋_GB2312" w:eastAsia="仿宋_GB2312"/>
          <w:color w:val="000000"/>
          <w:sz w:val="32"/>
          <w:szCs w:val="32"/>
          <w:highlight w:val="none"/>
        </w:rPr>
        <w:t>月底，单位共有公务用车1辆，其中：轿车0辆、越野车</w:t>
      </w:r>
      <w:r>
        <w:rPr>
          <w:rFonts w:hint="eastAsia" w:ascii="仿宋_GB2312" w:eastAsia="仿宋_GB2312"/>
          <w:color w:val="000000"/>
          <w:sz w:val="32"/>
          <w:szCs w:val="32"/>
          <w:highlight w:val="none"/>
          <w:lang w:val="en-US" w:eastAsia="zh-CN"/>
        </w:rPr>
        <w:t>1</w:t>
      </w:r>
      <w:r>
        <w:rPr>
          <w:rFonts w:hint="eastAsia" w:ascii="仿宋_GB2312" w:eastAsia="仿宋_GB2312"/>
          <w:color w:val="000000"/>
          <w:sz w:val="32"/>
          <w:szCs w:val="32"/>
          <w:highlight w:val="none"/>
        </w:rPr>
        <w:t>辆、载客汽车0辆。</w:t>
      </w:r>
    </w:p>
    <w:p w14:paraId="6156D5BB">
      <w:pPr>
        <w:spacing w:line="600" w:lineRule="exact"/>
        <w:ind w:firstLine="643" w:firstLineChars="200"/>
        <w:rPr>
          <w:rFonts w:hint="eastAsia" w:ascii="仿宋_GB2312" w:eastAsia="仿宋"/>
          <w:b/>
          <w:color w:val="000000"/>
          <w:sz w:val="32"/>
          <w:szCs w:val="32"/>
          <w:highlight w:val="none"/>
          <w:lang w:eastAsia="zh-CN"/>
        </w:rPr>
      </w:pPr>
      <w:r>
        <w:rPr>
          <w:rFonts w:hint="eastAsia" w:ascii="仿宋_GB2312" w:eastAsia="仿宋_GB2312"/>
          <w:b/>
          <w:color w:val="000000"/>
          <w:sz w:val="32"/>
          <w:szCs w:val="32"/>
          <w:highlight w:val="none"/>
        </w:rPr>
        <w:t>公务用车购置及运行维护费支出</w:t>
      </w:r>
      <w:r>
        <w:rPr>
          <w:rFonts w:hint="eastAsia" w:ascii="仿宋_GB2312" w:eastAsia="仿宋_GB2312"/>
          <w:color w:val="000000"/>
          <w:sz w:val="32"/>
          <w:szCs w:val="32"/>
          <w:highlight w:val="none"/>
        </w:rPr>
        <w:t>0万元</w:t>
      </w:r>
      <w:r>
        <w:rPr>
          <w:rFonts w:hint="eastAsia" w:ascii="仿宋_GB2312" w:eastAsia="仿宋_GB2312"/>
          <w:color w:val="000000"/>
          <w:sz w:val="32"/>
          <w:szCs w:val="32"/>
          <w:highlight w:val="none"/>
          <w:lang w:eastAsia="zh-CN"/>
        </w:rPr>
        <w:t>，</w:t>
      </w:r>
      <w:r>
        <w:rPr>
          <w:rFonts w:hint="eastAsia" w:ascii="仿宋_GB2312" w:eastAsia="仿宋_GB2312"/>
          <w:color w:val="000000"/>
          <w:sz w:val="32"/>
          <w:szCs w:val="32"/>
          <w:highlight w:val="none"/>
          <w:lang w:val="en-US" w:eastAsia="zh-CN"/>
        </w:rPr>
        <w:t>年初未安排预算，</w:t>
      </w:r>
      <w:r>
        <w:rPr>
          <w:rStyle w:val="19"/>
          <w:rFonts w:hint="eastAsia" w:ascii="仿宋" w:hAnsi="仿宋" w:eastAsia="仿宋"/>
          <w:b w:val="0"/>
          <w:bCs/>
          <w:color w:val="000000"/>
          <w:sz w:val="32"/>
          <w:szCs w:val="32"/>
          <w:highlight w:val="none"/>
        </w:rPr>
        <w:t>与上年数持平</w:t>
      </w:r>
      <w:r>
        <w:rPr>
          <w:rStyle w:val="19"/>
          <w:rFonts w:hint="eastAsia" w:ascii="仿宋" w:hAnsi="仿宋" w:eastAsia="仿宋"/>
          <w:b w:val="0"/>
          <w:bCs/>
          <w:color w:val="000000"/>
          <w:sz w:val="32"/>
          <w:szCs w:val="32"/>
          <w:highlight w:val="none"/>
          <w:lang w:eastAsia="zh-CN"/>
        </w:rPr>
        <w:t>。</w:t>
      </w:r>
    </w:p>
    <w:p w14:paraId="7D56BE13">
      <w:pPr>
        <w:spacing w:line="600" w:lineRule="exact"/>
        <w:ind w:firstLine="640"/>
        <w:rPr>
          <w:rFonts w:hint="eastAsia" w:ascii="仿宋_GB2312" w:eastAsia="仿宋_GB2312"/>
          <w:color w:val="000000"/>
          <w:sz w:val="32"/>
          <w:szCs w:val="32"/>
          <w:lang w:eastAsia="zh-CN"/>
        </w:rPr>
      </w:pPr>
      <w:r>
        <w:rPr>
          <w:rFonts w:ascii="仿宋_GB2312" w:eastAsia="仿宋_GB2312"/>
          <w:b/>
          <w:color w:val="000000"/>
          <w:sz w:val="32"/>
          <w:szCs w:val="32"/>
        </w:rPr>
        <w:t>3.</w:t>
      </w:r>
      <w:r>
        <w:rPr>
          <w:rFonts w:hint="eastAsia" w:ascii="仿宋_GB2312" w:eastAsia="仿宋_GB2312"/>
          <w:b/>
          <w:color w:val="000000"/>
          <w:sz w:val="32"/>
          <w:szCs w:val="32"/>
        </w:rPr>
        <w:t>公务接待费支出</w:t>
      </w:r>
      <w:r>
        <w:rPr>
          <w:rStyle w:val="19"/>
          <w:rFonts w:hint="eastAsia" w:ascii="仿宋" w:hAnsi="仿宋" w:eastAsia="仿宋"/>
          <w:b w:val="0"/>
          <w:bCs/>
          <w:color w:val="000000"/>
          <w:sz w:val="32"/>
          <w:szCs w:val="32"/>
        </w:rPr>
        <w:t>17.81万元</w:t>
      </w:r>
      <w:r>
        <w:rPr>
          <w:rFonts w:hint="eastAsia" w:ascii="仿宋_GB2312" w:eastAsia="仿宋_GB2312"/>
          <w:color w:val="000000"/>
          <w:sz w:val="32"/>
          <w:szCs w:val="32"/>
        </w:rPr>
        <w:t>，</w:t>
      </w:r>
      <w:r>
        <w:rPr>
          <w:rStyle w:val="19"/>
          <w:rFonts w:hint="eastAsia" w:ascii="仿宋" w:hAnsi="仿宋" w:eastAsia="仿宋"/>
          <w:b w:val="0"/>
          <w:bCs/>
          <w:color w:val="000000"/>
          <w:sz w:val="32"/>
          <w:szCs w:val="32"/>
        </w:rPr>
        <w:t>完成预算</w:t>
      </w:r>
      <w:r>
        <w:rPr>
          <w:rStyle w:val="19"/>
          <w:rFonts w:hint="eastAsia" w:ascii="仿宋" w:hAnsi="仿宋" w:eastAsia="仿宋"/>
          <w:b w:val="0"/>
          <w:bCs/>
          <w:color w:val="000000"/>
          <w:sz w:val="32"/>
          <w:szCs w:val="32"/>
          <w:lang w:val="en-US" w:eastAsia="zh-CN"/>
        </w:rPr>
        <w:t>98.94</w:t>
      </w:r>
      <w:r>
        <w:rPr>
          <w:rStyle w:val="19"/>
          <w:rFonts w:ascii="仿宋" w:hAnsi="仿宋" w:eastAsia="仿宋"/>
          <w:b w:val="0"/>
          <w:bCs/>
          <w:color w:val="000000"/>
          <w:sz w:val="32"/>
          <w:szCs w:val="32"/>
        </w:rPr>
        <w:t>%</w:t>
      </w:r>
      <w:r>
        <w:rPr>
          <w:rStyle w:val="19"/>
          <w:rFonts w:hint="eastAsia" w:ascii="仿宋" w:hAnsi="仿宋" w:eastAsia="仿宋"/>
          <w:b w:val="0"/>
          <w:bCs/>
          <w:color w:val="000000"/>
          <w:sz w:val="32"/>
          <w:szCs w:val="32"/>
        </w:rPr>
        <w:t>。</w:t>
      </w:r>
      <w:r>
        <w:rPr>
          <w:rFonts w:hint="eastAsia" w:ascii="仿宋_GB2312" w:eastAsia="仿宋_GB2312"/>
          <w:color w:val="000000"/>
          <w:sz w:val="32"/>
          <w:szCs w:val="32"/>
        </w:rPr>
        <w:t>公务接待费支出决算比</w:t>
      </w:r>
      <w:r>
        <w:rPr>
          <w:rFonts w:ascii="仿宋_GB2312" w:eastAsia="仿宋_GB2312"/>
          <w:color w:val="000000"/>
          <w:sz w:val="32"/>
          <w:szCs w:val="32"/>
        </w:rPr>
        <w:t>20</w:t>
      </w:r>
      <w:r>
        <w:rPr>
          <w:rFonts w:hint="eastAsia" w:ascii="仿宋_GB2312" w:eastAsia="仿宋_GB2312"/>
          <w:color w:val="000000"/>
          <w:sz w:val="32"/>
          <w:szCs w:val="32"/>
          <w:lang w:val="en-US" w:eastAsia="zh-CN"/>
        </w:rPr>
        <w:t>19</w:t>
      </w:r>
      <w:r>
        <w:rPr>
          <w:rFonts w:hint="eastAsia" w:ascii="仿宋_GB2312" w:eastAsia="仿宋_GB2312"/>
          <w:color w:val="000000"/>
          <w:sz w:val="32"/>
          <w:szCs w:val="32"/>
        </w:rPr>
        <w:t>年</w:t>
      </w:r>
      <w:r>
        <w:rPr>
          <w:rFonts w:hint="eastAsia" w:ascii="仿宋_GB2312" w:eastAsia="仿宋_GB2312"/>
          <w:color w:val="000000"/>
          <w:sz w:val="32"/>
          <w:szCs w:val="32"/>
          <w:lang w:eastAsia="zh-CN"/>
        </w:rPr>
        <w:t>增加</w:t>
      </w:r>
      <w:r>
        <w:rPr>
          <w:rFonts w:hint="eastAsia" w:ascii="仿宋_GB2312" w:eastAsia="仿宋_GB2312"/>
          <w:color w:val="000000"/>
          <w:sz w:val="32"/>
          <w:szCs w:val="32"/>
          <w:lang w:val="en-US" w:eastAsia="zh-CN"/>
        </w:rPr>
        <w:t>1.19</w:t>
      </w:r>
      <w:r>
        <w:rPr>
          <w:rFonts w:hint="eastAsia" w:ascii="仿宋_GB2312" w:eastAsia="仿宋_GB2312"/>
          <w:color w:val="000000"/>
          <w:sz w:val="32"/>
          <w:szCs w:val="32"/>
        </w:rPr>
        <w:t>万元，</w:t>
      </w:r>
      <w:r>
        <w:rPr>
          <w:rFonts w:hint="eastAsia" w:ascii="仿宋_GB2312" w:eastAsia="仿宋_GB2312"/>
          <w:color w:val="000000"/>
          <w:sz w:val="32"/>
          <w:szCs w:val="32"/>
          <w:lang w:eastAsia="zh-CN"/>
        </w:rPr>
        <w:t>增加</w:t>
      </w:r>
      <w:r>
        <w:rPr>
          <w:rFonts w:hint="eastAsia" w:ascii="仿宋_GB2312" w:eastAsia="仿宋_GB2312"/>
          <w:color w:val="000000"/>
          <w:sz w:val="32"/>
          <w:szCs w:val="32"/>
          <w:lang w:val="en-US" w:eastAsia="zh-CN"/>
        </w:rPr>
        <w:t>7.16</w:t>
      </w:r>
      <w:r>
        <w:rPr>
          <w:rFonts w:ascii="仿宋_GB2312" w:eastAsia="仿宋_GB2312"/>
          <w:color w:val="000000"/>
          <w:sz w:val="32"/>
          <w:szCs w:val="32"/>
        </w:rPr>
        <w:t>%</w:t>
      </w:r>
      <w:r>
        <w:rPr>
          <w:rFonts w:hint="eastAsia" w:ascii="仿宋_GB2312" w:eastAsia="仿宋_GB2312"/>
          <w:color w:val="000000"/>
          <w:sz w:val="32"/>
          <w:szCs w:val="32"/>
        </w:rPr>
        <w:t>。主要原因是一是</w:t>
      </w:r>
      <w:r>
        <w:rPr>
          <w:rFonts w:hint="eastAsia" w:ascii="仿宋_GB2312" w:eastAsia="仿宋_GB2312"/>
          <w:color w:val="000000"/>
          <w:sz w:val="32"/>
          <w:szCs w:val="32"/>
          <w:lang w:eastAsia="zh-CN"/>
        </w:rPr>
        <w:t>单位检查增加</w:t>
      </w:r>
      <w:r>
        <w:rPr>
          <w:rFonts w:hint="eastAsia" w:ascii="仿宋_GB2312" w:eastAsia="仿宋_GB2312"/>
          <w:color w:val="000000"/>
          <w:sz w:val="32"/>
          <w:szCs w:val="32"/>
        </w:rPr>
        <w:t>；二是</w:t>
      </w:r>
      <w:r>
        <w:rPr>
          <w:rFonts w:hint="eastAsia" w:ascii="仿宋_GB2312" w:eastAsia="仿宋_GB2312"/>
          <w:color w:val="000000"/>
          <w:sz w:val="32"/>
          <w:szCs w:val="32"/>
          <w:lang w:eastAsia="zh-CN"/>
        </w:rPr>
        <w:t>工作任务增加</w:t>
      </w:r>
      <w:r>
        <w:rPr>
          <w:rFonts w:hint="eastAsia" w:ascii="仿宋_GB2312" w:eastAsia="仿宋_GB2312"/>
          <w:color w:val="000000"/>
          <w:sz w:val="32"/>
          <w:szCs w:val="32"/>
        </w:rPr>
        <w:t>开销。</w:t>
      </w:r>
      <w:r>
        <w:rPr>
          <w:rFonts w:hint="eastAsia" w:ascii="仿宋_GB2312" w:eastAsia="仿宋_GB2312"/>
          <w:color w:val="000000"/>
          <w:sz w:val="32"/>
          <w:szCs w:val="32"/>
          <w:lang w:eastAsia="zh-CN"/>
        </w:rPr>
        <w:t>其中：</w:t>
      </w:r>
    </w:p>
    <w:p w14:paraId="18C65983">
      <w:pPr>
        <w:spacing w:line="600" w:lineRule="exact"/>
        <w:ind w:firstLine="643" w:firstLineChars="200"/>
        <w:rPr>
          <w:rFonts w:hint="eastAsia" w:ascii="仿宋_GB2312" w:eastAsia="仿宋_GB2312"/>
          <w:color w:val="000000"/>
          <w:sz w:val="32"/>
          <w:szCs w:val="32"/>
        </w:rPr>
      </w:pPr>
      <w:r>
        <w:rPr>
          <w:rFonts w:hint="eastAsia" w:ascii="仿宋" w:hAnsi="仿宋" w:eastAsia="仿宋"/>
          <w:b/>
          <w:color w:val="000000"/>
          <w:sz w:val="32"/>
          <w:szCs w:val="32"/>
        </w:rPr>
        <w:t>国内公务接待支出</w:t>
      </w:r>
      <w:r>
        <w:rPr>
          <w:rFonts w:hint="eastAsia" w:ascii="仿宋_GB2312" w:eastAsia="仿宋_GB2312"/>
          <w:color w:val="000000"/>
          <w:sz w:val="32"/>
          <w:szCs w:val="32"/>
          <w:lang w:val="en-US" w:eastAsia="zh-CN"/>
        </w:rPr>
        <w:t>17.81</w:t>
      </w:r>
      <w:r>
        <w:rPr>
          <w:rFonts w:hint="eastAsia" w:ascii="仿宋_GB2312" w:eastAsia="仿宋_GB2312"/>
          <w:color w:val="000000"/>
          <w:sz w:val="32"/>
          <w:szCs w:val="32"/>
        </w:rPr>
        <w:t>元。主要用于执行公务、开展业务活动开支的交通费、住宿费、用餐费等。国内公务接待</w:t>
      </w:r>
      <w:r>
        <w:rPr>
          <w:rFonts w:hint="eastAsia" w:ascii="仿宋_GB2312" w:eastAsia="仿宋_GB2312"/>
          <w:color w:val="000000"/>
          <w:sz w:val="32"/>
          <w:szCs w:val="32"/>
          <w:lang w:val="en-US" w:eastAsia="zh-CN"/>
        </w:rPr>
        <w:t>281</w:t>
      </w:r>
      <w:r>
        <w:rPr>
          <w:rFonts w:hint="eastAsia" w:ascii="仿宋_GB2312" w:eastAsia="仿宋_GB2312"/>
          <w:color w:val="000000"/>
          <w:sz w:val="32"/>
          <w:szCs w:val="32"/>
        </w:rPr>
        <w:t>批次，</w:t>
      </w:r>
      <w:r>
        <w:rPr>
          <w:rFonts w:hint="eastAsia" w:ascii="仿宋_GB2312" w:eastAsia="仿宋_GB2312"/>
          <w:color w:val="000000"/>
          <w:sz w:val="32"/>
          <w:szCs w:val="32"/>
          <w:lang w:val="en-US" w:eastAsia="zh-CN"/>
        </w:rPr>
        <w:t>1688</w:t>
      </w:r>
      <w:r>
        <w:rPr>
          <w:rFonts w:hint="eastAsia" w:ascii="仿宋_GB2312" w:eastAsia="仿宋_GB2312"/>
          <w:color w:val="000000"/>
          <w:sz w:val="32"/>
          <w:szCs w:val="32"/>
        </w:rPr>
        <w:t>人次（不包括陪同人员），共计支出</w:t>
      </w:r>
      <w:r>
        <w:rPr>
          <w:rFonts w:hint="eastAsia" w:ascii="仿宋_GB2312" w:eastAsia="仿宋_GB2312"/>
          <w:color w:val="000000"/>
          <w:sz w:val="32"/>
          <w:szCs w:val="32"/>
          <w:lang w:val="en-US" w:eastAsia="zh-CN"/>
        </w:rPr>
        <w:t>17.81</w:t>
      </w:r>
      <w:r>
        <w:rPr>
          <w:rFonts w:hint="eastAsia" w:ascii="仿宋_GB2312" w:eastAsia="仿宋_GB2312"/>
          <w:color w:val="000000"/>
          <w:sz w:val="32"/>
          <w:szCs w:val="32"/>
        </w:rPr>
        <w:t>万元，具体内容包括：招商引资接待费、争取项目接待费、日常工作接待费。其中：</w:t>
      </w:r>
    </w:p>
    <w:p w14:paraId="154BA893">
      <w:pPr>
        <w:spacing w:line="600" w:lineRule="exact"/>
        <w:ind w:firstLine="640"/>
        <w:rPr>
          <w:rFonts w:hint="eastAsia" w:ascii="黑体" w:eastAsia="仿宋"/>
          <w:color w:val="000000"/>
          <w:sz w:val="32"/>
          <w:szCs w:val="32"/>
          <w:lang w:eastAsia="zh-CN"/>
        </w:rPr>
      </w:pPr>
      <w:r>
        <w:rPr>
          <w:rFonts w:hint="eastAsia" w:ascii="仿宋" w:hAnsi="仿宋" w:eastAsia="仿宋"/>
          <w:b/>
          <w:color w:val="000000"/>
          <w:sz w:val="32"/>
          <w:szCs w:val="32"/>
        </w:rPr>
        <w:t>外事接待支出</w:t>
      </w:r>
      <w:r>
        <w:rPr>
          <w:rFonts w:hint="eastAsia" w:ascii="仿宋_GB2312" w:hAnsi="Times New Roman" w:eastAsia="仿宋_GB2312" w:cs="Times New Roman"/>
          <w:color w:val="000000"/>
          <w:sz w:val="32"/>
          <w:szCs w:val="32"/>
          <w:lang w:val="en-US" w:eastAsia="zh-CN"/>
        </w:rPr>
        <w:t>0万元</w:t>
      </w:r>
      <w:bookmarkStart w:id="90" w:name="_Toc15377218"/>
      <w:bookmarkStart w:id="91" w:name="_Toc15396610"/>
      <w:r>
        <w:rPr>
          <w:rFonts w:hint="eastAsia" w:ascii="仿宋_GB2312" w:eastAsia="仿宋_GB2312" w:cs="Times New Roman"/>
          <w:color w:val="000000"/>
          <w:sz w:val="32"/>
          <w:szCs w:val="32"/>
          <w:lang w:val="en-US" w:eastAsia="zh-CN"/>
        </w:rPr>
        <w:t>，</w:t>
      </w:r>
      <w:r>
        <w:rPr>
          <w:rFonts w:hint="eastAsia" w:ascii="仿宋_GB2312" w:eastAsia="仿宋_GB2312"/>
          <w:color w:val="000000"/>
          <w:sz w:val="32"/>
          <w:szCs w:val="32"/>
        </w:rPr>
        <w:t>与上年数持平</w:t>
      </w:r>
      <w:r>
        <w:rPr>
          <w:rFonts w:hint="eastAsia" w:ascii="仿宋_GB2312" w:eastAsia="仿宋_GB2312"/>
          <w:color w:val="000000"/>
          <w:sz w:val="32"/>
          <w:szCs w:val="32"/>
          <w:lang w:eastAsia="zh-CN"/>
        </w:rPr>
        <w:t>。</w:t>
      </w:r>
    </w:p>
    <w:p w14:paraId="69C09D6D">
      <w:pPr>
        <w:spacing w:line="600" w:lineRule="exact"/>
        <w:ind w:firstLine="640"/>
        <w:outlineLvl w:val="1"/>
        <w:rPr>
          <w:rStyle w:val="30"/>
          <w:rFonts w:ascii="黑体" w:hAnsi="黑体" w:eastAsia="黑体"/>
        </w:rPr>
      </w:pPr>
      <w:bookmarkStart w:id="92" w:name="_Toc13421"/>
      <w:bookmarkStart w:id="93" w:name="_Toc18550"/>
      <w:r>
        <w:rPr>
          <w:rFonts w:hint="eastAsia" w:ascii="黑体" w:eastAsia="黑体"/>
          <w:color w:val="000000"/>
          <w:sz w:val="32"/>
          <w:szCs w:val="32"/>
        </w:rPr>
        <w:t>八、</w:t>
      </w:r>
      <w:r>
        <w:rPr>
          <w:rStyle w:val="30"/>
          <w:rFonts w:hint="eastAsia" w:ascii="黑体" w:hAnsi="黑体" w:eastAsia="黑体"/>
          <w:b w:val="0"/>
        </w:rPr>
        <w:t>政府性基金预算支出决算情况说明</w:t>
      </w:r>
      <w:bookmarkEnd w:id="90"/>
      <w:bookmarkEnd w:id="91"/>
      <w:bookmarkEnd w:id="92"/>
      <w:bookmarkEnd w:id="93"/>
    </w:p>
    <w:p w14:paraId="490ACC56">
      <w:pPr>
        <w:spacing w:line="600" w:lineRule="exact"/>
        <w:ind w:firstLine="640"/>
        <w:rPr>
          <w:rFonts w:hint="default" w:ascii="仿宋_GB2312" w:eastAsia="仿宋_GB2312"/>
          <w:color w:val="000000"/>
          <w:sz w:val="32"/>
          <w:szCs w:val="32"/>
          <w:lang w:val="en-US"/>
        </w:rPr>
      </w:pPr>
      <w:r>
        <w:rPr>
          <w:rFonts w:hint="eastAsia" w:ascii="仿宋_GB2312" w:eastAsia="仿宋_GB2312"/>
          <w:color w:val="000000"/>
          <w:sz w:val="32"/>
          <w:szCs w:val="32"/>
          <w:lang w:val="en-US" w:eastAsia="zh-CN"/>
        </w:rPr>
        <w:t>2020政府性基金项目支出1589.9万元，完成预算100%。2020年政府性基金预算拨款安排“三公”经费支出0万元，年初未安排预算。</w:t>
      </w:r>
    </w:p>
    <w:p w14:paraId="5E17DDB5">
      <w:pPr>
        <w:numPr>
          <w:ilvl w:val="0"/>
          <w:numId w:val="3"/>
        </w:numPr>
        <w:spacing w:line="600" w:lineRule="exact"/>
        <w:ind w:firstLine="640"/>
        <w:outlineLvl w:val="1"/>
        <w:rPr>
          <w:rStyle w:val="30"/>
          <w:rFonts w:ascii="黑体" w:hAnsi="黑体" w:eastAsia="黑体"/>
          <w:b w:val="0"/>
        </w:rPr>
      </w:pPr>
      <w:bookmarkStart w:id="94" w:name="_Toc19985"/>
      <w:bookmarkStart w:id="95" w:name="_Toc4984"/>
      <w:bookmarkStart w:id="96" w:name="_Toc15396611"/>
      <w:bookmarkStart w:id="97" w:name="_Toc15377219"/>
      <w:r>
        <w:rPr>
          <w:rStyle w:val="30"/>
          <w:rFonts w:hint="eastAsia" w:ascii="黑体" w:hAnsi="黑体" w:eastAsia="黑体"/>
          <w:b w:val="0"/>
        </w:rPr>
        <w:t>国有资本经营预算支出决算情况说明</w:t>
      </w:r>
      <w:bookmarkEnd w:id="94"/>
      <w:bookmarkEnd w:id="95"/>
      <w:bookmarkEnd w:id="96"/>
      <w:bookmarkEnd w:id="97"/>
    </w:p>
    <w:p w14:paraId="48A7484C">
      <w:pPr>
        <w:spacing w:line="600" w:lineRule="exact"/>
        <w:ind w:firstLine="640" w:firstLineChars="200"/>
        <w:rPr>
          <w:rFonts w:hint="eastAsia" w:ascii="仿宋_GB2312" w:eastAsia="仿宋_GB2312"/>
          <w:color w:val="000000"/>
          <w:sz w:val="32"/>
          <w:szCs w:val="32"/>
        </w:rPr>
      </w:pPr>
      <w:r>
        <w:rPr>
          <w:rFonts w:ascii="仿宋_GB2312" w:eastAsia="仿宋_GB2312"/>
          <w:color w:val="000000"/>
          <w:sz w:val="32"/>
          <w:szCs w:val="32"/>
        </w:rPr>
        <w:t>2</w:t>
      </w:r>
      <w:r>
        <w:rPr>
          <w:rFonts w:hint="eastAsia" w:ascii="仿宋_GB2312" w:eastAsia="仿宋_GB2312"/>
          <w:color w:val="000000"/>
          <w:sz w:val="32"/>
          <w:szCs w:val="32"/>
          <w:lang w:val="en-US" w:eastAsia="zh-CN"/>
        </w:rPr>
        <w:t>020</w:t>
      </w:r>
      <w:r>
        <w:rPr>
          <w:rFonts w:hint="eastAsia" w:ascii="仿宋_GB2312" w:eastAsia="仿宋_GB2312"/>
          <w:color w:val="000000"/>
          <w:sz w:val="32"/>
          <w:szCs w:val="32"/>
        </w:rPr>
        <w:t>年国有资本经营预算拨款支出0万元</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年初未安排预算。</w:t>
      </w:r>
    </w:p>
    <w:p w14:paraId="5EA53356">
      <w:pPr>
        <w:spacing w:line="600" w:lineRule="exact"/>
        <w:ind w:firstLine="800" w:firstLineChars="250"/>
        <w:outlineLvl w:val="1"/>
        <w:rPr>
          <w:rStyle w:val="30"/>
          <w:rFonts w:ascii="黑体" w:hAnsi="黑体" w:eastAsia="黑体"/>
        </w:rPr>
      </w:pPr>
      <w:bookmarkStart w:id="98" w:name="_Toc18821"/>
      <w:bookmarkStart w:id="99" w:name="_Toc21127"/>
      <w:r>
        <w:rPr>
          <w:rFonts w:hint="eastAsia" w:ascii="黑体" w:hAnsi="黑体" w:eastAsia="黑体"/>
          <w:color w:val="000000"/>
          <w:sz w:val="32"/>
          <w:szCs w:val="32"/>
        </w:rPr>
        <w:t>十</w:t>
      </w:r>
      <w:r>
        <w:rPr>
          <w:rStyle w:val="30"/>
          <w:rFonts w:hint="eastAsia" w:ascii="黑体" w:hAnsi="黑体" w:eastAsia="黑体"/>
        </w:rPr>
        <w:t>、</w:t>
      </w:r>
      <w:r>
        <w:rPr>
          <w:rStyle w:val="30"/>
          <w:rFonts w:hint="eastAsia" w:ascii="黑体" w:hAnsi="黑体" w:eastAsia="黑体"/>
          <w:b w:val="0"/>
        </w:rPr>
        <w:t>其他重要事项的情况说明</w:t>
      </w:r>
      <w:bookmarkEnd w:id="98"/>
      <w:bookmarkEnd w:id="99"/>
    </w:p>
    <w:p w14:paraId="4BF5D0E5">
      <w:pPr>
        <w:spacing w:line="600" w:lineRule="exact"/>
        <w:ind w:firstLine="643" w:firstLineChars="200"/>
        <w:outlineLvl w:val="2"/>
        <w:rPr>
          <w:rFonts w:ascii="仿宋" w:hAnsi="仿宋" w:eastAsia="仿宋"/>
          <w:color w:val="000000"/>
          <w:sz w:val="32"/>
          <w:szCs w:val="32"/>
        </w:rPr>
      </w:pPr>
      <w:bookmarkStart w:id="100" w:name="_Toc15412"/>
      <w:bookmarkStart w:id="101" w:name="_Toc24210"/>
      <w:r>
        <w:rPr>
          <w:rFonts w:hint="eastAsia" w:ascii="仿宋" w:hAnsi="仿宋" w:eastAsia="仿宋"/>
          <w:b/>
          <w:color w:val="000000"/>
          <w:sz w:val="32"/>
          <w:szCs w:val="32"/>
        </w:rPr>
        <w:t>（一）机关运行经费支出情况</w:t>
      </w:r>
      <w:bookmarkEnd w:id="100"/>
      <w:bookmarkEnd w:id="101"/>
    </w:p>
    <w:p w14:paraId="42A3F07F">
      <w:pPr>
        <w:spacing w:line="600" w:lineRule="exact"/>
        <w:ind w:firstLine="640" w:firstLineChars="200"/>
        <w:rPr>
          <w:rFonts w:hint="eastAsia" w:ascii="仿宋_GB2312" w:eastAsia="仿宋_GB2312"/>
          <w:color w:val="000000" w:themeColor="text1"/>
          <w:sz w:val="32"/>
          <w:szCs w:val="32"/>
          <w:lang w:eastAsia="zh-CN"/>
          <w14:textFill>
            <w14:solidFill>
              <w14:schemeClr w14:val="tx1"/>
            </w14:solidFill>
          </w14:textFill>
        </w:rPr>
      </w:pPr>
      <w:r>
        <w:rPr>
          <w:rFonts w:ascii="仿宋_GB2312" w:eastAsia="仿宋_GB2312"/>
          <w:color w:val="000000"/>
          <w:sz w:val="32"/>
          <w:szCs w:val="32"/>
        </w:rPr>
        <w:t>20</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rPr>
        <w:t>年，</w:t>
      </w:r>
      <w:r>
        <w:rPr>
          <w:rFonts w:hint="eastAsia" w:ascii="仿宋_GB2312" w:eastAsia="仿宋_GB2312"/>
          <w:color w:val="000000"/>
          <w:sz w:val="32"/>
          <w:szCs w:val="32"/>
          <w:lang w:eastAsia="zh-CN"/>
        </w:rPr>
        <w:t>农业农村局</w:t>
      </w:r>
      <w:r>
        <w:rPr>
          <w:rFonts w:hint="eastAsia" w:ascii="仿宋_GB2312" w:eastAsia="仿宋_GB2312"/>
          <w:color w:val="000000"/>
          <w:sz w:val="32"/>
          <w:szCs w:val="32"/>
        </w:rPr>
        <w:t>机关运行经费支出</w:t>
      </w:r>
      <w:r>
        <w:rPr>
          <w:rFonts w:hint="eastAsia" w:ascii="仿宋_GB2312" w:eastAsia="仿宋_GB2312"/>
          <w:color w:val="000000"/>
          <w:sz w:val="32"/>
          <w:szCs w:val="32"/>
          <w:lang w:val="en-US" w:eastAsia="zh-CN"/>
        </w:rPr>
        <w:t>250.61万元</w:t>
      </w:r>
      <w:r>
        <w:rPr>
          <w:rFonts w:hint="eastAsia" w:ascii="仿宋_GB2312" w:eastAsia="仿宋_GB2312"/>
          <w:color w:val="000000"/>
          <w:sz w:val="32"/>
          <w:szCs w:val="32"/>
        </w:rPr>
        <w:t>330</w:t>
      </w:r>
      <w:r>
        <w:rPr>
          <w:rFonts w:hint="eastAsia" w:ascii="仿宋_GB2312" w:eastAsia="仿宋_GB2312"/>
          <w:color w:val="000000"/>
          <w:sz w:val="32"/>
          <w:szCs w:val="32"/>
          <w:lang w:val="en-US" w:eastAsia="zh-CN"/>
        </w:rPr>
        <w:t>.</w:t>
      </w:r>
      <w:r>
        <w:rPr>
          <w:rFonts w:hint="eastAsia" w:ascii="仿宋_GB2312" w:eastAsia="仿宋_GB2312"/>
          <w:color w:val="000000"/>
          <w:sz w:val="32"/>
          <w:szCs w:val="32"/>
        </w:rPr>
        <w:t>82万元，比</w:t>
      </w:r>
      <w:r>
        <w:rPr>
          <w:rFonts w:ascii="仿宋_GB2312" w:eastAsia="仿宋_GB2312"/>
          <w:color w:val="000000"/>
          <w:sz w:val="32"/>
          <w:szCs w:val="32"/>
        </w:rPr>
        <w:t>20</w:t>
      </w:r>
      <w:r>
        <w:rPr>
          <w:rFonts w:hint="eastAsia" w:ascii="仿宋_GB2312" w:eastAsia="仿宋_GB2312"/>
          <w:color w:val="000000"/>
          <w:sz w:val="32"/>
          <w:szCs w:val="32"/>
          <w:lang w:val="en-US" w:eastAsia="zh-CN"/>
        </w:rPr>
        <w:t>19</w:t>
      </w:r>
      <w:r>
        <w:rPr>
          <w:rFonts w:hint="eastAsia" w:ascii="仿宋_GB2312" w:eastAsia="仿宋_GB2312"/>
          <w:color w:val="000000"/>
          <w:sz w:val="32"/>
          <w:szCs w:val="32"/>
        </w:rPr>
        <w:t>年</w:t>
      </w:r>
      <w:r>
        <w:rPr>
          <w:rFonts w:hint="eastAsia" w:ascii="仿宋_GB2312" w:eastAsia="仿宋_GB2312"/>
          <w:color w:val="000000"/>
          <w:sz w:val="32"/>
          <w:szCs w:val="32"/>
          <w:lang w:eastAsia="zh-CN"/>
        </w:rPr>
        <w:t>减少</w:t>
      </w:r>
      <w:r>
        <w:rPr>
          <w:rFonts w:hint="eastAsia" w:ascii="仿宋_GB2312" w:eastAsia="仿宋_GB2312"/>
          <w:color w:val="000000"/>
          <w:sz w:val="32"/>
          <w:szCs w:val="32"/>
          <w:lang w:val="en-US" w:eastAsia="zh-CN"/>
        </w:rPr>
        <w:t>80.21</w:t>
      </w:r>
      <w:r>
        <w:rPr>
          <w:rFonts w:hint="eastAsia" w:ascii="仿宋_GB2312" w:eastAsia="仿宋_GB2312"/>
          <w:color w:val="000000"/>
          <w:sz w:val="32"/>
          <w:szCs w:val="32"/>
        </w:rPr>
        <w:t>万元，下降</w:t>
      </w:r>
      <w:r>
        <w:rPr>
          <w:rFonts w:hint="eastAsia" w:ascii="仿宋_GB2312" w:eastAsia="仿宋_GB2312"/>
          <w:color w:val="000000"/>
          <w:sz w:val="32"/>
          <w:szCs w:val="32"/>
          <w:lang w:val="en-US" w:eastAsia="zh-CN"/>
        </w:rPr>
        <w:t>24.25</w:t>
      </w:r>
      <w:r>
        <w:rPr>
          <w:rFonts w:ascii="仿宋_GB2312" w:eastAsia="仿宋_GB2312"/>
          <w:color w:val="000000"/>
          <w:sz w:val="32"/>
          <w:szCs w:val="32"/>
        </w:rPr>
        <w:t>%</w:t>
      </w:r>
      <w:r>
        <w:rPr>
          <w:rFonts w:hint="eastAsia" w:ascii="仿宋_GB2312" w:eastAsia="仿宋_GB2312"/>
          <w:color w:val="000000"/>
          <w:sz w:val="32"/>
          <w:szCs w:val="32"/>
        </w:rPr>
        <w:t>。</w:t>
      </w:r>
      <w:r>
        <w:rPr>
          <w:rFonts w:hint="eastAsia" w:ascii="仿宋_GB2312" w:eastAsia="仿宋_GB2312"/>
          <w:color w:val="000000" w:themeColor="text1"/>
          <w:sz w:val="32"/>
          <w:szCs w:val="32"/>
          <w14:textFill>
            <w14:solidFill>
              <w14:schemeClr w14:val="tx1"/>
            </w14:solidFill>
          </w14:textFill>
        </w:rPr>
        <w:t>主要原因是</w:t>
      </w:r>
      <w:r>
        <w:rPr>
          <w:rFonts w:hint="eastAsia" w:ascii="仿宋_GB2312" w:eastAsia="仿宋_GB2312"/>
          <w:color w:val="000000" w:themeColor="text1"/>
          <w:sz w:val="32"/>
          <w:szCs w:val="32"/>
          <w:lang w:eastAsia="zh-CN"/>
          <w14:textFill>
            <w14:solidFill>
              <w14:schemeClr w14:val="tx1"/>
            </w14:solidFill>
          </w14:textFill>
        </w:rPr>
        <w:t>严格把控日常公用经费支出。</w:t>
      </w:r>
    </w:p>
    <w:p w14:paraId="393476C5">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102" w:name="_Toc17537"/>
      <w:bookmarkStart w:id="103" w:name="_Toc6262"/>
      <w:r>
        <w:rPr>
          <w:rFonts w:hint="eastAsia" w:ascii="仿宋" w:hAnsi="仿宋" w:eastAsia="仿宋"/>
          <w:b/>
          <w:color w:val="000000"/>
          <w:sz w:val="32"/>
          <w:szCs w:val="32"/>
        </w:rPr>
        <w:t>（二）政府采购支出情况</w:t>
      </w:r>
      <w:bookmarkEnd w:id="102"/>
      <w:bookmarkEnd w:id="103"/>
    </w:p>
    <w:p w14:paraId="5F35A862">
      <w:pPr>
        <w:spacing w:line="600" w:lineRule="exact"/>
        <w:ind w:firstLine="640" w:firstLineChars="200"/>
        <w:rPr>
          <w:rFonts w:hint="eastAsia" w:ascii="仿宋_GB2312" w:eastAsia="仿宋_GB2312"/>
          <w:color w:val="000000"/>
          <w:sz w:val="32"/>
          <w:szCs w:val="32"/>
          <w:lang w:eastAsia="zh-CN"/>
        </w:rPr>
      </w:pPr>
      <w:r>
        <w:rPr>
          <w:rFonts w:ascii="仿宋_GB2312" w:eastAsia="仿宋_GB2312"/>
          <w:color w:val="000000"/>
          <w:sz w:val="32"/>
          <w:szCs w:val="32"/>
        </w:rPr>
        <w:t>20</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rPr>
        <w:t>年，</w:t>
      </w:r>
      <w:r>
        <w:rPr>
          <w:rFonts w:hint="eastAsia" w:ascii="仿宋_GB2312" w:eastAsia="仿宋_GB2312"/>
          <w:color w:val="000000"/>
          <w:sz w:val="32"/>
          <w:szCs w:val="32"/>
          <w:lang w:eastAsia="zh-CN"/>
        </w:rPr>
        <w:t>农业农村局</w:t>
      </w:r>
      <w:r>
        <w:rPr>
          <w:rFonts w:hint="eastAsia" w:ascii="仿宋_GB2312" w:eastAsia="仿宋_GB2312"/>
          <w:color w:val="000000"/>
          <w:sz w:val="32"/>
          <w:szCs w:val="32"/>
        </w:rPr>
        <w:t>政府采购支出总额</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年初未安排预算。</w:t>
      </w:r>
    </w:p>
    <w:p w14:paraId="37F7F60A">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104" w:name="_Toc863"/>
      <w:bookmarkStart w:id="105" w:name="_Toc31875"/>
      <w:r>
        <w:rPr>
          <w:rFonts w:hint="eastAsia" w:ascii="仿宋" w:hAnsi="仿宋" w:eastAsia="仿宋"/>
          <w:b/>
          <w:color w:val="000000"/>
          <w:sz w:val="32"/>
          <w:szCs w:val="32"/>
        </w:rPr>
        <w:t>（三）国有资产占有使用情况</w:t>
      </w:r>
      <w:bookmarkEnd w:id="104"/>
      <w:bookmarkEnd w:id="105"/>
    </w:p>
    <w:p w14:paraId="6843F08F">
      <w:pPr>
        <w:autoSpaceDE w:val="0"/>
        <w:autoSpaceDN w:val="0"/>
        <w:adjustRightInd w:val="0"/>
        <w:spacing w:line="600" w:lineRule="exact"/>
        <w:ind w:firstLine="640" w:firstLineChars="200"/>
        <w:jc w:val="left"/>
      </w:pPr>
      <w:r>
        <w:rPr>
          <w:rFonts w:hint="eastAsia" w:ascii="仿宋_GB2312" w:eastAsia="仿宋_GB2312"/>
          <w:color w:val="000000"/>
          <w:sz w:val="32"/>
          <w:szCs w:val="32"/>
        </w:rPr>
        <w:t>截至</w:t>
      </w:r>
      <w:r>
        <w:rPr>
          <w:rFonts w:ascii="仿宋_GB2312" w:eastAsia="仿宋_GB2312"/>
          <w:color w:val="000000"/>
          <w:sz w:val="32"/>
          <w:szCs w:val="32"/>
        </w:rPr>
        <w:t>20</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w:t>
      </w:r>
      <w:r>
        <w:rPr>
          <w:rFonts w:ascii="仿宋_GB2312" w:eastAsia="仿宋_GB2312"/>
          <w:color w:val="000000"/>
          <w:sz w:val="32"/>
          <w:szCs w:val="32"/>
        </w:rPr>
        <w:t>31</w:t>
      </w:r>
      <w:r>
        <w:rPr>
          <w:rFonts w:hint="eastAsia" w:ascii="仿宋_GB2312" w:eastAsia="仿宋_GB2312"/>
          <w:color w:val="000000"/>
          <w:sz w:val="32"/>
          <w:szCs w:val="32"/>
        </w:rPr>
        <w:t>日，</w:t>
      </w:r>
      <w:r>
        <w:rPr>
          <w:rFonts w:hint="eastAsia" w:ascii="仿宋_GB2312" w:eastAsia="仿宋_GB2312"/>
          <w:color w:val="000000"/>
          <w:sz w:val="32"/>
          <w:szCs w:val="32"/>
          <w:lang w:eastAsia="zh-CN"/>
        </w:rPr>
        <w:t>农业农村局</w:t>
      </w:r>
      <w:r>
        <w:rPr>
          <w:rFonts w:hint="eastAsia" w:ascii="仿宋_GB2312" w:eastAsia="仿宋_GB2312"/>
          <w:color w:val="000000"/>
          <w:sz w:val="32"/>
          <w:szCs w:val="32"/>
        </w:rPr>
        <w:t>共有车辆</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辆，其中：主要领导干部用车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辆、机要通信用车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辆、应急保障用车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w:t>
      </w:r>
      <w:r>
        <w:rPr>
          <w:rFonts w:hint="eastAsia" w:ascii="仿宋_GB2312" w:eastAsia="仿宋_GB2312"/>
          <w:color w:val="000000"/>
          <w:sz w:val="32"/>
          <w:szCs w:val="32"/>
          <w:lang w:eastAsia="zh-CN"/>
        </w:rPr>
        <w:t>一般执法用车</w:t>
      </w:r>
      <w:r>
        <w:rPr>
          <w:rFonts w:hint="eastAsia" w:ascii="仿宋_GB2312" w:eastAsia="仿宋_GB2312"/>
          <w:color w:val="000000"/>
          <w:sz w:val="32"/>
          <w:szCs w:val="32"/>
          <w:lang w:val="en-US" w:eastAsia="zh-CN"/>
        </w:rPr>
        <w:t>1辆，</w:t>
      </w:r>
      <w:r>
        <w:rPr>
          <w:rFonts w:hint="eastAsia" w:ascii="仿宋_GB2312" w:eastAsia="仿宋_GB2312"/>
          <w:color w:val="000000"/>
          <w:sz w:val="32"/>
          <w:szCs w:val="32"/>
        </w:rPr>
        <w:t>其他用车</w:t>
      </w:r>
      <w:r>
        <w:rPr>
          <w:rFonts w:hint="eastAsia" w:ascii="仿宋_GB2312" w:eastAsia="仿宋_GB2312"/>
          <w:color w:val="000000"/>
          <w:sz w:val="32"/>
          <w:szCs w:val="32"/>
          <w:lang w:val="en-US" w:eastAsia="zh-CN"/>
        </w:rPr>
        <w:t>3</w:t>
      </w:r>
      <w:r>
        <w:rPr>
          <w:rFonts w:hint="eastAsia" w:ascii="仿宋_GB2312" w:eastAsia="仿宋_GB2312"/>
          <w:color w:val="000000"/>
          <w:sz w:val="32"/>
          <w:szCs w:val="32"/>
        </w:rPr>
        <w:t>辆</w:t>
      </w:r>
      <w:r>
        <w:rPr>
          <w:rFonts w:hint="eastAsia" w:ascii="仿宋_GB2312" w:eastAsia="仿宋_GB2312"/>
          <w:color w:val="000000"/>
          <w:sz w:val="32"/>
          <w:szCs w:val="32"/>
          <w:lang w:eastAsia="zh-CN"/>
        </w:rPr>
        <w:t>，其他用车主要用于日常工作。</w:t>
      </w:r>
      <w:r>
        <w:rPr>
          <w:rFonts w:hint="eastAsia" w:ascii="仿宋_GB2312" w:eastAsia="仿宋_GB2312"/>
          <w:color w:val="000000" w:themeColor="text1"/>
          <w:sz w:val="32"/>
          <w:szCs w:val="32"/>
          <w14:textFill>
            <w14:solidFill>
              <w14:schemeClr w14:val="tx1"/>
            </w14:solidFill>
          </w14:textFill>
        </w:rPr>
        <w:t>单价</w:t>
      </w:r>
      <w:r>
        <w:rPr>
          <w:rFonts w:ascii="仿宋_GB2312" w:eastAsia="仿宋_GB2312"/>
          <w:color w:val="000000" w:themeColor="text1"/>
          <w:sz w:val="32"/>
          <w:szCs w:val="32"/>
          <w14:textFill>
            <w14:solidFill>
              <w14:schemeClr w14:val="tx1"/>
            </w14:solidFill>
          </w14:textFill>
        </w:rPr>
        <w:t>50</w:t>
      </w:r>
      <w:r>
        <w:rPr>
          <w:rFonts w:hint="eastAsia" w:ascii="仿宋_GB2312" w:eastAsia="仿宋_GB2312"/>
          <w:color w:val="000000" w:themeColor="text1"/>
          <w:sz w:val="32"/>
          <w:szCs w:val="32"/>
          <w14:textFill>
            <w14:solidFill>
              <w14:schemeClr w14:val="tx1"/>
            </w14:solidFill>
          </w14:textFill>
        </w:rPr>
        <w:t>万元以上通用设备</w:t>
      </w:r>
      <w:r>
        <w:rPr>
          <w:rFonts w:hint="eastAsia" w:ascii="仿宋_GB2312" w:eastAsia="仿宋_GB2312"/>
          <w:color w:val="000000" w:themeColor="text1"/>
          <w:sz w:val="32"/>
          <w:szCs w:val="32"/>
          <w:lang w:val="en-US" w:eastAsia="zh-CN"/>
          <w14:textFill>
            <w14:solidFill>
              <w14:schemeClr w14:val="tx1"/>
            </w14:solidFill>
          </w14:textFill>
        </w:rPr>
        <w:t>0</w:t>
      </w:r>
      <w:r>
        <w:rPr>
          <w:rFonts w:hint="eastAsia" w:ascii="仿宋_GB2312" w:eastAsia="仿宋_GB2312"/>
          <w:color w:val="000000" w:themeColor="text1"/>
          <w:sz w:val="32"/>
          <w:szCs w:val="32"/>
          <w14:textFill>
            <w14:solidFill>
              <w14:schemeClr w14:val="tx1"/>
            </w14:solidFill>
          </w14:textFill>
        </w:rPr>
        <w:t>台（套），单价</w:t>
      </w:r>
      <w:r>
        <w:rPr>
          <w:rFonts w:ascii="仿宋_GB2312" w:eastAsia="仿宋_GB2312"/>
          <w:color w:val="000000" w:themeColor="text1"/>
          <w:sz w:val="32"/>
          <w:szCs w:val="32"/>
          <w14:textFill>
            <w14:solidFill>
              <w14:schemeClr w14:val="tx1"/>
            </w14:solidFill>
          </w14:textFill>
        </w:rPr>
        <w:t>100</w:t>
      </w:r>
      <w:r>
        <w:rPr>
          <w:rFonts w:hint="eastAsia" w:ascii="仿宋_GB2312" w:eastAsia="仿宋_GB2312"/>
          <w:color w:val="000000"/>
          <w:sz w:val="32"/>
          <w:szCs w:val="32"/>
        </w:rPr>
        <w:t>万元以上专用设备</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台（套）。</w:t>
      </w:r>
    </w:p>
    <w:p w14:paraId="3411DA46">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106" w:name="_Toc22481"/>
      <w:bookmarkStart w:id="107" w:name="_Toc5365"/>
      <w:r>
        <w:rPr>
          <w:rFonts w:hint="eastAsia" w:ascii="仿宋" w:hAnsi="仿宋" w:eastAsia="仿宋"/>
          <w:b/>
          <w:color w:val="000000"/>
          <w:sz w:val="32"/>
          <w:szCs w:val="32"/>
        </w:rPr>
        <w:t>（四）预算绩效管理情况。</w:t>
      </w:r>
      <w:bookmarkEnd w:id="106"/>
      <w:bookmarkEnd w:id="107"/>
    </w:p>
    <w:p w14:paraId="374A26F7">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根据预算绩效管理要求，本部门（单位）在年初预算编制阶段，组织对2020年高标准农田建设项目和20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东西部协作剑门土鸡项目</w:t>
      </w:r>
      <w:r>
        <w:rPr>
          <w:rFonts w:hint="eastAsia" w:ascii="仿宋_GB2312" w:hAnsi="仿宋_GB2312" w:eastAsia="仿宋_GB2312" w:cs="仿宋_GB2312"/>
          <w:sz w:val="32"/>
          <w:szCs w:val="32"/>
        </w:rPr>
        <w:t>开展了预算事前绩效评估，对2个项目编制了绩效目标，预算执行过程中，选取2个项目开展绩效监控，年终执行完毕后，2个项目开展了绩效目标完成情况梳理填报。</w:t>
      </w:r>
    </w:p>
    <w:p w14:paraId="7FD79486">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本部门按要求对20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年部门整体支出开展绩效自评，从评价情况来看完成了项目绩效的各个指标，项目进度有序开展，项目效果显著。本部门还自行组织了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个项目绩效评价，从评价情况来看项目各项数量指标超额完成，群众满意度良好，贫困户受益人群达</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w:t>
      </w:r>
    </w:p>
    <w:p w14:paraId="0E92ED3C">
      <w:pPr>
        <w:numPr>
          <w:ilvl w:val="0"/>
          <w:numId w:val="0"/>
        </w:numPr>
        <w:spacing w:line="58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1.项目绩效目标完成情况</w:t>
      </w:r>
    </w:p>
    <w:p w14:paraId="66EAD4A9">
      <w:pPr>
        <w:numPr>
          <w:ilvl w:val="0"/>
          <w:numId w:val="0"/>
        </w:num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年度部门决算中反映“2020年高标准农田建设项目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东西部协作剑门土鸡项目</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个项目绩效目标实际完成情况。</w:t>
      </w:r>
    </w:p>
    <w:p w14:paraId="4C69F718">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eastAsia="仿宋_GB2312"/>
          <w:color w:val="000000"/>
          <w:sz w:val="32"/>
          <w:szCs w:val="32"/>
        </w:rPr>
        <w:t>2020年东西部扶贫协作甜蜜富民产业项目</w:t>
      </w:r>
      <w:r>
        <w:rPr>
          <w:rFonts w:hint="eastAsia" w:ascii="仿宋_GB2312" w:hAnsi="仿宋_GB2312" w:eastAsia="仿宋_GB2312" w:cs="仿宋_GB2312"/>
          <w:sz w:val="32"/>
          <w:szCs w:val="32"/>
        </w:rPr>
        <w:t>绩效目标完成情况综述。项目全年预算数</w:t>
      </w:r>
      <w:r>
        <w:rPr>
          <w:rFonts w:hint="eastAsia" w:eastAsia="仿宋_GB2312"/>
          <w:color w:val="000000"/>
          <w:sz w:val="32"/>
          <w:szCs w:val="32"/>
        </w:rPr>
        <w:t>380</w:t>
      </w:r>
      <w:r>
        <w:rPr>
          <w:rFonts w:hint="eastAsia" w:ascii="仿宋_GB2312" w:hAnsi="仿宋_GB2312" w:eastAsia="仿宋_GB2312" w:cs="仿宋_GB2312"/>
          <w:sz w:val="32"/>
          <w:szCs w:val="32"/>
        </w:rPr>
        <w:t>万元，执行数为</w:t>
      </w:r>
      <w:r>
        <w:rPr>
          <w:rFonts w:hint="eastAsia" w:eastAsia="仿宋_GB2312"/>
          <w:color w:val="000000"/>
          <w:sz w:val="32"/>
          <w:szCs w:val="32"/>
        </w:rPr>
        <w:t>380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%。通过项目实施，保障了项目启动资金，促进项目实施进度，都按时按量完成了项目绩效目标任务，发现的主要问题</w:t>
      </w:r>
      <w:r>
        <w:rPr>
          <w:rFonts w:hint="eastAsia" w:eastAsia="仿宋_GB2312"/>
          <w:kern w:val="0"/>
          <w:sz w:val="32"/>
          <w:szCs w:val="32"/>
          <w:lang w:bidi="ar"/>
        </w:rPr>
        <w:t>虽然全面完成了项目各项建设任务，但在实施过程中还存在部分项目村建设进度相对滞后、资料整理不规范、贫困户利益联结机制单一等问题。下一步，我们将以问题为导向，持续推动我区剑门关土鸡产业大力发展。</w:t>
      </w:r>
      <w:r>
        <w:rPr>
          <w:rFonts w:hint="eastAsia" w:eastAsia="仿宋_GB2312"/>
          <w:b/>
          <w:bCs/>
          <w:spacing w:val="9"/>
          <w:sz w:val="32"/>
          <w:szCs w:val="32"/>
        </w:rPr>
        <w:t>一是</w:t>
      </w:r>
      <w:r>
        <w:rPr>
          <w:rFonts w:eastAsia="仿宋_GB2312"/>
          <w:spacing w:val="9"/>
          <w:sz w:val="32"/>
          <w:szCs w:val="32"/>
        </w:rPr>
        <w:t>加强与四川四海三联农业开发有限公司的协调配合，加快</w:t>
      </w:r>
      <w:r>
        <w:rPr>
          <w:rFonts w:hint="eastAsia" w:eastAsia="仿宋_GB2312"/>
          <w:spacing w:val="9"/>
          <w:sz w:val="32"/>
          <w:szCs w:val="32"/>
        </w:rPr>
        <w:t>完善“龙头企业+村集体+专合社+农户”利益机制联结</w:t>
      </w:r>
      <w:r>
        <w:rPr>
          <w:rFonts w:eastAsia="仿宋_GB2312"/>
          <w:spacing w:val="9"/>
          <w:sz w:val="32"/>
          <w:szCs w:val="32"/>
        </w:rPr>
        <w:t>。</w:t>
      </w:r>
      <w:r>
        <w:rPr>
          <w:rFonts w:hint="eastAsia" w:eastAsia="仿宋_GB2312"/>
          <w:b/>
          <w:bCs/>
          <w:spacing w:val="9"/>
          <w:sz w:val="32"/>
          <w:szCs w:val="32"/>
        </w:rPr>
        <w:t>二是</w:t>
      </w:r>
      <w:r>
        <w:rPr>
          <w:rFonts w:eastAsia="仿宋_GB2312"/>
          <w:spacing w:val="9"/>
          <w:sz w:val="32"/>
          <w:szCs w:val="32"/>
        </w:rPr>
        <w:t>对项目软件资料再次清理审查，做到资料齐全、规范有序。</w:t>
      </w:r>
      <w:r>
        <w:rPr>
          <w:rFonts w:hint="eastAsia" w:eastAsia="仿宋_GB2312"/>
          <w:b/>
          <w:bCs/>
          <w:spacing w:val="9"/>
          <w:sz w:val="32"/>
          <w:szCs w:val="32"/>
        </w:rPr>
        <w:t>三是</w:t>
      </w:r>
      <w:r>
        <w:rPr>
          <w:rFonts w:eastAsia="仿宋_GB2312"/>
          <w:spacing w:val="9"/>
          <w:sz w:val="32"/>
          <w:szCs w:val="32"/>
        </w:rPr>
        <w:t>加强对东西部扶贫协作“龙泉·昭化”剑门关土鸡项目的宣传引导，提高项目</w:t>
      </w:r>
      <w:r>
        <w:rPr>
          <w:rFonts w:hint="eastAsia" w:eastAsia="仿宋_GB2312"/>
          <w:spacing w:val="9"/>
          <w:sz w:val="32"/>
          <w:szCs w:val="32"/>
        </w:rPr>
        <w:t>受益对象</w:t>
      </w:r>
      <w:r>
        <w:rPr>
          <w:rFonts w:eastAsia="仿宋_GB2312"/>
          <w:spacing w:val="9"/>
          <w:sz w:val="32"/>
          <w:szCs w:val="32"/>
        </w:rPr>
        <w:t>对项目</w:t>
      </w:r>
      <w:r>
        <w:rPr>
          <w:rFonts w:hint="eastAsia" w:eastAsia="仿宋_GB2312"/>
          <w:spacing w:val="9"/>
          <w:sz w:val="32"/>
          <w:szCs w:val="32"/>
        </w:rPr>
        <w:t>的知晓度</w:t>
      </w:r>
      <w:r>
        <w:rPr>
          <w:rFonts w:hint="eastAsia" w:ascii="Times New Roman" w:hAnsi="Times New Roman" w:eastAsia="仿宋_GB2312"/>
          <w:sz w:val="32"/>
          <w:szCs w:val="32"/>
        </w:rPr>
        <w:t>。</w:t>
      </w:r>
    </w:p>
    <w:p w14:paraId="7EB891BA">
      <w:pPr>
        <w:widowControl/>
        <w:shd w:val="clear" w:color="auto" w:fill="FFFFFF"/>
        <w:spacing w:line="480" w:lineRule="atLeast"/>
        <w:ind w:firstLine="640" w:firstLineChars="200"/>
        <w:jc w:val="left"/>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2.20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年度中央转移支付中央农业政策性保险资金项目绩效目标完成情况综述。项目全年预算数</w:t>
      </w:r>
      <w:r>
        <w:rPr>
          <w:rFonts w:hint="eastAsia" w:ascii="仿宋_GB2312" w:hAnsi="仿宋_GB2312" w:eastAsia="仿宋_GB2312" w:cs="仿宋_GB2312"/>
          <w:sz w:val="32"/>
          <w:szCs w:val="32"/>
          <w:lang w:val="en-US" w:eastAsia="zh-CN"/>
        </w:rPr>
        <w:t>617.56</w:t>
      </w:r>
      <w:r>
        <w:rPr>
          <w:rFonts w:hint="eastAsia" w:ascii="仿宋_GB2312" w:hAnsi="仿宋_GB2312" w:eastAsia="仿宋_GB2312" w:cs="仿宋_GB2312"/>
          <w:sz w:val="32"/>
          <w:szCs w:val="32"/>
        </w:rPr>
        <w:t>元，执行数</w:t>
      </w:r>
      <w:r>
        <w:rPr>
          <w:rFonts w:hint="eastAsia" w:ascii="仿宋_GB2312" w:hAnsi="仿宋_GB2312" w:eastAsia="仿宋_GB2312" w:cs="仿宋_GB2312"/>
          <w:sz w:val="32"/>
          <w:szCs w:val="32"/>
          <w:lang w:val="en-US" w:eastAsia="zh-CN"/>
        </w:rPr>
        <w:t>为</w:t>
      </w:r>
      <w:r>
        <w:rPr>
          <w:rFonts w:hint="eastAsia" w:ascii="仿宋" w:hAnsi="仿宋" w:eastAsia="仿宋" w:cs="仿宋"/>
          <w:color w:val="000000"/>
          <w:kern w:val="0"/>
          <w:sz w:val="31"/>
          <w:szCs w:val="31"/>
          <w:lang w:val="en-US" w:eastAsia="zh-CN"/>
        </w:rPr>
        <w:t>456.991</w:t>
      </w:r>
      <w:r>
        <w:rPr>
          <w:rFonts w:hint="eastAsia" w:ascii="仿宋_GB2312" w:hAnsi="仿宋_GB2312" w:eastAsia="仿宋_GB2312" w:cs="仿宋_GB2312"/>
          <w:sz w:val="32"/>
          <w:szCs w:val="32"/>
          <w:lang w:val="en-US" w:eastAsia="zh-CN"/>
        </w:rPr>
        <w:t>万元，</w:t>
      </w:r>
      <w:r>
        <w:rPr>
          <w:rFonts w:hint="eastAsia" w:ascii="仿宋_GB2312" w:hAnsi="仿宋_GB2312" w:eastAsia="仿宋_GB2312" w:cs="仿宋_GB2312"/>
          <w:sz w:val="32"/>
          <w:szCs w:val="32"/>
        </w:rPr>
        <w:t>完成预算的</w:t>
      </w:r>
      <w:r>
        <w:rPr>
          <w:rFonts w:hint="eastAsia" w:ascii="仿宋_GB2312" w:hAnsi="黑体"/>
          <w:bCs/>
          <w:sz w:val="32"/>
          <w:szCs w:val="32"/>
          <w:lang w:val="en-US" w:eastAsia="zh-CN"/>
        </w:rPr>
        <w:t>73.99</w:t>
      </w:r>
      <w:r>
        <w:rPr>
          <w:rFonts w:hint="eastAsia" w:ascii="仿宋_GB2312" w:hAnsi="仿宋_GB2312" w:eastAsia="仿宋_GB2312" w:cs="仿宋_GB2312"/>
          <w:sz w:val="32"/>
          <w:szCs w:val="32"/>
        </w:rPr>
        <w:t>%。通过项目实施，</w:t>
      </w:r>
      <w:r>
        <w:rPr>
          <w:rFonts w:hint="eastAsia" w:ascii="仿宋_GB2312" w:hAnsi="黑体" w:cs="Times New Roman"/>
          <w:bCs/>
          <w:sz w:val="32"/>
          <w:szCs w:val="32"/>
          <w:lang w:val="en-US" w:eastAsia="zh-CN"/>
        </w:rPr>
        <w:t>该</w:t>
      </w:r>
      <w:r>
        <w:rPr>
          <w:rFonts w:hint="eastAsia" w:ascii="仿宋_GB2312" w:hAnsi="仿宋_GB2312" w:eastAsia="仿宋_GB2312" w:cs="仿宋_GB2312"/>
          <w:sz w:val="32"/>
          <w:szCs w:val="32"/>
          <w:lang w:val="en-US" w:eastAsia="zh-CN"/>
        </w:rPr>
        <w:t>项目每年可增加农产品有效供给量，特别是粮食产量。水稻、小麦、玉米等粮食产量的增长，稳固了昭化区产粮大区的地位，是粮食安全的重要保障。其他农产品供给能力的增强，满足城乡居民对优质农产品的需求，促进当地农民增收。</w:t>
      </w:r>
      <w:r>
        <w:rPr>
          <w:rFonts w:hint="eastAsia" w:ascii="仿宋_GB2312" w:cs="Times New Roman"/>
          <w:kern w:val="2"/>
          <w:sz w:val="30"/>
          <w:szCs w:val="32"/>
          <w:lang w:val="en-US" w:eastAsia="zh-CN" w:bidi="ar-SA"/>
        </w:rPr>
        <w:t>我</w:t>
      </w:r>
      <w:r>
        <w:rPr>
          <w:rFonts w:hint="eastAsia" w:ascii="仿宋_GB2312" w:hAnsi="仿宋_GB2312" w:eastAsia="仿宋_GB2312" w:cs="仿宋_GB2312"/>
          <w:sz w:val="32"/>
          <w:szCs w:val="32"/>
          <w:lang w:val="en-US" w:eastAsia="zh-CN"/>
        </w:rPr>
        <w:t>局将进一步加强一是在2021年及以后年度高标准农田建设项目中重点向粮油产业倾斜。二是在项目安排上实行整村连片集中规划。三是大力推广优质粮油产业，充分发挥高标准农田效益。</w:t>
      </w:r>
    </w:p>
    <w:tbl>
      <w:tblPr>
        <w:tblStyle w:val="17"/>
        <w:tblpPr w:leftFromText="180" w:rightFromText="180" w:vertAnchor="text" w:horzAnchor="page" w:tblpXSpec="center" w:tblpY="423"/>
        <w:tblOverlap w:val="never"/>
        <w:tblW w:w="9960" w:type="dxa"/>
        <w:tblInd w:w="0" w:type="dxa"/>
        <w:tblLayout w:type="fixed"/>
        <w:tblCellMar>
          <w:top w:w="0" w:type="dxa"/>
          <w:left w:w="0" w:type="dxa"/>
          <w:bottom w:w="0" w:type="dxa"/>
          <w:right w:w="0" w:type="dxa"/>
        </w:tblCellMar>
      </w:tblPr>
      <w:tblGrid>
        <w:gridCol w:w="390"/>
        <w:gridCol w:w="1367"/>
        <w:gridCol w:w="1025"/>
        <w:gridCol w:w="2392"/>
        <w:gridCol w:w="2394"/>
        <w:gridCol w:w="2392"/>
      </w:tblGrid>
      <w:tr w14:paraId="77FF0F4F">
        <w:tblPrEx>
          <w:tblCellMar>
            <w:top w:w="0" w:type="dxa"/>
            <w:left w:w="0" w:type="dxa"/>
            <w:bottom w:w="0" w:type="dxa"/>
            <w:right w:w="0" w:type="dxa"/>
          </w:tblCellMar>
        </w:tblPrEx>
        <w:trPr>
          <w:trHeight w:val="1034" w:hRule="atLeast"/>
        </w:trPr>
        <w:tc>
          <w:tcPr>
            <w:tcW w:w="9960" w:type="dxa"/>
            <w:gridSpan w:val="6"/>
            <w:tcMar>
              <w:top w:w="15" w:type="dxa"/>
              <w:left w:w="15" w:type="dxa"/>
              <w:bottom w:w="0" w:type="dxa"/>
              <w:right w:w="15" w:type="dxa"/>
            </w:tcMar>
            <w:vAlign w:val="center"/>
          </w:tcPr>
          <w:p w14:paraId="1F94EAC5">
            <w:pPr>
              <w:pStyle w:val="28"/>
              <w:widowControl/>
              <w:ind w:left="4173" w:leftChars="1310" w:hanging="1422" w:hangingChars="395"/>
              <w:textAlignment w:val="center"/>
              <w:rPr>
                <w:rFonts w:hint="eastAsia" w:ascii="黑体" w:hAnsi="黑体" w:eastAsia="黑体" w:cs="宋体"/>
                <w:bCs/>
                <w:color w:val="000000"/>
                <w:kern w:val="0"/>
                <w:sz w:val="36"/>
                <w:szCs w:val="36"/>
                <w:lang w:eastAsia="zh-CN"/>
              </w:rPr>
            </w:pPr>
            <w:r>
              <w:rPr>
                <w:rFonts w:hint="eastAsia" w:ascii="黑体" w:hAnsi="黑体" w:eastAsia="黑体" w:cs="宋体"/>
                <w:bCs/>
                <w:color w:val="000000"/>
                <w:kern w:val="0"/>
                <w:sz w:val="36"/>
                <w:szCs w:val="36"/>
              </w:rPr>
              <w:t>项目支出绩效目标完成情况表</w:t>
            </w:r>
          </w:p>
          <w:p w14:paraId="70FB3E35">
            <w:pPr>
              <w:pStyle w:val="28"/>
              <w:widowControl/>
              <w:ind w:left="4187" w:leftChars="1994" w:firstLine="18" w:firstLineChars="5"/>
              <w:textAlignment w:val="center"/>
              <w:rPr>
                <w:rFonts w:ascii="宋体" w:hAnsi="宋体" w:cs="宋体"/>
                <w:color w:val="000000"/>
                <w:sz w:val="36"/>
                <w:szCs w:val="36"/>
              </w:rPr>
            </w:pPr>
            <w:r>
              <w:rPr>
                <w:rFonts w:hint="eastAsia" w:ascii="宋体" w:hAnsi="宋体" w:cs="宋体"/>
                <w:color w:val="000000"/>
                <w:kern w:val="0"/>
                <w:sz w:val="36"/>
                <w:szCs w:val="36"/>
              </w:rPr>
              <w:t>(20</w:t>
            </w:r>
            <w:r>
              <w:rPr>
                <w:rFonts w:hint="eastAsia" w:ascii="宋体" w:hAnsi="宋体" w:cs="宋体"/>
                <w:color w:val="000000"/>
                <w:kern w:val="0"/>
                <w:sz w:val="36"/>
                <w:szCs w:val="36"/>
                <w:lang w:val="en-US" w:eastAsia="zh-CN"/>
              </w:rPr>
              <w:t>20</w:t>
            </w:r>
            <w:r>
              <w:rPr>
                <w:rFonts w:hint="eastAsia" w:ascii="宋体" w:hAnsi="宋体" w:cs="宋体"/>
                <w:color w:val="000000"/>
                <w:kern w:val="0"/>
                <w:sz w:val="36"/>
                <w:szCs w:val="36"/>
              </w:rPr>
              <w:t>年度)</w:t>
            </w:r>
          </w:p>
        </w:tc>
      </w:tr>
      <w:tr w14:paraId="69C6CB1E">
        <w:tblPrEx>
          <w:tblCellMar>
            <w:top w:w="0" w:type="dxa"/>
            <w:left w:w="0" w:type="dxa"/>
            <w:bottom w:w="0" w:type="dxa"/>
            <w:right w:w="0" w:type="dxa"/>
          </w:tblCellMar>
        </w:tblPrEx>
        <w:trPr>
          <w:trHeight w:val="276" w:hRule="atLeast"/>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AD0A54F">
            <w:pPr>
              <w:widowControl/>
              <w:jc w:val="center"/>
              <w:textAlignment w:val="center"/>
              <w:rPr>
                <w:rFonts w:ascii="宋体" w:hAnsi="宋体" w:cs="宋体"/>
                <w:color w:val="000000"/>
                <w:sz w:val="24"/>
              </w:rPr>
            </w:pPr>
            <w:r>
              <w:rPr>
                <w:rFonts w:hint="eastAsia" w:ascii="宋体" w:hAnsi="宋体" w:cs="宋体"/>
                <w:color w:val="000000"/>
                <w:kern w:val="0"/>
                <w:sz w:val="24"/>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777160">
            <w:pPr>
              <w:widowControl/>
              <w:jc w:val="center"/>
              <w:textAlignment w:val="center"/>
              <w:rPr>
                <w:rFonts w:ascii="宋体" w:hAnsi="宋体" w:cs="宋体"/>
                <w:color w:val="000000"/>
                <w:sz w:val="24"/>
              </w:rPr>
            </w:pPr>
            <w:r>
              <w:rPr>
                <w:rFonts w:hint="eastAsia" w:ascii="宋体" w:hAnsi="宋体" w:eastAsia="宋体" w:cs="宋体"/>
                <w:color w:val="000000"/>
                <w:kern w:val="0"/>
                <w:sz w:val="24"/>
              </w:rPr>
              <w:t>20</w:t>
            </w:r>
            <w:r>
              <w:rPr>
                <w:rFonts w:hint="eastAsia" w:ascii="宋体" w:hAnsi="宋体" w:eastAsia="宋体" w:cs="宋体"/>
                <w:color w:val="000000"/>
                <w:kern w:val="0"/>
                <w:sz w:val="24"/>
                <w:lang w:val="en-US" w:eastAsia="zh-CN"/>
              </w:rPr>
              <w:t>20</w:t>
            </w:r>
            <w:r>
              <w:rPr>
                <w:rFonts w:hint="eastAsia" w:ascii="宋体" w:hAnsi="宋体" w:eastAsia="宋体" w:cs="宋体"/>
                <w:color w:val="000000"/>
                <w:kern w:val="0"/>
                <w:sz w:val="24"/>
              </w:rPr>
              <w:t>年</w:t>
            </w:r>
            <w:r>
              <w:rPr>
                <w:rFonts w:hint="eastAsia" w:ascii="宋体" w:hAnsi="宋体" w:eastAsia="宋体" w:cs="宋体"/>
                <w:color w:val="000000"/>
                <w:kern w:val="0"/>
                <w:sz w:val="24"/>
                <w:lang w:val="en-US" w:eastAsia="zh-CN"/>
              </w:rPr>
              <w:t>涉农整合资金</w:t>
            </w:r>
            <w:r>
              <w:rPr>
                <w:rFonts w:hint="eastAsia" w:ascii="宋体" w:hAnsi="宋体" w:eastAsia="宋体" w:cs="宋体"/>
                <w:color w:val="000000"/>
                <w:kern w:val="0"/>
                <w:sz w:val="24"/>
              </w:rPr>
              <w:t>高标准农田建设项目</w:t>
            </w:r>
          </w:p>
        </w:tc>
      </w:tr>
      <w:tr w14:paraId="638890EA">
        <w:tblPrEx>
          <w:tblCellMar>
            <w:top w:w="0" w:type="dxa"/>
            <w:left w:w="0" w:type="dxa"/>
            <w:bottom w:w="0" w:type="dxa"/>
            <w:right w:w="0" w:type="dxa"/>
          </w:tblCellMar>
        </w:tblPrEx>
        <w:trPr>
          <w:trHeight w:val="276" w:hRule="atLeast"/>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77BAD">
            <w:pPr>
              <w:widowControl/>
              <w:jc w:val="center"/>
              <w:textAlignment w:val="center"/>
              <w:rPr>
                <w:rFonts w:ascii="宋体" w:hAnsi="宋体" w:cs="宋体"/>
                <w:color w:val="000000"/>
                <w:sz w:val="24"/>
              </w:rPr>
            </w:pPr>
            <w:r>
              <w:rPr>
                <w:rFonts w:hint="eastAsia" w:ascii="宋体" w:hAnsi="宋体" w:cs="宋体"/>
                <w:color w:val="000000"/>
                <w:kern w:val="0"/>
                <w:sz w:val="24"/>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CF32650">
            <w:pPr>
              <w:widowControl/>
              <w:jc w:val="center"/>
              <w:textAlignment w:val="center"/>
              <w:rPr>
                <w:rFonts w:ascii="宋体" w:hAnsi="宋体" w:cs="宋体"/>
                <w:color w:val="000000"/>
                <w:kern w:val="0"/>
                <w:sz w:val="24"/>
              </w:rPr>
            </w:pPr>
            <w:r>
              <w:rPr>
                <w:rFonts w:hint="eastAsia" w:ascii="宋体" w:hAnsi="宋体" w:cs="宋体"/>
                <w:color w:val="000000"/>
                <w:kern w:val="0"/>
                <w:sz w:val="24"/>
              </w:rPr>
              <w:t>广元市昭化区农业</w:t>
            </w:r>
            <w:r>
              <w:rPr>
                <w:rFonts w:hint="eastAsia" w:ascii="宋体" w:hAnsi="宋体" w:cs="宋体"/>
                <w:color w:val="000000"/>
                <w:kern w:val="0"/>
                <w:sz w:val="24"/>
                <w:lang w:eastAsia="zh-CN"/>
              </w:rPr>
              <w:t>农村</w:t>
            </w:r>
            <w:r>
              <w:rPr>
                <w:rFonts w:hint="eastAsia" w:ascii="宋体" w:hAnsi="宋体" w:cs="宋体"/>
                <w:color w:val="000000"/>
                <w:kern w:val="0"/>
                <w:sz w:val="24"/>
              </w:rPr>
              <w:t>局</w:t>
            </w:r>
          </w:p>
        </w:tc>
      </w:tr>
      <w:tr w14:paraId="3A05D865">
        <w:tblPrEx>
          <w:tblCellMar>
            <w:top w:w="0" w:type="dxa"/>
            <w:left w:w="0" w:type="dxa"/>
            <w:bottom w:w="0" w:type="dxa"/>
            <w:right w:w="0" w:type="dxa"/>
          </w:tblCellMar>
        </w:tblPrEx>
        <w:trPr>
          <w:trHeight w:val="276" w:hRule="atLeast"/>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4EC695">
            <w:pPr>
              <w:widowControl/>
              <w:jc w:val="center"/>
              <w:textAlignment w:val="center"/>
              <w:rPr>
                <w:rFonts w:ascii="宋体" w:hAnsi="宋体" w:cs="宋体"/>
                <w:color w:val="000000"/>
                <w:sz w:val="24"/>
              </w:rPr>
            </w:pPr>
            <w:r>
              <w:rPr>
                <w:rFonts w:hint="eastAsia" w:ascii="宋体" w:hAnsi="宋体" w:cs="宋体"/>
                <w:color w:val="000000"/>
                <w:kern w:val="0"/>
                <w:sz w:val="24"/>
              </w:rPr>
              <w:t>预算执行情况(万元)</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0639B">
            <w:pPr>
              <w:widowControl/>
              <w:jc w:val="center"/>
              <w:textAlignment w:val="center"/>
              <w:rPr>
                <w:rFonts w:ascii="宋体" w:hAnsi="宋体" w:cs="宋体"/>
                <w:color w:val="000000"/>
                <w:sz w:val="24"/>
              </w:rPr>
            </w:pPr>
            <w:r>
              <w:rPr>
                <w:rFonts w:hint="eastAsia" w:ascii="宋体" w:hAnsi="宋体" w:cs="宋体"/>
                <w:color w:val="000000"/>
                <w:kern w:val="0"/>
                <w:sz w:val="24"/>
              </w:rPr>
              <w:t>预算数: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24B71F">
            <w:pPr>
              <w:spacing w:line="620" w:lineRule="exact"/>
              <w:ind w:firstLine="480" w:firstLineChars="200"/>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617.56</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72EF4B8">
            <w:pPr>
              <w:widowControl/>
              <w:jc w:val="center"/>
              <w:textAlignment w:val="center"/>
              <w:rPr>
                <w:rFonts w:ascii="宋体" w:hAnsi="宋体" w:cs="宋体"/>
                <w:color w:val="000000"/>
                <w:kern w:val="0"/>
                <w:sz w:val="24"/>
              </w:rPr>
            </w:pPr>
            <w:r>
              <w:rPr>
                <w:rFonts w:hint="eastAsia" w:ascii="宋体" w:hAnsi="宋体" w:cs="宋体"/>
                <w:color w:val="000000"/>
                <w:kern w:val="0"/>
                <w:sz w:val="24"/>
              </w:rPr>
              <w:t>执行数: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E18F1D">
            <w:pPr>
              <w:spacing w:line="620" w:lineRule="exact"/>
              <w:ind w:firstLine="480" w:firstLineChars="200"/>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456.991</w:t>
            </w:r>
          </w:p>
        </w:tc>
      </w:tr>
      <w:tr w14:paraId="2BE414E4">
        <w:tblPrEx>
          <w:tblCellMar>
            <w:top w:w="0" w:type="dxa"/>
            <w:left w:w="0" w:type="dxa"/>
            <w:bottom w:w="0" w:type="dxa"/>
            <w:right w:w="0" w:type="dxa"/>
          </w:tblCellMar>
        </w:tblPrEx>
        <w:trPr>
          <w:trHeight w:val="276"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5AA56C54">
            <w:pPr>
              <w:widowControl/>
              <w:jc w:val="left"/>
              <w:rPr>
                <w:rFonts w:ascii="宋体" w:hAns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58D2CCB">
            <w:pPr>
              <w:widowControl/>
              <w:jc w:val="center"/>
              <w:textAlignment w:val="center"/>
              <w:rPr>
                <w:rFonts w:ascii="宋体" w:hAnsi="宋体" w:cs="宋体"/>
                <w:color w:val="000000"/>
                <w:sz w:val="24"/>
              </w:rPr>
            </w:pPr>
            <w:r>
              <w:rPr>
                <w:rFonts w:hint="eastAsia" w:ascii="宋体" w:hAnsi="宋体" w:cs="宋体"/>
                <w:color w:val="000000"/>
                <w:kern w:val="0"/>
                <w:sz w:val="24"/>
              </w:rPr>
              <w:t>其中-财政拨款:</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1B5CED4">
            <w:pPr>
              <w:spacing w:line="620" w:lineRule="exact"/>
              <w:ind w:firstLine="480" w:firstLineChars="200"/>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617.56</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CA35B6">
            <w:pPr>
              <w:widowControl/>
              <w:jc w:val="center"/>
              <w:textAlignment w:val="center"/>
              <w:rPr>
                <w:rFonts w:ascii="宋体" w:hAnsi="宋体" w:cs="宋体"/>
                <w:color w:val="000000"/>
                <w:sz w:val="24"/>
              </w:rPr>
            </w:pPr>
            <w:r>
              <w:rPr>
                <w:rFonts w:hint="eastAsia" w:ascii="宋体" w:hAnsi="宋体" w:cs="宋体"/>
                <w:color w:val="000000"/>
                <w:kern w:val="0"/>
                <w:sz w:val="24"/>
              </w:rPr>
              <w:t>其中-财政拨款:</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FDE1C3">
            <w:pPr>
              <w:spacing w:line="620" w:lineRule="exact"/>
              <w:ind w:firstLine="480" w:firstLineChars="200"/>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456.991</w:t>
            </w:r>
          </w:p>
        </w:tc>
      </w:tr>
      <w:tr w14:paraId="704C4A9D">
        <w:tblPrEx>
          <w:tblCellMar>
            <w:top w:w="0" w:type="dxa"/>
            <w:left w:w="0" w:type="dxa"/>
            <w:bottom w:w="0" w:type="dxa"/>
            <w:right w:w="0" w:type="dxa"/>
          </w:tblCellMar>
        </w:tblPrEx>
        <w:trPr>
          <w:trHeight w:val="1511"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2C649221">
            <w:pPr>
              <w:widowControl/>
              <w:jc w:val="left"/>
              <w:rPr>
                <w:rFonts w:ascii="宋体" w:hAns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7D99AE">
            <w:pPr>
              <w:widowControl/>
              <w:jc w:val="center"/>
              <w:textAlignment w:val="center"/>
              <w:rPr>
                <w:rFonts w:ascii="宋体" w:hAnsi="宋体" w:cs="宋体"/>
                <w:color w:val="000000"/>
                <w:sz w:val="24"/>
              </w:rPr>
            </w:pPr>
            <w:r>
              <w:rPr>
                <w:rFonts w:hint="eastAsia" w:ascii="宋体" w:hAnsi="宋体" w:cs="宋体"/>
                <w:color w:val="000000"/>
                <w:kern w:val="0"/>
                <w:sz w:val="24"/>
              </w:rPr>
              <w:t>其它资金:</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E3938A">
            <w:pPr>
              <w:widowControl/>
              <w:jc w:val="center"/>
              <w:textAlignment w:val="center"/>
              <w:rPr>
                <w:rFonts w:hint="default" w:ascii="宋体" w:hAnsi="宋体" w:eastAsia="宋体" w:cs="宋体"/>
                <w:color w:val="000000"/>
                <w:sz w:val="24"/>
                <w:lang w:val="en-US" w:eastAsia="zh-CN"/>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FB66722">
            <w:pPr>
              <w:widowControl/>
              <w:jc w:val="center"/>
              <w:textAlignment w:val="center"/>
              <w:rPr>
                <w:rFonts w:ascii="宋体" w:hAnsi="宋体" w:cs="宋体"/>
                <w:color w:val="000000"/>
                <w:sz w:val="24"/>
              </w:rPr>
            </w:pPr>
            <w:r>
              <w:rPr>
                <w:rFonts w:hint="eastAsia" w:ascii="宋体" w:hAnsi="宋体" w:cs="宋体"/>
                <w:color w:val="000000"/>
                <w:kern w:val="0"/>
                <w:sz w:val="24"/>
              </w:rPr>
              <w:t>其它资金:</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0E1DC0">
            <w:pPr>
              <w:jc w:val="center"/>
              <w:rPr>
                <w:rFonts w:ascii="宋体" w:hAnsi="宋体" w:cs="宋体"/>
                <w:color w:val="000000"/>
                <w:sz w:val="24"/>
              </w:rPr>
            </w:pPr>
          </w:p>
        </w:tc>
      </w:tr>
      <w:tr w14:paraId="483C9733">
        <w:tblPrEx>
          <w:tblCellMar>
            <w:top w:w="0" w:type="dxa"/>
            <w:left w:w="0" w:type="dxa"/>
            <w:bottom w:w="0" w:type="dxa"/>
            <w:right w:w="0" w:type="dxa"/>
          </w:tblCellMar>
        </w:tblPrEx>
        <w:trPr>
          <w:trHeight w:val="276" w:hRule="atLeast"/>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8C3FEF">
            <w:pPr>
              <w:widowControl/>
              <w:jc w:val="center"/>
              <w:textAlignment w:val="center"/>
              <w:rPr>
                <w:rFonts w:ascii="宋体" w:hAnsi="宋体" w:cs="宋体"/>
                <w:color w:val="000000"/>
                <w:sz w:val="24"/>
              </w:rPr>
            </w:pPr>
            <w:r>
              <w:rPr>
                <w:rFonts w:hint="eastAsia" w:ascii="宋体" w:hAnsi="宋体" w:cs="宋体"/>
                <w:color w:val="000000"/>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4909E51">
            <w:pPr>
              <w:widowControl/>
              <w:jc w:val="center"/>
              <w:textAlignment w:val="center"/>
              <w:rPr>
                <w:rFonts w:ascii="宋体" w:hAnsi="宋体" w:cs="宋体"/>
                <w:color w:val="000000"/>
                <w:sz w:val="24"/>
              </w:rPr>
            </w:pPr>
            <w:r>
              <w:rPr>
                <w:rFonts w:hint="eastAsia" w:ascii="宋体" w:hAnsi="宋体" w:cs="宋体"/>
                <w:color w:val="000000"/>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9488A27">
            <w:pPr>
              <w:widowControl/>
              <w:jc w:val="center"/>
              <w:textAlignment w:val="center"/>
              <w:rPr>
                <w:rFonts w:ascii="宋体" w:hAnsi="宋体" w:cs="宋体"/>
                <w:color w:val="000000"/>
                <w:sz w:val="24"/>
              </w:rPr>
            </w:pPr>
            <w:r>
              <w:rPr>
                <w:rFonts w:hint="eastAsia" w:ascii="宋体" w:hAnsi="宋体" w:cs="宋体"/>
                <w:color w:val="000000"/>
                <w:kern w:val="0"/>
                <w:sz w:val="24"/>
              </w:rPr>
              <w:t>实际完成目标</w:t>
            </w:r>
          </w:p>
        </w:tc>
      </w:tr>
      <w:tr w14:paraId="3E4E189A">
        <w:tblPrEx>
          <w:tblCellMar>
            <w:top w:w="0" w:type="dxa"/>
            <w:left w:w="0" w:type="dxa"/>
            <w:bottom w:w="0" w:type="dxa"/>
            <w:right w:w="0" w:type="dxa"/>
          </w:tblCellMar>
        </w:tblPrEx>
        <w:trPr>
          <w:trHeight w:val="1159"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455AE3BB">
            <w:pPr>
              <w:widowControl/>
              <w:jc w:val="left"/>
              <w:rPr>
                <w:rFonts w:ascii="宋体" w:hAnsi="宋体" w:cs="宋体"/>
                <w:color w:val="000000"/>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BD87F4">
            <w:pPr>
              <w:spacing w:line="620" w:lineRule="exact"/>
              <w:ind w:firstLine="480" w:firstLineChars="200"/>
              <w:rPr>
                <w:rFonts w:hint="eastAsia"/>
                <w:sz w:val="32"/>
                <w:szCs w:val="32"/>
                <w:lang w:val="en-US" w:eastAsia="zh-CN"/>
              </w:rPr>
            </w:pPr>
            <w:r>
              <w:rPr>
                <w:rFonts w:hint="eastAsia" w:ascii="宋体" w:hAnsi="宋体" w:cs="宋体"/>
                <w:color w:val="000000"/>
                <w:sz w:val="24"/>
              </w:rPr>
              <w:t>　</w:t>
            </w:r>
            <w:r>
              <w:rPr>
                <w:rFonts w:hint="eastAsia" w:ascii="宋体" w:hAnsi="宋体" w:eastAsia="宋体" w:cs="宋体"/>
                <w:color w:val="000000"/>
                <w:kern w:val="0"/>
                <w:sz w:val="24"/>
                <w:lang w:val="en-US" w:eastAsia="zh-CN"/>
              </w:rPr>
              <w:t>在红岩镇坪林村、红寨村，昭化镇南马村，虎跳镇陈江村、雷鸣村，清水镇清凉村，元坝镇三清村、东山村、拣银岩村、五一村完成高标准农田建设2870亩。</w:t>
            </w:r>
          </w:p>
          <w:p w14:paraId="0822D705">
            <w:pPr>
              <w:widowControl/>
              <w:jc w:val="center"/>
              <w:textAlignment w:val="center"/>
              <w:rPr>
                <w:rFonts w:ascii="宋体" w:hAnsi="宋体" w:cs="宋体"/>
                <w:color w:val="000000"/>
                <w:sz w:val="24"/>
              </w:rPr>
            </w:pP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38C638A">
            <w:pPr>
              <w:spacing w:line="620" w:lineRule="exact"/>
              <w:ind w:firstLine="480" w:firstLineChars="20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在红岩镇坪林村、红寨村，昭化镇南马村，虎跳镇陈江村、雷鸣村，清水镇清凉村，元坝镇三清村、东山村、拣银岩村、五一村完成高标准农田建设2870亩。</w:t>
            </w:r>
          </w:p>
          <w:p w14:paraId="6E82DA93">
            <w:pPr>
              <w:widowControl/>
              <w:jc w:val="center"/>
              <w:textAlignment w:val="center"/>
              <w:rPr>
                <w:rFonts w:ascii="宋体" w:hAnsi="宋体" w:cs="宋体"/>
                <w:color w:val="000000"/>
                <w:sz w:val="24"/>
              </w:rPr>
            </w:pPr>
          </w:p>
        </w:tc>
      </w:tr>
      <w:tr w14:paraId="79FDEE04">
        <w:tblPrEx>
          <w:tblCellMar>
            <w:top w:w="0" w:type="dxa"/>
            <w:left w:w="0" w:type="dxa"/>
            <w:bottom w:w="0" w:type="dxa"/>
            <w:right w:w="0" w:type="dxa"/>
          </w:tblCellMar>
        </w:tblPrEx>
        <w:trPr>
          <w:trHeight w:val="1042" w:hRule="atLeast"/>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3C10900">
            <w:pPr>
              <w:widowControl/>
              <w:jc w:val="center"/>
              <w:textAlignment w:val="center"/>
              <w:rPr>
                <w:rFonts w:ascii="宋体" w:hAnsi="宋体" w:cs="宋体"/>
                <w:color w:val="000000"/>
                <w:sz w:val="24"/>
              </w:rPr>
            </w:pPr>
            <w:r>
              <w:rPr>
                <w:rFonts w:hint="eastAsia" w:ascii="宋体" w:hAns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51F10BB">
            <w:pPr>
              <w:widowControl/>
              <w:jc w:val="center"/>
              <w:textAlignment w:val="center"/>
              <w:rPr>
                <w:rFonts w:ascii="宋体" w:hAnsi="宋体" w:cs="宋体"/>
                <w:color w:val="000000"/>
                <w:sz w:val="24"/>
              </w:rPr>
            </w:pPr>
            <w:r>
              <w:rPr>
                <w:rFonts w:hint="eastAsia" w:ascii="宋体" w:hAnsi="宋体"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0C7DA5">
            <w:pPr>
              <w:widowControl/>
              <w:jc w:val="center"/>
              <w:textAlignment w:val="center"/>
              <w:rPr>
                <w:rFonts w:ascii="宋体" w:hAnsi="宋体" w:cs="宋体"/>
                <w:color w:val="000000"/>
                <w:sz w:val="24"/>
              </w:rPr>
            </w:pPr>
            <w:r>
              <w:rPr>
                <w:rFonts w:hint="eastAsia" w:ascii="宋体" w:hAnsi="宋体" w:cs="宋体"/>
                <w:color w:val="000000"/>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FE2044">
            <w:pPr>
              <w:widowControl/>
              <w:jc w:val="center"/>
              <w:textAlignment w:val="center"/>
              <w:rPr>
                <w:rFonts w:ascii="宋体" w:hAnsi="宋体" w:cs="宋体"/>
                <w:color w:val="000000"/>
                <w:sz w:val="24"/>
              </w:rPr>
            </w:pPr>
            <w:r>
              <w:rPr>
                <w:rFonts w:hint="eastAsia" w:ascii="宋体" w:hAnsi="宋体" w:cs="宋体"/>
                <w:color w:val="000000"/>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FD035C">
            <w:pPr>
              <w:widowControl/>
              <w:jc w:val="center"/>
              <w:textAlignment w:val="center"/>
              <w:rPr>
                <w:rFonts w:ascii="宋体" w:hAnsi="宋体" w:cs="宋体"/>
                <w:color w:val="000000"/>
                <w:sz w:val="24"/>
              </w:rPr>
            </w:pPr>
            <w:r>
              <w:rPr>
                <w:rFonts w:hint="eastAsia" w:ascii="宋体" w:hAnsi="宋体" w:cs="宋体"/>
                <w:color w:val="000000"/>
                <w:kern w:val="0"/>
                <w:sz w:val="24"/>
              </w:rPr>
              <w:t>预期指标值(包含数字及文字描述)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789D060">
            <w:pPr>
              <w:widowControl/>
              <w:jc w:val="center"/>
              <w:textAlignment w:val="center"/>
              <w:rPr>
                <w:rFonts w:ascii="宋体" w:hAnsi="宋体" w:cs="宋体"/>
                <w:color w:val="000000"/>
                <w:sz w:val="24"/>
              </w:rPr>
            </w:pPr>
            <w:r>
              <w:rPr>
                <w:rFonts w:hint="eastAsia" w:ascii="宋体" w:hAnsi="宋体" w:cs="宋体"/>
                <w:color w:val="000000"/>
                <w:kern w:val="0"/>
                <w:sz w:val="24"/>
              </w:rPr>
              <w:t>实际完成指标值(包含数字及文字描述)</w:t>
            </w:r>
          </w:p>
        </w:tc>
      </w:tr>
      <w:tr w14:paraId="6EB274C9">
        <w:tblPrEx>
          <w:tblCellMar>
            <w:top w:w="0" w:type="dxa"/>
            <w:left w:w="0" w:type="dxa"/>
            <w:bottom w:w="0" w:type="dxa"/>
            <w:right w:w="0" w:type="dxa"/>
          </w:tblCellMar>
        </w:tblPrEx>
        <w:trPr>
          <w:trHeight w:val="953"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33FCEC65">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5AFAB">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36D1B3">
            <w:pPr>
              <w:widowControl/>
              <w:jc w:val="center"/>
              <w:textAlignment w:val="center"/>
              <w:rPr>
                <w:rFonts w:ascii="宋体" w:hAnsi="宋体" w:cs="宋体"/>
                <w:color w:val="000000"/>
                <w:sz w:val="24"/>
              </w:rPr>
            </w:pPr>
            <w:r>
              <w:rPr>
                <w:rFonts w:hint="eastAsia" w:ascii="宋体" w:hAns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E6E04E6">
            <w:pPr>
              <w:widowControl/>
              <w:jc w:val="left"/>
              <w:textAlignment w:val="center"/>
              <w:rPr>
                <w:rFonts w:hint="eastAsia" w:ascii="宋体" w:hAnsi="宋体" w:cs="宋体"/>
                <w:color w:val="000000"/>
                <w:sz w:val="24"/>
              </w:rPr>
            </w:pPr>
            <w:r>
              <w:rPr>
                <w:rFonts w:hint="eastAsia" w:ascii="宋体" w:hAnsi="宋体" w:eastAsia="宋体" w:cs="宋体"/>
                <w:color w:val="000000"/>
                <w:sz w:val="24"/>
                <w:lang w:val="en-US" w:eastAsia="zh-CN"/>
              </w:rPr>
              <w:t>新增高标准农田面积</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27D1425">
            <w:pPr>
              <w:widowControl/>
              <w:jc w:val="left"/>
              <w:textAlignment w:val="center"/>
              <w:rPr>
                <w:rFonts w:hint="eastAsia" w:ascii="宋体" w:hAnsi="宋体" w:cs="宋体"/>
                <w:color w:val="000000"/>
                <w:sz w:val="24"/>
                <w:lang w:eastAsia="zh-CN"/>
              </w:rPr>
            </w:pPr>
            <w:r>
              <w:rPr>
                <w:rFonts w:hint="eastAsia" w:ascii="宋体" w:hAnsi="宋体" w:eastAsia="宋体" w:cs="宋体"/>
                <w:color w:val="000000"/>
                <w:sz w:val="24"/>
                <w:lang w:val="en-US" w:eastAsia="zh-CN"/>
              </w:rPr>
              <w:t>新增高标准农田面积2870亩</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8659BE6">
            <w:pPr>
              <w:widowControl/>
              <w:jc w:val="left"/>
              <w:textAlignment w:val="center"/>
              <w:rPr>
                <w:rFonts w:hint="default" w:ascii="宋体" w:hAnsi="宋体" w:cs="宋体"/>
                <w:color w:val="000000"/>
                <w:sz w:val="24"/>
                <w:lang w:val="en-US" w:eastAsia="zh-CN"/>
              </w:rPr>
            </w:pPr>
            <w:r>
              <w:rPr>
                <w:rFonts w:hint="eastAsia" w:ascii="宋体" w:hAnsi="宋体" w:eastAsia="宋体" w:cs="宋体"/>
                <w:color w:val="000000"/>
                <w:sz w:val="24"/>
                <w:lang w:val="en-US" w:eastAsia="zh-CN"/>
              </w:rPr>
              <w:t>新增高标准农田面积2870亩</w:t>
            </w:r>
          </w:p>
        </w:tc>
      </w:tr>
      <w:tr w14:paraId="5E1A47C5">
        <w:tblPrEx>
          <w:tblCellMar>
            <w:top w:w="0" w:type="dxa"/>
            <w:left w:w="0" w:type="dxa"/>
            <w:bottom w:w="0" w:type="dxa"/>
            <w:right w:w="0" w:type="dxa"/>
          </w:tblCellMar>
        </w:tblPrEx>
        <w:trPr>
          <w:trHeight w:val="702"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310C23D3">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8E541B4">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679936A">
            <w:pPr>
              <w:widowControl/>
              <w:jc w:val="center"/>
              <w:textAlignment w:val="center"/>
              <w:rPr>
                <w:rFonts w:ascii="宋体" w:hAnsi="宋体" w:cs="宋体"/>
                <w:color w:val="000000"/>
                <w:sz w:val="24"/>
              </w:rPr>
            </w:pPr>
            <w:r>
              <w:rPr>
                <w:rFonts w:hint="eastAsia" w:ascii="宋体" w:hAns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E46F3A9">
            <w:pPr>
              <w:widowControl/>
              <w:jc w:val="left"/>
              <w:textAlignment w:val="center"/>
              <w:rPr>
                <w:rFonts w:hint="eastAsia" w:ascii="宋体" w:hAnsi="宋体" w:cs="宋体"/>
                <w:color w:val="000000"/>
                <w:sz w:val="24"/>
              </w:rPr>
            </w:pPr>
            <w:r>
              <w:rPr>
                <w:rFonts w:hint="eastAsia" w:ascii="宋体" w:hAnsi="宋体" w:eastAsia="宋体" w:cs="宋体"/>
                <w:color w:val="000000"/>
                <w:sz w:val="24"/>
                <w:lang w:val="en-US" w:eastAsia="zh-CN"/>
              </w:rPr>
              <w:t>项目验收合格率（%）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0A5C90">
            <w:pPr>
              <w:widowControl/>
              <w:jc w:val="left"/>
              <w:textAlignment w:val="center"/>
              <w:rPr>
                <w:rFonts w:hint="default" w:ascii="宋体" w:hAnsi="宋体" w:cs="宋体"/>
                <w:color w:val="000000"/>
                <w:sz w:val="24"/>
                <w:lang w:val="en-US"/>
              </w:rPr>
            </w:pPr>
            <w:r>
              <w:rPr>
                <w:rFonts w:hint="eastAsia" w:ascii="宋体" w:hAnsi="宋体" w:eastAsia="宋体" w:cs="宋体"/>
                <w:color w:val="000000"/>
                <w:sz w:val="24"/>
                <w:lang w:val="en-US" w:eastAsia="zh-CN"/>
              </w:rPr>
              <w:t>项目验收合格率100%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CD5098">
            <w:pPr>
              <w:widowControl/>
              <w:jc w:val="left"/>
              <w:textAlignment w:val="center"/>
              <w:rPr>
                <w:rFonts w:hint="eastAsia" w:ascii="宋体" w:hAnsi="宋体" w:cs="宋体"/>
                <w:color w:val="000000"/>
                <w:sz w:val="24"/>
              </w:rPr>
            </w:pPr>
            <w:r>
              <w:rPr>
                <w:rFonts w:hint="eastAsia" w:ascii="宋体" w:hAnsi="宋体" w:eastAsia="宋体" w:cs="宋体"/>
                <w:color w:val="000000"/>
                <w:sz w:val="24"/>
                <w:lang w:val="en-US" w:eastAsia="zh-CN"/>
              </w:rPr>
              <w:t>项目验收合格率100%</w:t>
            </w:r>
          </w:p>
        </w:tc>
      </w:tr>
      <w:tr w14:paraId="3C0B176D">
        <w:tblPrEx>
          <w:tblCellMar>
            <w:top w:w="0" w:type="dxa"/>
            <w:left w:w="0" w:type="dxa"/>
            <w:bottom w:w="0" w:type="dxa"/>
            <w:right w:w="0" w:type="dxa"/>
          </w:tblCellMar>
        </w:tblPrEx>
        <w:trPr>
          <w:trHeight w:val="1042"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4B1DA953">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104F96">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226DCB">
            <w:pPr>
              <w:widowControl/>
              <w:jc w:val="center"/>
              <w:textAlignment w:val="center"/>
              <w:rPr>
                <w:rFonts w:ascii="宋体" w:hAnsi="宋体" w:cs="宋体"/>
                <w:color w:val="000000"/>
                <w:sz w:val="24"/>
              </w:rPr>
            </w:pPr>
            <w:r>
              <w:rPr>
                <w:rFonts w:hint="eastAsia" w:ascii="宋体" w:hAnsi="宋体" w:cs="宋体"/>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AC054">
            <w:pPr>
              <w:widowControl/>
              <w:textAlignment w:val="center"/>
              <w:rPr>
                <w:rFonts w:hint="eastAsia" w:ascii="宋体" w:hAnsi="宋体" w:eastAsia="宋体" w:cs="宋体"/>
                <w:color w:val="000000"/>
                <w:sz w:val="24"/>
              </w:rPr>
            </w:pPr>
            <w:r>
              <w:rPr>
                <w:rFonts w:hint="eastAsia" w:ascii="宋体" w:hAnsi="宋体" w:eastAsia="宋体" w:cs="宋体"/>
                <w:color w:val="000000"/>
                <w:sz w:val="24"/>
                <w:lang w:val="en-US" w:eastAsia="zh-CN"/>
              </w:rPr>
              <w:t>任务完成及时性</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1E744D">
            <w:pPr>
              <w:widowControl/>
              <w:textAlignment w:val="center"/>
              <w:rPr>
                <w:rFonts w:hint="eastAsia" w:ascii="宋体" w:hAnsi="宋体" w:eastAsia="宋体" w:cs="宋体"/>
                <w:color w:val="000000"/>
                <w:sz w:val="24"/>
              </w:rPr>
            </w:pPr>
            <w:r>
              <w:rPr>
                <w:rFonts w:hint="eastAsia" w:ascii="宋体" w:hAnsi="宋体" w:eastAsia="宋体" w:cs="宋体"/>
                <w:color w:val="000000"/>
                <w:sz w:val="24"/>
                <w:lang w:val="en-US" w:eastAsia="zh-CN"/>
              </w:rPr>
              <w:t>任务完成及时性1-2年</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AD6945C">
            <w:pPr>
              <w:widowControl/>
              <w:textAlignment w:val="center"/>
              <w:rPr>
                <w:rFonts w:hint="eastAsia" w:ascii="宋体" w:hAnsi="宋体" w:eastAsia="宋体" w:cs="宋体"/>
                <w:color w:val="000000"/>
                <w:sz w:val="24"/>
              </w:rPr>
            </w:pPr>
            <w:r>
              <w:rPr>
                <w:rFonts w:hint="eastAsia" w:ascii="宋体" w:hAnsi="宋体" w:eastAsia="宋体" w:cs="宋体"/>
                <w:color w:val="000000"/>
                <w:sz w:val="24"/>
                <w:lang w:val="en-US" w:eastAsia="zh-CN"/>
              </w:rPr>
              <w:t>任务完成及时性1-2年</w:t>
            </w:r>
          </w:p>
        </w:tc>
      </w:tr>
      <w:tr w14:paraId="0C491292">
        <w:tblPrEx>
          <w:tblCellMar>
            <w:top w:w="0" w:type="dxa"/>
            <w:left w:w="0" w:type="dxa"/>
            <w:bottom w:w="0" w:type="dxa"/>
            <w:right w:w="0" w:type="dxa"/>
          </w:tblCellMar>
        </w:tblPrEx>
        <w:trPr>
          <w:trHeight w:val="3026"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40FCF716">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F22A753">
            <w:pPr>
              <w:widowControl/>
              <w:jc w:val="center"/>
              <w:textAlignment w:val="center"/>
              <w:rPr>
                <w:rFonts w:ascii="宋体" w:hAnsi="宋体" w:cs="宋体"/>
                <w:color w:val="000000"/>
                <w:kern w:val="0"/>
                <w:sz w:val="24"/>
              </w:rPr>
            </w:pPr>
            <w:r>
              <w:rPr>
                <w:rFonts w:hint="eastAsia" w:ascii="宋体" w:hAns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D3903AC">
            <w:pPr>
              <w:widowControl/>
              <w:jc w:val="center"/>
              <w:textAlignment w:val="center"/>
              <w:rPr>
                <w:rFonts w:ascii="宋体" w:hAnsi="宋体" w:cs="宋体"/>
                <w:color w:val="000000"/>
                <w:sz w:val="24"/>
              </w:rPr>
            </w:pPr>
            <w:r>
              <w:rPr>
                <w:rFonts w:hint="eastAsia" w:ascii="宋体" w:hAnsi="宋体" w:cs="宋体"/>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82CDB3">
            <w:pPr>
              <w:widowControl/>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提质改造亩均财政资金不高于</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743A">
            <w:pPr>
              <w:widowControl/>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提质改造亩均财政资金不高于1500元</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FFBB687">
            <w:pPr>
              <w:widowControl/>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提质改造亩均财政资金不高于1500元</w:t>
            </w:r>
          </w:p>
        </w:tc>
      </w:tr>
      <w:tr w14:paraId="1C7BBF2E">
        <w:tblPrEx>
          <w:tblCellMar>
            <w:top w:w="0" w:type="dxa"/>
            <w:left w:w="0" w:type="dxa"/>
            <w:bottom w:w="0" w:type="dxa"/>
            <w:right w:w="0" w:type="dxa"/>
          </w:tblCellMar>
        </w:tblPrEx>
        <w:trPr>
          <w:trHeight w:val="1042"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2D603CF8">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8036FC">
            <w:pPr>
              <w:widowControl/>
              <w:jc w:val="center"/>
              <w:textAlignment w:val="center"/>
              <w:rPr>
                <w:rFonts w:ascii="宋体" w:hAnsi="宋体" w:cs="宋体"/>
                <w:color w:val="000000"/>
                <w:sz w:val="24"/>
              </w:rPr>
            </w:pPr>
            <w:r>
              <w:rPr>
                <w:rFonts w:hint="eastAsia" w:ascii="宋体" w:hAnsi="宋体"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6F683AD">
            <w:pPr>
              <w:widowControl/>
              <w:jc w:val="center"/>
              <w:textAlignment w:val="center"/>
              <w:rPr>
                <w:rFonts w:ascii="宋体" w:hAnsi="宋体" w:cs="宋体"/>
                <w:color w:val="000000"/>
                <w:sz w:val="24"/>
              </w:rPr>
            </w:pPr>
            <w:r>
              <w:rPr>
                <w:rFonts w:hint="eastAsia" w:ascii="宋体" w:hAnsi="宋体" w:cs="宋体"/>
                <w:color w:val="000000"/>
                <w:sz w:val="24"/>
              </w:rPr>
              <w:t>经济效益</w:t>
            </w:r>
          </w:p>
          <w:p w14:paraId="7AACA86B">
            <w:pPr>
              <w:widowControl/>
              <w:jc w:val="center"/>
              <w:textAlignment w:val="center"/>
              <w:rPr>
                <w:rFonts w:ascii="宋体" w:hAnsi="宋体" w:cs="宋体"/>
                <w:color w:val="000000"/>
                <w:sz w:val="24"/>
              </w:rPr>
            </w:pPr>
            <w:r>
              <w:rPr>
                <w:rFonts w:hint="eastAsia" w:ascii="宋体" w:hAnsi="宋体" w:cs="宋体"/>
                <w:color w:val="000000"/>
                <w:sz w:val="24"/>
              </w:rPr>
              <w:t>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E044E6E">
            <w:pPr>
              <w:widowControl/>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粮食综合生产能力</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E9EC75">
            <w:pPr>
              <w:widowControl/>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粮食综合生产能力明显提升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6467DC">
            <w:pPr>
              <w:widowControl/>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粮食综合生产能力明显提升</w:t>
            </w:r>
          </w:p>
        </w:tc>
      </w:tr>
      <w:tr w14:paraId="16980060">
        <w:tblPrEx>
          <w:tblCellMar>
            <w:top w:w="0" w:type="dxa"/>
            <w:left w:w="0" w:type="dxa"/>
            <w:bottom w:w="0" w:type="dxa"/>
            <w:right w:w="0" w:type="dxa"/>
          </w:tblCellMar>
        </w:tblPrEx>
        <w:trPr>
          <w:trHeight w:val="1042"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26DB4202">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DB9C35">
            <w:pPr>
              <w:widowControl/>
              <w:jc w:val="center"/>
              <w:textAlignment w:val="center"/>
              <w:rPr>
                <w:rFonts w:ascii="宋体" w:hAnsi="宋体" w:cs="宋体"/>
                <w:color w:val="000000"/>
                <w:sz w:val="24"/>
              </w:rPr>
            </w:pPr>
            <w:r>
              <w:rPr>
                <w:rFonts w:hint="eastAsia" w:ascii="宋体" w:hAnsi="宋体"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08D144">
            <w:pPr>
              <w:widowControl/>
              <w:jc w:val="center"/>
              <w:textAlignment w:val="center"/>
              <w:rPr>
                <w:rFonts w:ascii="宋体" w:hAnsi="宋体" w:cs="宋体"/>
                <w:color w:val="000000"/>
                <w:sz w:val="24"/>
              </w:rPr>
            </w:pPr>
            <w:r>
              <w:rPr>
                <w:rFonts w:hint="eastAsia" w:ascii="宋体" w:hAnsi="宋体" w:cs="宋体"/>
                <w:color w:val="000000"/>
                <w:sz w:val="24"/>
              </w:rPr>
              <w:t>社会效益</w:t>
            </w:r>
          </w:p>
          <w:p w14:paraId="44296BB7">
            <w:pPr>
              <w:widowControl/>
              <w:jc w:val="center"/>
              <w:textAlignment w:val="center"/>
              <w:rPr>
                <w:rFonts w:ascii="宋体" w:hAnsi="宋体" w:cs="宋体"/>
                <w:color w:val="000000"/>
                <w:sz w:val="24"/>
              </w:rPr>
            </w:pPr>
            <w:r>
              <w:rPr>
                <w:rFonts w:hint="eastAsia" w:ascii="宋体" w:hAnsi="宋体" w:cs="宋体"/>
                <w:color w:val="000000"/>
                <w:sz w:val="24"/>
              </w:rPr>
              <w:t>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AFB5D1C">
            <w:pPr>
              <w:pStyle w:val="16"/>
              <w:numPr>
                <w:ilvl w:val="0"/>
                <w:numId w:val="0"/>
              </w:num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田间道路通达度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C915AC7">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田间道路通达度≥90%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8B72401">
            <w:pPr>
              <w:pStyle w:val="16"/>
              <w:ind w:left="0" w:leftChars="0"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田间道路通达度≥90%</w:t>
            </w:r>
          </w:p>
        </w:tc>
      </w:tr>
      <w:tr w14:paraId="416F14D3">
        <w:tblPrEx>
          <w:tblCellMar>
            <w:top w:w="0" w:type="dxa"/>
            <w:left w:w="0" w:type="dxa"/>
            <w:bottom w:w="0" w:type="dxa"/>
            <w:right w:w="0" w:type="dxa"/>
          </w:tblCellMar>
        </w:tblPrEx>
        <w:trPr>
          <w:trHeight w:val="1042"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007BA399">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71FDE2E">
            <w:pPr>
              <w:widowControl/>
              <w:jc w:val="center"/>
              <w:textAlignment w:val="center"/>
              <w:rPr>
                <w:rFonts w:ascii="宋体" w:hAnsi="宋体" w:cs="宋体"/>
                <w:color w:val="000000"/>
                <w:sz w:val="24"/>
              </w:rPr>
            </w:pPr>
            <w:r>
              <w:rPr>
                <w:rFonts w:hint="eastAsia" w:ascii="宋体" w:hAnsi="宋体"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00FE85">
            <w:pPr>
              <w:widowControl/>
              <w:jc w:val="center"/>
              <w:textAlignment w:val="center"/>
              <w:rPr>
                <w:rFonts w:ascii="宋体" w:hAnsi="宋体" w:cs="宋体"/>
                <w:color w:val="000000"/>
                <w:sz w:val="24"/>
              </w:rPr>
            </w:pPr>
            <w:r>
              <w:rPr>
                <w:rFonts w:hint="eastAsia" w:ascii="宋体" w:hAnsi="宋体" w:cs="宋体"/>
                <w:color w:val="000000"/>
                <w:sz w:val="24"/>
              </w:rPr>
              <w:t>生态效益</w:t>
            </w:r>
          </w:p>
          <w:p w14:paraId="647552B2">
            <w:pPr>
              <w:widowControl/>
              <w:jc w:val="center"/>
              <w:textAlignment w:val="center"/>
              <w:rPr>
                <w:rFonts w:ascii="宋体" w:hAnsi="宋体" w:cs="宋体"/>
                <w:color w:val="000000"/>
                <w:sz w:val="24"/>
              </w:rPr>
            </w:pPr>
            <w:r>
              <w:rPr>
                <w:rFonts w:hint="eastAsia" w:ascii="宋体" w:hAnsi="宋体" w:cs="宋体"/>
                <w:color w:val="000000"/>
                <w:sz w:val="24"/>
              </w:rPr>
              <w:t>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35651B">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耕地质量</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351175B">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 xml:space="preserve"> 耕地质量逐步提升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0A43FE">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耕地质量逐步提升全</w:t>
            </w:r>
          </w:p>
        </w:tc>
      </w:tr>
      <w:tr w14:paraId="1D0A0369">
        <w:tblPrEx>
          <w:tblCellMar>
            <w:top w:w="0" w:type="dxa"/>
            <w:left w:w="0" w:type="dxa"/>
            <w:bottom w:w="0" w:type="dxa"/>
            <w:right w:w="0" w:type="dxa"/>
          </w:tblCellMar>
        </w:tblPrEx>
        <w:trPr>
          <w:trHeight w:val="1297"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7A5FE1C5">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CE6D88">
            <w:pPr>
              <w:widowControl/>
              <w:jc w:val="center"/>
              <w:textAlignment w:val="center"/>
              <w:rPr>
                <w:rFonts w:ascii="宋体" w:hAnsi="宋体" w:cs="宋体"/>
                <w:color w:val="000000"/>
                <w:sz w:val="24"/>
              </w:rPr>
            </w:pPr>
            <w:r>
              <w:rPr>
                <w:rFonts w:hint="eastAsia" w:ascii="宋体" w:hAnsi="宋体"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2612E2">
            <w:pPr>
              <w:widowControl/>
              <w:jc w:val="center"/>
              <w:textAlignment w:val="center"/>
              <w:rPr>
                <w:rFonts w:ascii="宋体" w:hAnsi="宋体" w:cs="宋体"/>
                <w:color w:val="000000"/>
                <w:sz w:val="24"/>
              </w:rPr>
            </w:pPr>
            <w:r>
              <w:rPr>
                <w:rFonts w:hint="eastAsia" w:ascii="宋体" w:hAnsi="宋体" w:cs="宋体"/>
                <w:color w:val="000000"/>
                <w:sz w:val="24"/>
              </w:rPr>
              <w:t>可持续影响指标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FA819CC">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水资源利用率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07249D">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水资源利用率逐步提升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FA0A406">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水资源利用率逐步提升</w:t>
            </w:r>
          </w:p>
        </w:tc>
      </w:tr>
      <w:tr w14:paraId="16FA1817">
        <w:tblPrEx>
          <w:tblCellMar>
            <w:top w:w="0" w:type="dxa"/>
            <w:left w:w="0" w:type="dxa"/>
            <w:bottom w:w="0" w:type="dxa"/>
            <w:right w:w="0" w:type="dxa"/>
          </w:tblCellMar>
        </w:tblPrEx>
        <w:trPr>
          <w:trHeight w:val="1297"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69DDC092">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7EE723E">
            <w:pPr>
              <w:widowControl/>
              <w:jc w:val="center"/>
              <w:textAlignment w:val="center"/>
              <w:rPr>
                <w:rFonts w:ascii="宋体" w:hAnsi="宋体" w:cs="宋体"/>
                <w:color w:val="000000"/>
                <w:kern w:val="0"/>
                <w:sz w:val="24"/>
              </w:rPr>
            </w:pPr>
            <w:r>
              <w:rPr>
                <w:rFonts w:hint="eastAsia" w:ascii="宋体" w:hAnsi="宋体" w:cs="宋体"/>
                <w:color w:val="000000"/>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6730656">
            <w:pPr>
              <w:widowControl/>
              <w:jc w:val="center"/>
              <w:textAlignment w:val="center"/>
              <w:rPr>
                <w:rFonts w:ascii="宋体" w:hAnsi="宋体" w:cs="宋体"/>
                <w:color w:val="000000"/>
                <w:sz w:val="24"/>
              </w:rPr>
            </w:pPr>
            <w:r>
              <w:rPr>
                <w:rFonts w:hint="eastAsia" w:ascii="宋体" w:hAnsi="宋体" w:cs="宋体"/>
                <w:color w:val="000000"/>
                <w:sz w:val="24"/>
              </w:rPr>
              <w:t>服务对象</w:t>
            </w:r>
          </w:p>
          <w:p w14:paraId="49A5BFF8">
            <w:pPr>
              <w:widowControl/>
              <w:jc w:val="center"/>
              <w:textAlignment w:val="center"/>
              <w:rPr>
                <w:rFonts w:ascii="宋体" w:hAnsi="宋体" w:cs="宋体"/>
                <w:color w:val="000000"/>
                <w:sz w:val="24"/>
              </w:rPr>
            </w:pPr>
            <w:r>
              <w:rPr>
                <w:rFonts w:hint="eastAsia" w:ascii="宋体" w:hAnsi="宋体" w:cs="宋体"/>
                <w:color w:val="000000"/>
                <w:sz w:val="24"/>
              </w:rPr>
              <w:t>满意度指标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B7F243">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服务对象满意度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7CB41A4">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≥90%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BF41AC">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≥90%</w:t>
            </w:r>
          </w:p>
        </w:tc>
      </w:tr>
      <w:tr w14:paraId="7F912697">
        <w:tblPrEx>
          <w:tblCellMar>
            <w:top w:w="0" w:type="dxa"/>
            <w:left w:w="0" w:type="dxa"/>
            <w:bottom w:w="0" w:type="dxa"/>
            <w:right w:w="0" w:type="dxa"/>
          </w:tblCellMar>
        </w:tblPrEx>
        <w:trPr>
          <w:trHeight w:val="1050"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68540F6E">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FF1B31E">
            <w:pPr>
              <w:widowControl/>
              <w:jc w:val="center"/>
              <w:textAlignment w:val="center"/>
              <w:rPr>
                <w:rFonts w:ascii="宋体" w:hAnsi="宋体" w:cs="宋体"/>
                <w:color w:val="000000"/>
                <w:sz w:val="24"/>
              </w:rPr>
            </w:pP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F7CC9CF">
            <w:pPr>
              <w:widowControl/>
              <w:jc w:val="center"/>
              <w:textAlignment w:val="center"/>
              <w:rPr>
                <w:rFonts w:ascii="宋体" w:hAnsi="宋体" w:cs="宋体"/>
                <w:color w:val="000000"/>
                <w:sz w:val="24"/>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04EF1BC">
            <w:pPr>
              <w:widowControl/>
              <w:jc w:val="center"/>
              <w:textAlignment w:val="center"/>
              <w:rPr>
                <w:rFonts w:ascii="宋体" w:hAnsi="宋体" w:cs="宋体"/>
                <w:color w:val="000000"/>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8886086">
            <w:pPr>
              <w:widowControl/>
              <w:jc w:val="center"/>
              <w:textAlignment w:val="center"/>
              <w:rPr>
                <w:rFonts w:ascii="宋体" w:hAnsi="宋体" w:cs="宋体"/>
                <w:color w:val="000000"/>
                <w:sz w:val="24"/>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F618B3">
            <w:pPr>
              <w:widowControl/>
              <w:jc w:val="center"/>
              <w:textAlignment w:val="center"/>
              <w:rPr>
                <w:rFonts w:ascii="宋体" w:hAnsi="宋体" w:cs="宋体"/>
                <w:color w:val="000000"/>
                <w:sz w:val="24"/>
              </w:rPr>
            </w:pPr>
          </w:p>
        </w:tc>
      </w:tr>
    </w:tbl>
    <w:p w14:paraId="04298CCE">
      <w:pPr>
        <w:rPr>
          <w:rFonts w:ascii="Calibri" w:hAnsi="Calibri"/>
        </w:rPr>
      </w:pPr>
    </w:p>
    <w:p w14:paraId="45E3F4B3">
      <w:pPr>
        <w:spacing w:line="580" w:lineRule="exact"/>
        <w:rPr>
          <w:rFonts w:ascii="仿宋_GB2312" w:hAnsi="仿宋_GB2312" w:eastAsia="仿宋_GB2312" w:cs="仿宋_GB2312"/>
          <w:sz w:val="32"/>
          <w:szCs w:val="32"/>
        </w:rPr>
      </w:pPr>
    </w:p>
    <w:p w14:paraId="56831014">
      <w:pPr>
        <w:spacing w:line="580" w:lineRule="exact"/>
        <w:ind w:left="63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2.部门绩效评价结果。</w:t>
      </w:r>
    </w:p>
    <w:p w14:paraId="7B86FB5F">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本部门按要求对20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年部门整体支出绩效评价情况开展自评，《广元市昭化区农业局20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年部门整体支出绩效评价报告》见附件。</w:t>
      </w:r>
    </w:p>
    <w:p w14:paraId="68EB89CD">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本部门自行组织对“20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东西部协作剑门土鸡项目</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涉农整合资金</w:t>
      </w:r>
      <w:r>
        <w:rPr>
          <w:rFonts w:hint="eastAsia" w:ascii="仿宋_GB2312" w:hAnsi="仿宋_GB2312" w:eastAsia="仿宋_GB2312" w:cs="仿宋_GB2312"/>
          <w:sz w:val="32"/>
          <w:szCs w:val="32"/>
        </w:rPr>
        <w:t>高标准农田建设项目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个项目开展了绩效评价，《</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东西部协作剑门土鸡项目</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年绩效评价报告》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涉农整合资金</w:t>
      </w:r>
      <w:r>
        <w:rPr>
          <w:rFonts w:hint="eastAsia" w:ascii="仿宋_GB2312" w:hAnsi="仿宋_GB2312" w:eastAsia="仿宋_GB2312" w:cs="仿宋_GB2312"/>
          <w:sz w:val="32"/>
          <w:szCs w:val="32"/>
        </w:rPr>
        <w:t>高标准农田建设项目</w:t>
      </w:r>
      <w:r>
        <w:rPr>
          <w:rFonts w:hint="eastAsia" w:ascii="仿宋_GB2312" w:hAnsi="仿宋_GB2312" w:eastAsia="仿宋_GB2312" w:cs="仿宋_GB2312"/>
          <w:sz w:val="32"/>
          <w:szCs w:val="32"/>
          <w:lang w:eastAsia="zh-CN"/>
        </w:rPr>
        <w:t>资金</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年绩效评价报告》见附件。</w:t>
      </w:r>
    </w:p>
    <w:p w14:paraId="62B57E42">
      <w:pPr>
        <w:autoSpaceDE w:val="0"/>
        <w:autoSpaceDN w:val="0"/>
        <w:adjustRightInd w:val="0"/>
        <w:spacing w:line="600" w:lineRule="exact"/>
        <w:ind w:firstLine="643" w:firstLineChars="200"/>
        <w:jc w:val="left"/>
        <w:rPr>
          <w:rFonts w:ascii="仿宋_GB2312" w:eastAsia="仿宋_GB2312"/>
          <w:b/>
          <w:color w:val="000000"/>
          <w:sz w:val="32"/>
          <w:szCs w:val="32"/>
        </w:rPr>
      </w:pPr>
    </w:p>
    <w:p w14:paraId="45694529">
      <w:pPr>
        <w:pStyle w:val="16"/>
        <w:rPr>
          <w:rFonts w:ascii="仿宋_GB2312" w:eastAsia="仿宋_GB2312"/>
          <w:b/>
          <w:color w:val="000000"/>
          <w:sz w:val="32"/>
          <w:szCs w:val="32"/>
        </w:rPr>
      </w:pPr>
    </w:p>
    <w:p w14:paraId="53E75319">
      <w:pPr>
        <w:pStyle w:val="16"/>
        <w:rPr>
          <w:rFonts w:ascii="仿宋_GB2312" w:eastAsia="仿宋_GB2312"/>
          <w:b/>
          <w:color w:val="000000"/>
          <w:sz w:val="32"/>
          <w:szCs w:val="32"/>
        </w:rPr>
      </w:pPr>
    </w:p>
    <w:p w14:paraId="45FBBD59">
      <w:pPr>
        <w:pStyle w:val="16"/>
        <w:rPr>
          <w:rFonts w:ascii="仿宋_GB2312" w:eastAsia="仿宋_GB2312"/>
          <w:b/>
          <w:color w:val="000000"/>
          <w:sz w:val="32"/>
          <w:szCs w:val="32"/>
        </w:rPr>
      </w:pPr>
    </w:p>
    <w:p w14:paraId="4840F8C5">
      <w:pPr>
        <w:pStyle w:val="16"/>
        <w:rPr>
          <w:rFonts w:ascii="仿宋_GB2312" w:eastAsia="仿宋_GB2312"/>
          <w:b/>
          <w:color w:val="000000"/>
          <w:sz w:val="32"/>
          <w:szCs w:val="32"/>
        </w:rPr>
      </w:pPr>
    </w:p>
    <w:p w14:paraId="7E9FF973">
      <w:pPr>
        <w:pStyle w:val="16"/>
        <w:ind w:left="0" w:leftChars="0" w:firstLine="0" w:firstLineChars="0"/>
        <w:rPr>
          <w:rFonts w:ascii="仿宋_GB2312" w:eastAsia="仿宋_GB2312"/>
          <w:b/>
          <w:color w:val="000000"/>
          <w:sz w:val="32"/>
          <w:szCs w:val="32"/>
        </w:rPr>
      </w:pPr>
    </w:p>
    <w:p w14:paraId="1087570A">
      <w:pPr>
        <w:pStyle w:val="16"/>
        <w:rPr>
          <w:rFonts w:ascii="仿宋_GB2312" w:eastAsia="仿宋_GB2312"/>
          <w:b/>
          <w:color w:val="000000"/>
          <w:sz w:val="32"/>
          <w:szCs w:val="32"/>
        </w:rPr>
      </w:pPr>
    </w:p>
    <w:p w14:paraId="672CA3F4">
      <w:pPr>
        <w:numPr>
          <w:ilvl w:val="0"/>
          <w:numId w:val="4"/>
        </w:numPr>
        <w:spacing w:line="600" w:lineRule="exact"/>
        <w:ind w:firstLine="663" w:firstLineChars="150"/>
        <w:jc w:val="center"/>
        <w:outlineLvl w:val="0"/>
        <w:rPr>
          <w:rStyle w:val="29"/>
          <w:rFonts w:ascii="黑体" w:hAnsi="黑体" w:eastAsia="黑体"/>
          <w:b w:val="0"/>
        </w:rPr>
      </w:pPr>
      <w:bookmarkStart w:id="108" w:name="_Toc21775"/>
      <w:bookmarkStart w:id="109" w:name="_Toc15377225"/>
      <w:bookmarkStart w:id="110" w:name="_Toc15396613"/>
      <w:bookmarkStart w:id="111" w:name="_Toc6584"/>
      <w:r>
        <w:rPr>
          <w:rFonts w:hint="eastAsia" w:ascii="黑体" w:hAnsi="黑体" w:eastAsia="黑体"/>
          <w:b/>
          <w:color w:val="000000"/>
          <w:sz w:val="44"/>
          <w:szCs w:val="44"/>
        </w:rPr>
        <w:t>名</w:t>
      </w:r>
      <w:r>
        <w:rPr>
          <w:rStyle w:val="29"/>
          <w:rFonts w:hint="eastAsia" w:ascii="黑体" w:hAnsi="黑体" w:eastAsia="黑体"/>
          <w:b w:val="0"/>
        </w:rPr>
        <w:t>词解释</w:t>
      </w:r>
      <w:bookmarkEnd w:id="108"/>
      <w:bookmarkEnd w:id="109"/>
      <w:bookmarkEnd w:id="110"/>
      <w:bookmarkEnd w:id="111"/>
    </w:p>
    <w:p w14:paraId="4A19E843">
      <w:pPr>
        <w:spacing w:line="600" w:lineRule="exact"/>
        <w:jc w:val="left"/>
        <w:rPr>
          <w:rFonts w:ascii="宋体"/>
          <w:b/>
          <w:color w:val="000000"/>
          <w:sz w:val="44"/>
          <w:szCs w:val="44"/>
        </w:rPr>
      </w:pPr>
    </w:p>
    <w:p w14:paraId="1A1A9A43">
      <w:pPr>
        <w:pStyle w:val="27"/>
        <w:numPr>
          <w:ilvl w:val="0"/>
          <w:numId w:val="5"/>
        </w:numPr>
        <w:spacing w:line="560" w:lineRule="exact"/>
        <w:ind w:firstLine="640" w:firstLineChars="200"/>
        <w:rPr>
          <w:rFonts w:ascii="仿宋_GB2312" w:eastAsia="仿宋_GB2312"/>
          <w:sz w:val="32"/>
          <w:szCs w:val="32"/>
        </w:rPr>
      </w:pPr>
      <w:r>
        <w:rPr>
          <w:rFonts w:hint="eastAsia" w:ascii="仿宋_GB2312" w:eastAsia="仿宋_GB2312"/>
          <w:sz w:val="32"/>
          <w:szCs w:val="32"/>
        </w:rPr>
        <w:t>财政拨款收入：指单位从同级财政部门取得的财政预算资</w:t>
      </w:r>
    </w:p>
    <w:p w14:paraId="5D307817">
      <w:pPr>
        <w:pStyle w:val="27"/>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年初结转和结余：指单位按有关规定结转到下年或以后年度继续使用的资金。</w:t>
      </w:r>
    </w:p>
    <w:p w14:paraId="04143597">
      <w:pPr>
        <w:pStyle w:val="16"/>
        <w:ind w:left="0" w:leftChars="0" w:firstLine="640"/>
      </w:pPr>
      <w:r>
        <w:rPr>
          <w:rFonts w:hint="eastAsia" w:ascii="仿宋_GB2312" w:eastAsia="仿宋_GB2312"/>
          <w:color w:val="000000"/>
          <w:sz w:val="32"/>
          <w:szCs w:val="32"/>
          <w:lang w:val="en-US" w:eastAsia="zh-CN"/>
        </w:rPr>
        <w:t>3.</w:t>
      </w:r>
      <w:r>
        <w:rPr>
          <w:rFonts w:hint="eastAsia" w:ascii="仿宋_GB2312" w:eastAsia="仿宋_GB2312"/>
          <w:color w:val="000000"/>
          <w:sz w:val="32"/>
          <w:szCs w:val="32"/>
        </w:rPr>
        <w:t>社会保障和就业（类）行政事业单位养老支出（款）机关事业单位基本养老保险缴费支出（项）反映机关事业单位实施养老保险制度由单位缴纳的基本养老保险费支出。</w:t>
      </w:r>
    </w:p>
    <w:p w14:paraId="23F23177">
      <w:pPr>
        <w:ind w:firstLine="640" w:firstLineChars="200"/>
        <w:rPr>
          <w:rFonts w:hint="eastAsia" w:ascii="仿宋_GB2312" w:eastAsia="仿宋_GB2312"/>
          <w:color w:val="000000"/>
          <w:sz w:val="32"/>
          <w:szCs w:val="32"/>
        </w:rPr>
      </w:pPr>
      <w:r>
        <w:rPr>
          <w:rFonts w:hint="eastAsia" w:ascii="仿宋_GB2312" w:eastAsia="仿宋_GB2312"/>
          <w:color w:val="000000"/>
          <w:sz w:val="32"/>
          <w:szCs w:val="32"/>
          <w:lang w:val="en-US" w:eastAsia="zh-CN"/>
        </w:rPr>
        <w:t>4.</w:t>
      </w:r>
      <w:r>
        <w:rPr>
          <w:rFonts w:hint="eastAsia" w:ascii="仿宋_GB2312" w:eastAsia="仿宋_GB2312"/>
          <w:color w:val="000000"/>
          <w:sz w:val="32"/>
          <w:szCs w:val="32"/>
        </w:rPr>
        <w:t>卫生健康支出（类）行政事业单位医疗（款）事业单位医疗（项）：指反映财政部门集中安排的事业单位基本医疗保险缴费经费，未参加医疗保险的事业单位的公费医疗经费，按照国家规定享受离休人员待遇的医疗经费。</w:t>
      </w:r>
    </w:p>
    <w:p w14:paraId="37F65ED8">
      <w:pPr>
        <w:pStyle w:val="2"/>
        <w:ind w:firstLine="640" w:firstLineChars="200"/>
        <w:rPr>
          <w:rFonts w:hint="eastAsia" w:eastAsia="仿宋_GB2312"/>
          <w:lang w:val="en-US" w:eastAsia="zh-CN"/>
        </w:rPr>
      </w:pPr>
      <w:r>
        <w:rPr>
          <w:rFonts w:hint="eastAsia" w:ascii="仿宋_GB2312" w:eastAsia="仿宋_GB2312"/>
          <w:color w:val="000000"/>
          <w:sz w:val="32"/>
          <w:szCs w:val="32"/>
          <w:lang w:val="en-US" w:eastAsia="zh-CN"/>
        </w:rPr>
        <w:t>5.</w:t>
      </w:r>
      <w:r>
        <w:rPr>
          <w:rFonts w:hint="eastAsia" w:ascii="仿宋_GB2312" w:eastAsia="仿宋_GB2312"/>
          <w:color w:val="000000"/>
          <w:sz w:val="32"/>
          <w:szCs w:val="32"/>
        </w:rPr>
        <w:t>卫生健康支出（类）行政事业单位医疗（款） 行政单位医疗（项）：指反映财政部门集中安排的</w:t>
      </w:r>
      <w:r>
        <w:rPr>
          <w:rFonts w:hint="eastAsia" w:ascii="仿宋_GB2312" w:eastAsia="仿宋_GB2312"/>
          <w:color w:val="000000"/>
          <w:sz w:val="32"/>
          <w:szCs w:val="32"/>
          <w:lang w:eastAsia="zh-CN"/>
        </w:rPr>
        <w:t>行政</w:t>
      </w:r>
      <w:r>
        <w:rPr>
          <w:rFonts w:hint="eastAsia" w:ascii="仿宋_GB2312" w:eastAsia="仿宋_GB2312"/>
          <w:color w:val="000000"/>
          <w:sz w:val="32"/>
          <w:szCs w:val="32"/>
        </w:rPr>
        <w:t>单位基本医疗保险缴费经费</w:t>
      </w:r>
      <w:r>
        <w:rPr>
          <w:rFonts w:hint="eastAsia" w:ascii="仿宋_GB2312" w:eastAsia="仿宋_GB2312"/>
          <w:color w:val="000000"/>
          <w:sz w:val="32"/>
          <w:szCs w:val="32"/>
          <w:lang w:eastAsia="zh-CN"/>
        </w:rPr>
        <w:t>。</w:t>
      </w:r>
    </w:p>
    <w:p w14:paraId="3033D418">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6.</w:t>
      </w:r>
      <w:r>
        <w:rPr>
          <w:rFonts w:hint="eastAsia" w:ascii="仿宋_GB2312" w:eastAsia="仿宋_GB2312"/>
          <w:color w:val="000000"/>
          <w:sz w:val="32"/>
          <w:szCs w:val="32"/>
        </w:rPr>
        <w:t>农林水（类）农业农村（款）行政运行（项）：指反映行政单位（包括实行公务管理的事业单位）的基本支出。</w:t>
      </w:r>
    </w:p>
    <w:p w14:paraId="6D4B495D">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7.</w:t>
      </w:r>
      <w:r>
        <w:rPr>
          <w:rFonts w:hint="eastAsia" w:ascii="仿宋_GB2312" w:eastAsia="仿宋_GB2312"/>
          <w:color w:val="000000"/>
          <w:sz w:val="32"/>
          <w:szCs w:val="32"/>
        </w:rPr>
        <w:t>农林水（类）农业农村（款）科技转化与推广服务（项）：指反映用于科技成果转化，农业新品种、新机具、新技术引进、实验、示范、推广及服务等方面支出。</w:t>
      </w:r>
    </w:p>
    <w:p w14:paraId="098A58EE">
      <w:pPr>
        <w:ind w:firstLine="640" w:firstLineChars="200"/>
      </w:pPr>
      <w:r>
        <w:rPr>
          <w:rFonts w:hint="eastAsia" w:ascii="仿宋_GB2312" w:eastAsia="仿宋_GB2312"/>
          <w:color w:val="000000"/>
          <w:sz w:val="32"/>
          <w:szCs w:val="32"/>
          <w:lang w:val="en-US" w:eastAsia="zh-CN"/>
        </w:rPr>
        <w:t>9.</w:t>
      </w:r>
      <w:r>
        <w:rPr>
          <w:rFonts w:hint="eastAsia" w:ascii="仿宋_GB2312" w:eastAsia="仿宋_GB2312"/>
          <w:color w:val="000000"/>
          <w:sz w:val="32"/>
          <w:szCs w:val="32"/>
        </w:rPr>
        <w:t>农林水（类）农业农村（款）病虫害控制（项）：用于病虫鼠害及疫情监测、预报、预防、控制、检疫、防疫所需的仪器、设施、药物、疫苗、种苗，疫畜（禽、鱼、植物）防治、扑杀补偿及劳务补助、菌（毒）种保藏及动植物及其产品检疫、检测等方面的支出。</w:t>
      </w:r>
    </w:p>
    <w:p w14:paraId="03EE14F3">
      <w:pPr>
        <w:numPr>
          <w:ilvl w:val="0"/>
          <w:numId w:val="0"/>
        </w:num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10.</w:t>
      </w:r>
      <w:r>
        <w:rPr>
          <w:rFonts w:hint="eastAsia" w:ascii="仿宋_GB2312" w:eastAsia="仿宋_GB2312"/>
          <w:color w:val="000000"/>
          <w:sz w:val="32"/>
          <w:szCs w:val="32"/>
        </w:rPr>
        <w:t>农林水（类）农业农村（款）防灾救灾（项）：反映对农业生产因遭受自然、生物灾害损失给予的补助，促进农业防灾增产措施补助，其他灾害导致农牧渔业生产者损失给予的补助。</w:t>
      </w:r>
    </w:p>
    <w:p w14:paraId="54B14A7E">
      <w:pPr>
        <w:numPr>
          <w:ilvl w:val="0"/>
          <w:numId w:val="6"/>
        </w:numPr>
        <w:ind w:firstLine="640" w:firstLineChars="200"/>
        <w:rPr>
          <w:rFonts w:ascii="仿宋_GB2312" w:eastAsia="仿宋_GB2312"/>
          <w:color w:val="000000"/>
          <w:sz w:val="32"/>
          <w:szCs w:val="32"/>
        </w:rPr>
      </w:pPr>
      <w:r>
        <w:rPr>
          <w:rFonts w:hint="eastAsia" w:ascii="仿宋_GB2312" w:eastAsia="仿宋_GB2312"/>
          <w:color w:val="auto"/>
          <w:sz w:val="32"/>
          <w:szCs w:val="32"/>
        </w:rPr>
        <w:t>农林水（类）</w:t>
      </w:r>
      <w:r>
        <w:rPr>
          <w:rFonts w:hint="eastAsia" w:ascii="仿宋_GB2312" w:eastAsia="仿宋_GB2312"/>
          <w:color w:val="000000"/>
          <w:sz w:val="32"/>
          <w:szCs w:val="32"/>
        </w:rPr>
        <w:t>农业</w:t>
      </w:r>
      <w:r>
        <w:rPr>
          <w:rFonts w:hint="eastAsia" w:ascii="仿宋_GB2312" w:eastAsia="仿宋_GB2312"/>
          <w:color w:val="000000"/>
          <w:sz w:val="32"/>
          <w:szCs w:val="32"/>
          <w:lang w:eastAsia="zh-CN"/>
        </w:rPr>
        <w:t>农村</w:t>
      </w:r>
      <w:r>
        <w:rPr>
          <w:rFonts w:hint="eastAsia" w:ascii="仿宋_GB2312" w:eastAsia="仿宋_GB2312"/>
          <w:color w:val="auto"/>
          <w:sz w:val="32"/>
          <w:szCs w:val="32"/>
        </w:rPr>
        <w:t>（款）农业生产发展（项）：反映</w:t>
      </w:r>
      <w:r>
        <w:rPr>
          <w:rFonts w:hint="eastAsia" w:ascii="仿宋_GB2312" w:eastAsia="仿宋_GB2312"/>
          <w:color w:val="auto"/>
          <w:sz w:val="32"/>
          <w:szCs w:val="32"/>
          <w:lang w:eastAsia="zh-CN"/>
        </w:rPr>
        <w:t>用于耕地地力保护、适度规模经营、农机购置补贴、优势特色主导产业发展、畜牧水产发展、农村一二三产业融合等方面的支出</w:t>
      </w:r>
      <w:r>
        <w:rPr>
          <w:rFonts w:hint="eastAsia" w:ascii="仿宋_GB2312" w:eastAsia="仿宋_GB2312"/>
          <w:color w:val="000000"/>
          <w:sz w:val="32"/>
          <w:szCs w:val="32"/>
        </w:rPr>
        <w:t>。</w:t>
      </w:r>
    </w:p>
    <w:p w14:paraId="3A215D9C">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auto"/>
          <w:sz w:val="32"/>
          <w:szCs w:val="32"/>
          <w:lang w:val="en-US" w:eastAsia="zh-CN"/>
        </w:rPr>
        <w:t>农林水（类）农业农村（款）农业资源保护修复与利用（项）：反映用于农业耕地保护、草原草场利用，渔业水域资源资源环境保护，农业品种改良提升，以及农业生物资源调研收集、鉴定评价、保存利用等方面的支出</w:t>
      </w:r>
      <w:r>
        <w:rPr>
          <w:rFonts w:hint="eastAsia" w:ascii="仿宋_GB2312" w:eastAsia="仿宋_GB2312"/>
          <w:color w:val="000000"/>
          <w:sz w:val="32"/>
          <w:szCs w:val="32"/>
        </w:rPr>
        <w:t>。</w:t>
      </w:r>
    </w:p>
    <w:p w14:paraId="509118F2">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000000"/>
          <w:sz w:val="32"/>
          <w:szCs w:val="32"/>
        </w:rPr>
        <w:t>农林水（类）农业农村（款）其他农业</w:t>
      </w:r>
      <w:r>
        <w:rPr>
          <w:rFonts w:hint="eastAsia" w:ascii="仿宋_GB2312" w:eastAsia="仿宋_GB2312"/>
          <w:color w:val="000000"/>
          <w:sz w:val="32"/>
          <w:szCs w:val="32"/>
          <w:lang w:eastAsia="zh-CN"/>
        </w:rPr>
        <w:t>农村</w:t>
      </w:r>
      <w:r>
        <w:rPr>
          <w:rFonts w:hint="eastAsia" w:ascii="仿宋_GB2312" w:eastAsia="仿宋_GB2312"/>
          <w:color w:val="000000"/>
          <w:sz w:val="32"/>
          <w:szCs w:val="32"/>
        </w:rPr>
        <w:t>支出（项）：反映除上述项目以外其他用于农业方面的支出。</w:t>
      </w:r>
    </w:p>
    <w:p w14:paraId="0AE9F7B8">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auto"/>
          <w:sz w:val="32"/>
          <w:szCs w:val="32"/>
          <w:lang w:val="en-US" w:eastAsia="zh-CN"/>
        </w:rPr>
        <w:t>农林水（类）农业农村（款）农田建设（项）：反映用于农田建设和田间水利相关工程建设的支出</w:t>
      </w:r>
      <w:r>
        <w:rPr>
          <w:rFonts w:hint="eastAsia" w:ascii="仿宋_GB2312" w:eastAsia="仿宋_GB2312"/>
          <w:color w:val="000000"/>
          <w:sz w:val="32"/>
          <w:szCs w:val="32"/>
        </w:rPr>
        <w:t>。</w:t>
      </w:r>
    </w:p>
    <w:p w14:paraId="36A96DD1">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auto"/>
          <w:sz w:val="32"/>
          <w:szCs w:val="32"/>
          <w:lang w:val="en-US" w:eastAsia="zh-CN"/>
        </w:rPr>
        <w:t>农林水（类）扶贫（款）其他扶贫支出（项）：反映除上述项目以外其他用于扶贫方面的支出</w:t>
      </w:r>
      <w:r>
        <w:rPr>
          <w:rFonts w:hint="eastAsia" w:ascii="仿宋_GB2312" w:eastAsia="仿宋_GB2312"/>
          <w:color w:val="000000"/>
          <w:sz w:val="32"/>
          <w:szCs w:val="32"/>
        </w:rPr>
        <w:t>。</w:t>
      </w:r>
    </w:p>
    <w:p w14:paraId="1019E416">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auto"/>
          <w:sz w:val="32"/>
          <w:szCs w:val="32"/>
          <w:lang w:val="en-US" w:eastAsia="zh-CN"/>
        </w:rPr>
        <w:t>农林水（类）农业综合开发（款）其他农村综合改革支出（项）：反映上述项目以外其他用于农村综合改革方面的支出</w:t>
      </w:r>
      <w:r>
        <w:rPr>
          <w:rFonts w:hint="eastAsia" w:ascii="仿宋_GB2312" w:eastAsia="仿宋_GB2312"/>
          <w:color w:val="000000"/>
          <w:sz w:val="32"/>
          <w:szCs w:val="32"/>
        </w:rPr>
        <w:t>。</w:t>
      </w:r>
    </w:p>
    <w:p w14:paraId="424FD38E">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auto"/>
          <w:sz w:val="32"/>
          <w:szCs w:val="32"/>
          <w:lang w:val="en-US" w:eastAsia="zh-CN"/>
        </w:rPr>
        <w:t>农林水（类）普惠金融发展支出（款）农业保险保费补贴（项）：反映对农民或农业生产经营组织投保农业保险给予的补贴</w:t>
      </w:r>
      <w:r>
        <w:rPr>
          <w:rFonts w:hint="eastAsia" w:ascii="仿宋_GB2312" w:eastAsia="仿宋_GB2312"/>
          <w:color w:val="000000"/>
          <w:sz w:val="32"/>
          <w:szCs w:val="32"/>
        </w:rPr>
        <w:t>。</w:t>
      </w:r>
    </w:p>
    <w:p w14:paraId="49AF39A6">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auto"/>
          <w:sz w:val="32"/>
          <w:szCs w:val="32"/>
          <w:lang w:val="en-US" w:eastAsia="zh-CN"/>
        </w:rPr>
        <w:t>农林水（类）农村综合改革（款）对村集体经济组织的补助（项）：反映农村税费改革后对村集体经济组织的补助支出</w:t>
      </w:r>
      <w:r>
        <w:rPr>
          <w:rFonts w:hint="eastAsia" w:ascii="仿宋_GB2312" w:eastAsia="仿宋_GB2312"/>
          <w:color w:val="000000"/>
          <w:sz w:val="32"/>
          <w:szCs w:val="32"/>
        </w:rPr>
        <w:t>。</w:t>
      </w:r>
    </w:p>
    <w:p w14:paraId="313784E3">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auto"/>
          <w:sz w:val="32"/>
          <w:szCs w:val="32"/>
          <w:lang w:val="en-US" w:eastAsia="zh-CN"/>
        </w:rPr>
        <w:t>农林水（类）目标价格补贴（款）其他目标价格补贴（项）：反映除上述项目以外的其他农产品目标价格补贴支出（稻谷补贴）</w:t>
      </w:r>
      <w:r>
        <w:rPr>
          <w:rFonts w:hint="eastAsia" w:ascii="仿宋_GB2312" w:eastAsia="仿宋_GB2312"/>
          <w:color w:val="000000"/>
          <w:sz w:val="32"/>
          <w:szCs w:val="32"/>
        </w:rPr>
        <w:t>。</w:t>
      </w:r>
    </w:p>
    <w:p w14:paraId="273385E9">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auto"/>
          <w:sz w:val="32"/>
          <w:szCs w:val="32"/>
          <w:lang w:val="en-US" w:eastAsia="zh-CN"/>
        </w:rPr>
        <w:t>农林水（类）其他农林水支出（款）其他农林水支出（项）：反映除化解债务支出以外其他用于农林水方面的支出</w:t>
      </w:r>
      <w:r>
        <w:rPr>
          <w:rFonts w:hint="eastAsia" w:ascii="仿宋_GB2312" w:eastAsia="仿宋_GB2312"/>
          <w:color w:val="000000"/>
          <w:sz w:val="32"/>
          <w:szCs w:val="32"/>
        </w:rPr>
        <w:t>。</w:t>
      </w:r>
    </w:p>
    <w:p w14:paraId="37B3C080">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auto"/>
          <w:sz w:val="32"/>
          <w:szCs w:val="32"/>
          <w:lang w:val="en-US" w:eastAsia="zh-CN"/>
        </w:rPr>
        <w:t>商业服务业（类）商业流通事务（款）其他商业流通事务支出（项）：反映除上述项目以外其他用于商业流通事务方面的支出</w:t>
      </w:r>
      <w:r>
        <w:rPr>
          <w:rFonts w:hint="eastAsia" w:ascii="仿宋_GB2312" w:eastAsia="仿宋_GB2312"/>
          <w:color w:val="000000"/>
          <w:sz w:val="32"/>
          <w:szCs w:val="32"/>
        </w:rPr>
        <w:t>。</w:t>
      </w:r>
    </w:p>
    <w:p w14:paraId="30A16CBA">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auto"/>
          <w:sz w:val="32"/>
          <w:szCs w:val="32"/>
          <w:lang w:val="en-US" w:eastAsia="zh-CN"/>
        </w:rPr>
        <w:t>住房保障（类）住房改革支出（款）住房公积金（项）：反映行政事业单位按人力资源和社会保障部、财政部规定的基本工资和津贴补贴以及规定比例为职工缴纳的住房公积金</w:t>
      </w:r>
      <w:r>
        <w:rPr>
          <w:rFonts w:hint="eastAsia" w:ascii="仿宋_GB2312" w:eastAsia="仿宋_GB2312"/>
          <w:color w:val="000000"/>
          <w:sz w:val="32"/>
          <w:szCs w:val="32"/>
        </w:rPr>
        <w:t>。</w:t>
      </w:r>
    </w:p>
    <w:p w14:paraId="4601D18E">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auto"/>
          <w:sz w:val="32"/>
          <w:szCs w:val="32"/>
          <w:lang w:val="en-US" w:eastAsia="zh-CN"/>
        </w:rPr>
        <w:t>粮油物资储备支出（类）粮油物资事务（款）其他粮油物资事务支出（项）：反映除上述项目以外其他用于粮油和物资事务方面的支出</w:t>
      </w:r>
      <w:r>
        <w:rPr>
          <w:rFonts w:hint="eastAsia" w:ascii="仿宋_GB2312" w:eastAsia="仿宋_GB2312"/>
          <w:color w:val="000000"/>
          <w:sz w:val="32"/>
          <w:szCs w:val="32"/>
        </w:rPr>
        <w:t>。</w:t>
      </w:r>
    </w:p>
    <w:p w14:paraId="24FD2496">
      <w:pPr>
        <w:ind w:firstLine="640" w:firstLineChars="200"/>
        <w:rPr>
          <w:rFonts w:hint="eastAsia" w:ascii="仿宋_GB2312" w:eastAsia="仿宋_GB2312"/>
          <w:color w:val="000000"/>
          <w:sz w:val="32"/>
          <w:szCs w:val="32"/>
          <w:lang w:eastAsia="zh-CN"/>
        </w:rPr>
      </w:pPr>
      <w:r>
        <w:rPr>
          <w:rFonts w:hint="eastAsia" w:ascii="仿宋_GB2312" w:eastAsia="仿宋_GB2312"/>
          <w:color w:val="000000"/>
          <w:sz w:val="32"/>
          <w:szCs w:val="32"/>
        </w:rPr>
        <w:t>25</w:t>
      </w:r>
      <w:r>
        <w:rPr>
          <w:rFonts w:ascii="仿宋_GB2312" w:eastAsia="仿宋_GB2312"/>
          <w:color w:val="000000"/>
          <w:sz w:val="32"/>
          <w:szCs w:val="32"/>
        </w:rPr>
        <w:t>.</w:t>
      </w:r>
      <w:r>
        <w:rPr>
          <w:rFonts w:hint="eastAsia" w:ascii="仿宋_GB2312" w:eastAsia="仿宋_GB2312"/>
          <w:color w:val="000000"/>
          <w:sz w:val="32"/>
          <w:szCs w:val="32"/>
        </w:rPr>
        <w:t>抗疫特别国债安排的支出</w:t>
      </w:r>
      <w:r>
        <w:rPr>
          <w:rFonts w:hint="eastAsia" w:ascii="仿宋_GB2312" w:eastAsia="仿宋_GB2312"/>
          <w:color w:val="auto"/>
          <w:sz w:val="32"/>
          <w:szCs w:val="32"/>
          <w:lang w:val="en-US" w:eastAsia="zh-CN"/>
        </w:rPr>
        <w:t>（类）基础设施建设（款）其他基础设施建设（项），</w:t>
      </w:r>
      <w:r>
        <w:rPr>
          <w:rFonts w:hint="eastAsia" w:ascii="仿宋_GB2312" w:eastAsia="仿宋_GB2312"/>
          <w:color w:val="000000"/>
          <w:sz w:val="32"/>
          <w:szCs w:val="32"/>
          <w:lang w:eastAsia="zh-CN"/>
        </w:rPr>
        <w:t>反映用于高标准农田巩固提升。</w:t>
      </w:r>
    </w:p>
    <w:p w14:paraId="01D67E41">
      <w:pPr>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26</w:t>
      </w:r>
      <w:r>
        <w:rPr>
          <w:rFonts w:ascii="仿宋_GB2312" w:eastAsia="仿宋_GB2312"/>
          <w:color w:val="000000"/>
          <w:sz w:val="32"/>
          <w:szCs w:val="32"/>
        </w:rPr>
        <w:t>.</w:t>
      </w:r>
      <w:r>
        <w:rPr>
          <w:rFonts w:hint="eastAsia" w:ascii="仿宋_GB2312" w:eastAsia="仿宋_GB2312"/>
          <w:color w:val="000000"/>
          <w:sz w:val="32"/>
          <w:szCs w:val="32"/>
        </w:rPr>
        <w:t>城乡社区支出</w:t>
      </w:r>
      <w:r>
        <w:rPr>
          <w:rFonts w:hint="eastAsia" w:ascii="仿宋_GB2312" w:eastAsia="仿宋_GB2312"/>
          <w:color w:val="auto"/>
          <w:sz w:val="32"/>
          <w:szCs w:val="32"/>
          <w:lang w:val="en-US" w:eastAsia="zh-CN"/>
        </w:rPr>
        <w:t>（类）</w:t>
      </w:r>
      <w:r>
        <w:rPr>
          <w:rFonts w:hint="eastAsia" w:ascii="仿宋_GB2312" w:eastAsia="仿宋_GB2312"/>
          <w:color w:val="000000"/>
          <w:sz w:val="32"/>
          <w:szCs w:val="32"/>
        </w:rPr>
        <w:t>国有土地使用权出让收入对应专项债务收入安排的支出</w:t>
      </w:r>
      <w:r>
        <w:rPr>
          <w:rFonts w:hint="eastAsia" w:ascii="仿宋_GB2312" w:eastAsia="仿宋_GB2312"/>
          <w:color w:val="auto"/>
          <w:sz w:val="32"/>
          <w:szCs w:val="32"/>
          <w:lang w:val="en-US" w:eastAsia="zh-CN"/>
        </w:rPr>
        <w:t>（款）</w:t>
      </w:r>
      <w:r>
        <w:rPr>
          <w:rFonts w:hint="eastAsia" w:ascii="仿宋_GB2312" w:eastAsia="仿宋_GB2312"/>
          <w:color w:val="000000"/>
          <w:sz w:val="32"/>
          <w:szCs w:val="32"/>
        </w:rPr>
        <w:t>其他国有土地使用权出让收入对应专项债务收入安排的支出</w:t>
      </w:r>
      <w:r>
        <w:rPr>
          <w:rFonts w:hint="eastAsia" w:ascii="仿宋_GB2312" w:eastAsia="仿宋_GB2312"/>
          <w:color w:val="auto"/>
          <w:sz w:val="32"/>
          <w:szCs w:val="32"/>
          <w:lang w:val="en-US" w:eastAsia="zh-CN"/>
        </w:rPr>
        <w:t>（项），反映用于病死畜禽集中无害化处理项目基础设施配套及场平工程补助款</w:t>
      </w:r>
      <w:r>
        <w:rPr>
          <w:rFonts w:hint="eastAsia" w:ascii="仿宋_GB2312" w:eastAsia="仿宋_GB2312"/>
          <w:color w:val="000000"/>
          <w:sz w:val="32"/>
          <w:szCs w:val="32"/>
        </w:rPr>
        <w:t>。</w:t>
      </w:r>
    </w:p>
    <w:p w14:paraId="540ABD28">
      <w:pPr>
        <w:ind w:firstLine="640" w:firstLineChars="200"/>
        <w:rPr>
          <w:rFonts w:hint="default" w:eastAsia="仿宋_GB2312"/>
          <w:lang w:val="en-US" w:eastAsia="zh-CN"/>
        </w:rPr>
      </w:pPr>
      <w:r>
        <w:rPr>
          <w:rFonts w:hint="eastAsia" w:ascii="仿宋_GB2312" w:eastAsia="仿宋_GB2312"/>
          <w:color w:val="000000"/>
          <w:sz w:val="32"/>
          <w:szCs w:val="32"/>
          <w:lang w:val="en-US" w:eastAsia="zh-CN"/>
        </w:rPr>
        <w:t>27.其他</w:t>
      </w:r>
      <w:r>
        <w:rPr>
          <w:rFonts w:hint="eastAsia" w:ascii="仿宋_GB2312" w:eastAsia="仿宋_GB2312"/>
          <w:color w:val="000000"/>
          <w:sz w:val="32"/>
          <w:szCs w:val="32"/>
          <w:lang w:eastAsia="zh-CN"/>
        </w:rPr>
        <w:t>支出</w:t>
      </w:r>
      <w:r>
        <w:rPr>
          <w:rFonts w:hint="eastAsia" w:ascii="仿宋_GB2312" w:eastAsia="仿宋_GB2312"/>
          <w:color w:val="auto"/>
          <w:sz w:val="32"/>
          <w:szCs w:val="32"/>
          <w:lang w:val="en-US" w:eastAsia="zh-CN"/>
        </w:rPr>
        <w:t>（类）</w:t>
      </w:r>
      <w:r>
        <w:rPr>
          <w:rFonts w:hint="eastAsia" w:ascii="仿宋_GB2312" w:eastAsia="仿宋_GB2312"/>
          <w:color w:val="000000"/>
          <w:sz w:val="32"/>
          <w:szCs w:val="32"/>
        </w:rPr>
        <w:t>其他支出</w:t>
      </w:r>
      <w:r>
        <w:rPr>
          <w:rFonts w:hint="eastAsia" w:ascii="仿宋_GB2312" w:eastAsia="仿宋_GB2312"/>
          <w:color w:val="auto"/>
          <w:sz w:val="32"/>
          <w:szCs w:val="32"/>
          <w:lang w:val="en-US" w:eastAsia="zh-CN"/>
        </w:rPr>
        <w:t>（款）</w:t>
      </w:r>
      <w:r>
        <w:rPr>
          <w:rFonts w:hint="eastAsia" w:ascii="仿宋_GB2312" w:eastAsia="仿宋_GB2312"/>
          <w:color w:val="000000"/>
          <w:sz w:val="32"/>
          <w:szCs w:val="32"/>
        </w:rPr>
        <w:t>其他支出</w:t>
      </w:r>
      <w:r>
        <w:rPr>
          <w:rFonts w:hint="eastAsia" w:ascii="仿宋_GB2312" w:eastAsia="仿宋_GB2312"/>
          <w:color w:val="auto"/>
          <w:sz w:val="32"/>
          <w:szCs w:val="32"/>
          <w:lang w:val="en-US" w:eastAsia="zh-CN"/>
        </w:rPr>
        <w:t>（项），反映用于乡村振兴“大比武”考核定向财力补助</w:t>
      </w:r>
      <w:r>
        <w:rPr>
          <w:rFonts w:hint="eastAsia" w:ascii="仿宋_GB2312" w:eastAsia="仿宋_GB2312"/>
          <w:color w:val="000000"/>
          <w:sz w:val="32"/>
          <w:szCs w:val="32"/>
        </w:rPr>
        <w:t>。</w:t>
      </w:r>
    </w:p>
    <w:p w14:paraId="0FF84422">
      <w:pPr>
        <w:ind w:firstLine="640" w:firstLineChars="200"/>
        <w:rPr>
          <w:rFonts w:ascii="仿宋_GB2312" w:eastAsia="仿宋_GB2312"/>
          <w:color w:val="000000"/>
          <w:sz w:val="32"/>
          <w:szCs w:val="32"/>
        </w:rPr>
      </w:pPr>
      <w:r>
        <w:rPr>
          <w:rFonts w:hint="eastAsia" w:ascii="仿宋_GB2312" w:eastAsia="仿宋_GB2312"/>
          <w:color w:val="000000"/>
          <w:sz w:val="32"/>
          <w:szCs w:val="32"/>
        </w:rPr>
        <w:t>2</w:t>
      </w:r>
      <w:r>
        <w:rPr>
          <w:rFonts w:hint="eastAsia" w:ascii="仿宋_GB2312" w:eastAsia="仿宋_GB2312"/>
          <w:color w:val="000000"/>
          <w:sz w:val="32"/>
          <w:szCs w:val="32"/>
          <w:lang w:val="en-US" w:eastAsia="zh-CN"/>
        </w:rPr>
        <w:t>8</w:t>
      </w:r>
      <w:r>
        <w:rPr>
          <w:rFonts w:ascii="仿宋_GB2312" w:eastAsia="仿宋_GB2312"/>
          <w:color w:val="000000"/>
          <w:sz w:val="32"/>
          <w:szCs w:val="32"/>
        </w:rPr>
        <w:t>.</w:t>
      </w:r>
      <w:r>
        <w:rPr>
          <w:rFonts w:hint="eastAsia" w:ascii="仿宋_GB2312" w:eastAsia="仿宋_GB2312"/>
          <w:color w:val="000000"/>
          <w:sz w:val="32"/>
          <w:szCs w:val="32"/>
        </w:rPr>
        <w:t>基本支出：指为保障机构正常运转、完成日常工作任务而发生的人员支出和公用支出。</w:t>
      </w:r>
    </w:p>
    <w:p w14:paraId="7C198A7A">
      <w:pPr>
        <w:ind w:firstLine="640" w:firstLineChars="200"/>
        <w:rPr>
          <w:rFonts w:ascii="仿宋_GB2312" w:eastAsia="仿宋_GB2312"/>
          <w:color w:val="000000"/>
          <w:sz w:val="32"/>
          <w:szCs w:val="32"/>
        </w:rPr>
      </w:pPr>
      <w:r>
        <w:rPr>
          <w:rFonts w:ascii="仿宋_GB2312" w:eastAsia="仿宋_GB2312"/>
          <w:color w:val="000000"/>
          <w:sz w:val="32"/>
          <w:szCs w:val="32"/>
        </w:rPr>
        <w:t>2</w:t>
      </w:r>
      <w:r>
        <w:rPr>
          <w:rFonts w:hint="eastAsia" w:ascii="仿宋_GB2312" w:eastAsia="仿宋_GB2312"/>
          <w:color w:val="000000"/>
          <w:sz w:val="32"/>
          <w:szCs w:val="32"/>
          <w:lang w:val="en-US" w:eastAsia="zh-CN"/>
        </w:rPr>
        <w:t>9</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14:paraId="7520746B">
      <w:pPr>
        <w:pStyle w:val="27"/>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30</w:t>
      </w:r>
      <w:r>
        <w:rPr>
          <w:rFonts w:ascii="仿宋_GB2312" w:eastAsia="仿宋_GB2312"/>
          <w:color w:val="000000"/>
          <w:sz w:val="32"/>
          <w:szCs w:val="32"/>
        </w:rPr>
        <w:t>.</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7478E3FD">
      <w:pPr>
        <w:pStyle w:val="27"/>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lang w:val="en-US" w:eastAsia="zh-CN"/>
        </w:rPr>
        <w:t>1</w:t>
      </w:r>
      <w:r>
        <w:rPr>
          <w:rFonts w:ascii="仿宋_GB2312" w:eastAsia="仿宋_GB2312"/>
          <w:sz w:val="32"/>
          <w:szCs w:val="32"/>
        </w:rPr>
        <w:t>.</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日常维修费、专用材料及一般设备购置费、办公用房水电费、办公用房物业管理费、</w:t>
      </w:r>
      <w:r>
        <w:rPr>
          <w:rFonts w:hint="eastAsia" w:ascii="仿宋_GB2312" w:eastAsia="仿宋_GB2312"/>
          <w:sz w:val="32"/>
          <w:szCs w:val="32"/>
          <w:lang w:eastAsia="zh-CN"/>
        </w:rPr>
        <w:t>其他交通经费</w:t>
      </w:r>
      <w:r>
        <w:rPr>
          <w:rFonts w:hint="eastAsia" w:ascii="仿宋_GB2312" w:eastAsia="仿宋_GB2312"/>
          <w:sz w:val="32"/>
          <w:szCs w:val="32"/>
        </w:rPr>
        <w:t>以及其他费用。</w:t>
      </w:r>
    </w:p>
    <w:p w14:paraId="35C72A98">
      <w:pPr>
        <w:rPr>
          <w:rFonts w:ascii="仿宋" w:hAnsi="仿宋" w:eastAsia="仿宋"/>
          <w:b/>
          <w:color w:val="000000"/>
          <w:sz w:val="32"/>
          <w:szCs w:val="32"/>
        </w:rPr>
      </w:pPr>
    </w:p>
    <w:p w14:paraId="036B2740">
      <w:pPr>
        <w:spacing w:line="600" w:lineRule="exact"/>
        <w:jc w:val="center"/>
        <w:outlineLvl w:val="0"/>
        <w:rPr>
          <w:rStyle w:val="29"/>
          <w:rFonts w:ascii="黑体" w:hAnsi="黑体" w:eastAsia="黑体"/>
          <w:b w:val="0"/>
        </w:rPr>
      </w:pPr>
      <w:bookmarkStart w:id="112" w:name="_Toc15377226"/>
      <w:r>
        <w:rPr>
          <w:rFonts w:ascii="宋体"/>
          <w:b/>
          <w:color w:val="000000"/>
          <w:sz w:val="44"/>
          <w:szCs w:val="44"/>
        </w:rPr>
        <w:br w:type="page"/>
      </w:r>
      <w:bookmarkStart w:id="113" w:name="_Toc23038"/>
      <w:bookmarkStart w:id="114" w:name="_Toc15396614"/>
      <w:bookmarkStart w:id="115" w:name="_Toc22492"/>
      <w:r>
        <w:rPr>
          <w:rFonts w:hint="eastAsia" w:ascii="黑体" w:hAnsi="黑体" w:eastAsia="黑体"/>
          <w:color w:val="000000"/>
          <w:sz w:val="44"/>
          <w:szCs w:val="44"/>
        </w:rPr>
        <w:t>第</w:t>
      </w:r>
      <w:r>
        <w:rPr>
          <w:rStyle w:val="29"/>
          <w:rFonts w:hint="eastAsia" w:ascii="黑体" w:hAnsi="黑体" w:eastAsia="黑体"/>
          <w:b w:val="0"/>
        </w:rPr>
        <w:t>四部分 附件</w:t>
      </w:r>
      <w:bookmarkEnd w:id="113"/>
      <w:bookmarkEnd w:id="114"/>
      <w:bookmarkEnd w:id="115"/>
    </w:p>
    <w:p w14:paraId="63A39FB4">
      <w:pPr>
        <w:spacing w:line="600" w:lineRule="exact"/>
        <w:jc w:val="center"/>
        <w:outlineLvl w:val="0"/>
        <w:rPr>
          <w:rStyle w:val="29"/>
        </w:rPr>
      </w:pPr>
    </w:p>
    <w:p w14:paraId="3A746E4B">
      <w:pPr>
        <w:spacing w:line="600" w:lineRule="exact"/>
        <w:jc w:val="left"/>
        <w:outlineLvl w:val="0"/>
        <w:rPr>
          <w:rFonts w:ascii="方正小标宋简体" w:hAnsi="方正小标宋简体" w:eastAsia="方正小标宋简体" w:cs="方正小标宋简体"/>
          <w:sz w:val="32"/>
          <w:szCs w:val="32"/>
        </w:rPr>
      </w:pPr>
      <w:bookmarkStart w:id="116" w:name="_Toc24855"/>
      <w:bookmarkStart w:id="117" w:name="_Toc17130"/>
      <w:bookmarkStart w:id="118" w:name="_Toc15396616"/>
      <w:r>
        <w:rPr>
          <w:rFonts w:hint="eastAsia" w:ascii="黑体" w:hAnsi="黑体" w:eastAsia="黑体" w:cs="黑体"/>
          <w:sz w:val="32"/>
          <w:szCs w:val="32"/>
        </w:rPr>
        <w:t>附件1</w:t>
      </w:r>
      <w:bookmarkEnd w:id="116"/>
      <w:bookmarkEnd w:id="117"/>
    </w:p>
    <w:p w14:paraId="7B5B0AAA">
      <w:pPr>
        <w:spacing w:line="600" w:lineRule="exact"/>
        <w:jc w:val="center"/>
        <w:rPr>
          <w:rFonts w:hint="eastAsia" w:ascii="方正小标宋简体" w:hAnsi="宋体" w:eastAsia="方正小标宋简体" w:cs="Times New Roman"/>
          <w:color w:val="000000"/>
          <w:kern w:val="0"/>
          <w:sz w:val="40"/>
          <w:szCs w:val="44"/>
          <w:lang w:val="zh-CN"/>
        </w:rPr>
      </w:pPr>
      <w:r>
        <w:rPr>
          <w:rFonts w:hint="eastAsia" w:ascii="方正小标宋简体" w:hAnsi="宋体" w:eastAsia="方正小标宋简体" w:cs="Times New Roman"/>
          <w:color w:val="000000"/>
          <w:kern w:val="0"/>
          <w:sz w:val="40"/>
          <w:szCs w:val="44"/>
          <w:lang w:val="zh-CN"/>
        </w:rPr>
        <w:t>广元市昭化区农业农村局</w:t>
      </w:r>
    </w:p>
    <w:p w14:paraId="189D362A">
      <w:pPr>
        <w:spacing w:line="600" w:lineRule="exact"/>
        <w:jc w:val="center"/>
        <w:rPr>
          <w:rFonts w:hint="eastAsia" w:ascii="方正小标宋简体" w:hAnsi="宋体" w:eastAsia="方正小标宋简体" w:cs="Times New Roman"/>
          <w:color w:val="000000"/>
          <w:kern w:val="0"/>
          <w:sz w:val="40"/>
          <w:szCs w:val="44"/>
          <w:lang w:val="zh-CN"/>
        </w:rPr>
      </w:pPr>
      <w:r>
        <w:rPr>
          <w:rFonts w:hint="eastAsia" w:ascii="方正小标宋简体" w:hAnsi="宋体" w:eastAsia="方正小标宋简体" w:cs="Times New Roman"/>
          <w:color w:val="000000"/>
          <w:kern w:val="0"/>
          <w:sz w:val="40"/>
          <w:szCs w:val="44"/>
          <w:lang w:val="zh-CN"/>
        </w:rPr>
        <w:t>20</w:t>
      </w:r>
      <w:r>
        <w:rPr>
          <w:rFonts w:hint="eastAsia" w:ascii="方正小标宋简体" w:hAnsi="宋体" w:eastAsia="方正小标宋简体" w:cs="Times New Roman"/>
          <w:color w:val="000000"/>
          <w:kern w:val="0"/>
          <w:sz w:val="40"/>
          <w:szCs w:val="44"/>
          <w:lang w:val="en-US" w:eastAsia="zh-CN"/>
        </w:rPr>
        <w:t>20</w:t>
      </w:r>
      <w:r>
        <w:rPr>
          <w:rFonts w:hint="eastAsia" w:ascii="方正小标宋简体" w:hAnsi="宋体" w:eastAsia="方正小标宋简体" w:cs="Times New Roman"/>
          <w:color w:val="000000"/>
          <w:kern w:val="0"/>
          <w:sz w:val="40"/>
          <w:szCs w:val="44"/>
          <w:lang w:val="zh-CN"/>
        </w:rPr>
        <w:t>年部门整体支出绩效评价报告</w:t>
      </w:r>
      <w:bookmarkEnd w:id="118"/>
    </w:p>
    <w:p w14:paraId="7C29A007">
      <w:pPr>
        <w:spacing w:line="580" w:lineRule="exact"/>
        <w:ind w:firstLine="640" w:firstLineChars="200"/>
        <w:rPr>
          <w:rFonts w:ascii="黑体" w:hAnsi="黑体" w:eastAsia="黑体" w:cs="黑体"/>
          <w:sz w:val="32"/>
          <w:szCs w:val="32"/>
        </w:rPr>
      </w:pPr>
    </w:p>
    <w:p w14:paraId="5868EEB1">
      <w:pPr>
        <w:spacing w:line="580" w:lineRule="exact"/>
        <w:ind w:firstLine="640" w:firstLineChars="200"/>
        <w:rPr>
          <w:rFonts w:ascii="黑体" w:hAnsi="黑体" w:eastAsia="黑体" w:cs="黑体"/>
          <w:sz w:val="32"/>
          <w:szCs w:val="32"/>
        </w:rPr>
      </w:pPr>
      <w:r>
        <w:rPr>
          <w:rFonts w:hint="eastAsia" w:ascii="黑体" w:hAnsi="黑体" w:eastAsia="黑体" w:cs="黑体"/>
          <w:sz w:val="32"/>
          <w:szCs w:val="32"/>
        </w:rPr>
        <w:t>一、部门（单位）概况</w:t>
      </w:r>
    </w:p>
    <w:p w14:paraId="2C990C2E">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（一）机构组成。</w:t>
      </w:r>
    </w:p>
    <w:p w14:paraId="7076C61E">
      <w:pPr>
        <w:spacing w:line="580" w:lineRule="exact"/>
        <w:ind w:firstLine="640" w:firstLineChars="200"/>
        <w:rPr>
          <w:rFonts w:ascii="仿宋" w:hAnsi="仿宋" w:eastAsia="仿宋" w:cs="仿宋_GB2312"/>
          <w:sz w:val="32"/>
          <w:szCs w:val="32"/>
        </w:rPr>
      </w:pPr>
      <w:r>
        <w:rPr>
          <w:rFonts w:hint="eastAsia" w:eastAsia="仿宋_GB2312"/>
          <w:color w:val="000000"/>
          <w:sz w:val="32"/>
        </w:rPr>
        <w:t>广元市昭化区农业局设</w:t>
      </w:r>
      <w:r>
        <w:rPr>
          <w:rFonts w:hint="eastAsia" w:eastAsia="仿宋_GB2312"/>
          <w:color w:val="000000"/>
          <w:sz w:val="32"/>
          <w:lang w:val="en-US" w:eastAsia="zh-CN"/>
        </w:rPr>
        <w:t>8</w:t>
      </w:r>
      <w:r>
        <w:rPr>
          <w:rFonts w:hint="eastAsia" w:eastAsia="仿宋_GB2312"/>
          <w:color w:val="000000"/>
          <w:sz w:val="32"/>
        </w:rPr>
        <w:t>个内设机构，分别是：办公室；</w:t>
      </w:r>
      <w:r>
        <w:rPr>
          <w:rFonts w:hint="eastAsia" w:eastAsia="仿宋_GB2312"/>
          <w:color w:val="000000"/>
          <w:sz w:val="32"/>
          <w:lang w:eastAsia="zh-CN"/>
        </w:rPr>
        <w:t>计划财务投资股</w:t>
      </w:r>
      <w:r>
        <w:rPr>
          <w:rFonts w:hint="eastAsia" w:eastAsia="仿宋_GB2312"/>
          <w:color w:val="000000"/>
          <w:sz w:val="32"/>
        </w:rPr>
        <w:t>；</w:t>
      </w:r>
      <w:r>
        <w:rPr>
          <w:rFonts w:hint="eastAsia" w:ascii="Times New Roman" w:hAnsi="Times New Roman" w:eastAsia="仿宋_GB2312" w:cs="Times New Roman"/>
          <w:sz w:val="32"/>
          <w:szCs w:val="32"/>
          <w:lang w:val="en-US" w:eastAsia="zh-CN"/>
        </w:rPr>
        <w:t>农产品质量监管与科技教育股</w:t>
      </w:r>
      <w:r>
        <w:rPr>
          <w:rFonts w:hint="eastAsia" w:eastAsia="仿宋_GB2312"/>
          <w:color w:val="000000"/>
          <w:sz w:val="32"/>
        </w:rPr>
        <w:t>；</w:t>
      </w:r>
      <w:r>
        <w:rPr>
          <w:rFonts w:hint="eastAsia" w:ascii="Times New Roman" w:hAnsi="Times New Roman" w:eastAsia="仿宋_GB2312" w:cs="Times New Roman"/>
          <w:sz w:val="32"/>
          <w:szCs w:val="32"/>
          <w:lang w:val="en-US" w:eastAsia="zh-CN"/>
        </w:rPr>
        <w:t>宜居乡村建设股（区委农办秘书股）</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种植业股（特色产业股）</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畜牧水产股（兽医兽药股）</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农田建设与农业机械化股宜居乡村建设股（区委农办秘书股）农村改革与合作经济指导股</w:t>
      </w:r>
      <w:r>
        <w:rPr>
          <w:rFonts w:hint="eastAsia" w:eastAsia="仿宋_GB2312"/>
          <w:color w:val="000000"/>
          <w:sz w:val="32"/>
        </w:rPr>
        <w:t>。</w:t>
      </w:r>
    </w:p>
    <w:p w14:paraId="248F0074">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（二）机构职能。</w:t>
      </w:r>
    </w:p>
    <w:p w14:paraId="36F2EE0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第一条</w:t>
      </w: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根据《中共广元市昭化区委广元市昭化区人民政府关于印发〈广元市昭化区机构改革方案〉和〈广元市昭化区机构改革方案的实施意见〉的通知》（昭委发〔</w:t>
      </w:r>
      <w:r>
        <w:rPr>
          <w:rFonts w:hint="default" w:ascii="Times New Roman" w:hAnsi="Times New Roman" w:eastAsia="仿宋_GB2312" w:cs="Times New Roman"/>
          <w:sz w:val="32"/>
          <w:szCs w:val="32"/>
          <w:lang w:val="en-US" w:eastAsia="zh-CN"/>
        </w:rPr>
        <w:t>2019</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号），制定本规定。</w:t>
      </w:r>
    </w:p>
    <w:p w14:paraId="23162AC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第二条</w:t>
      </w: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广元市昭化区农业农村局（简称区农业农村局）是广元市昭化区人民政府工作部门，为正科级。挂区农业园区建设管理办公室牌子（简称区园区办）。</w:t>
      </w:r>
    </w:p>
    <w:p w14:paraId="7B261E0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第三条  区委农村工作领导小组办公室（简称区委农办）设在区农业农村局，接受区委农村工作领导小组的直接领导，承担区委农村工作领导小组具体工作，组织开展“三农”重大问题的政策研究，协调督促有关方面落实区委农村工作领导小组决定事项、工作部署和要求等。设置区委农办秘书股，负责处理区委农办日常事务，组织开展乡村振兴等重大问题调查和政策研究，牵头乡村振兴日常工作。区农业农村局的内设机构根据工作需要承担区委农办相关工作，接受区委农办的统筹协调。</w:t>
      </w:r>
    </w:p>
    <w:p w14:paraId="1153BB48">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第四条  区农业农村局贯彻落实党中央关于“三农”工作的方针政策和省委、市委、区委的决策部署，在履行职责过程中坚持和加强党对“三农”工作的集中统一领导。主要职责是：</w:t>
      </w:r>
    </w:p>
    <w:p w14:paraId="2188AD4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统筹研究和组织实施全区“三农”工作的发展战略、中长期规划、重大政策。组织起草“三农”有关地方性政策、规范性文件。贯彻执行国家有关种植业、畜牧业、渔业、农业机械化等农业领域工作的法律、法规、政策以及省委省政府、市委市政府、区委区政府关于“三农”方面的决策部署。参与涉农的财税、价格、收储、金融保险、进出口等政策制定。</w:t>
      </w:r>
    </w:p>
    <w:p w14:paraId="70182D7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统筹实施乡村振兴战略，牵头组织改善全区农村人居环境。统筹推动发展农村社会事业、农村公共服务、农村文化、农村基础设施和乡村治理。指导农业遗产的保护传承和开发利用。指导农村精神文明和优秀农耕文化建设。</w:t>
      </w:r>
    </w:p>
    <w:p w14:paraId="426DABA4">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拟订深化全区农村经济体制改革和巩固完善农村基本经营制度的政策措施。指导农民承包地、农村宅基地管理和改革有关工作。指导农村集体产权制度改革，负责农村集体经济组织发展、集体资产和财务管理工作。拟订农业产业化经营的发展规划与政策并组织实施，负责农民合作经济组织、农业社会化服务体系、新型农业经营主体建设与发展。指导、监督减轻农民负担工作。</w:t>
      </w:r>
    </w:p>
    <w:p w14:paraId="7CFD84B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负责全区乡村特色产业、农产品加工业（产地初加工）、休闲农业和乡村企业发展工作。负责特色农产品优势区建设和管理工作。拟订并实施现代农业园区的政策与规划，组织现代农业园区评定工作。培育、保护和发展农产品品牌，组织协调“菜篮子”工程有关工作。负责农业信息体系建设，推动数字农业发展。发布农业农村经济信息，监测分析农业农村经济运行。承担农业统计工作。</w:t>
      </w:r>
    </w:p>
    <w:p w14:paraId="64001D8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负责全区种植业、畜牧业、渔业等农业各产业和农业机械化的监督管理。负责粮食等农产品生产。负责粮食生产功能区和重要农产品生产保护区建设和管理工作。组织构建现代农业产业体系、生产体系、经营体系，负责农业标准化、规模化生产。落实促进粮油、畜禽、水产等主要农产品生产发展的相关政策措施，引导农业产业结构调整和产品品质改善，促进农业绿色发展。负责渔政渔港、网具监督管理。</w:t>
      </w:r>
    </w:p>
    <w:p w14:paraId="58B4C0F8">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六）负责拟订全区农业全产业机械化、智能化、数字化发展规划并组织实施。组织开展农业机械技术引进、示范，推广农业机械新技术、新机具，负责全区农业机械基础设施的规划建设和管理工作。负责设施农业、农机库棚、机电提灌、机耕道等基础设施建设。</w:t>
      </w:r>
    </w:p>
    <w:p w14:paraId="3EF6056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七）负责全区农产品质量安全监督管理。组织开展农产品质量安全监测、追溯。参与拟订初级农产品质量安全地方标准并会同有关部门组织实施。负责农业检验检测体系建设。依法组织实施符合安全标准的初级农产品生产基地认定、产品认证、初级农产品地理标志登记保护和监督管理。</w:t>
      </w:r>
    </w:p>
    <w:p w14:paraId="1A60709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八）组织开展全区农业资源区划和资源保护工作。负责农用地、渔业水域以及农业生物物种资源的保护与管理。负责水生野生动植物、耕地及永久基本农田质量保护工作。负责农村能源建设和农业资源环境工作。负责农产品产地环境管理和农业清洁生产，提出划定农产品禁止生产区域的政策建议，负责设施农业、生态循环农业、节水农业发展以及农村可再生能源综合开发利用、农业生物质产业发展。</w:t>
      </w:r>
    </w:p>
    <w:p w14:paraId="2B447C51">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九）负责全区有关农业生产资料和农业投入品的监督管理。组织农业生产资料市场体系建设，承担农作物种子（种苗）、蚕种、饲草良种、种畜禽、水产苗种、农药、兽药（渔药）、饲料、饲料添加剂等农业生产资料的监督管理职责。牵头“瘦肉精”监督管理。监督管理兽医医疗器械、肥料登记。拟订有关农业生产资料地方标准并监督实施，会同有关部门监督实施农业生产资料国家标准。组织兽医医政、兽药（渔药）药政药检工作，负责执业兽医和畜禽屠宰行业管理。</w:t>
      </w:r>
    </w:p>
    <w:p w14:paraId="7C504EF1">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负责全区农业防灾减灾、农作物重大病虫害防治工作。牵头起草动植物防疫和检疫的规范性文件，会同有关部门制定动植物防疫检疫政策并实施。负责动植物防疫检疫体系建设，组织监督管理区内动植物防疫检疫工作，依法组织扑灭疫情。组织植物检疫性有害生物普查。牵头管理外来农业物种。监测、核查、发布农业灾情，组织种子、种苗、化肥、兽药（渔药）等农业生产救灾物资的储备和调拨，提出生产救灾资金安排建议，负责紧急救灾和灾后生产恢复。</w:t>
      </w:r>
    </w:p>
    <w:p w14:paraId="3A7E992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一）负责全区农业投资管理。提出农业投融资体制机制改革建议。参与农村金融、农业保险的政策拟订和改革试点。编制农业投资项目建设规划，提出农业投资规模和方向、扶持农业农村发展财政项目的建议，按照规定权限审批农业投资项目。负责农业投资项目资金安排和监督管理。</w:t>
      </w:r>
    </w:p>
    <w:p w14:paraId="1EBF9FFB">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二）负责全区农田建设管理。拟订农田建设发展规划，提出农田建设项目需求建议。负责全区农田建设管理、高标准农田建设和耕地质量管理。编制农业综合开发项目、农田建设项目、农田整治项目、农田水利建设项目，并组织实施和管理。</w:t>
      </w:r>
    </w:p>
    <w:p w14:paraId="1322EB1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三）制定全区农业科研、农技推广的规划、计划和有关政策并组织实施。牵头推动农业科技体制改革和农业科技创新体系建设。负责农业产业技术体系和农技推广体系建设，组织农作物、畜禽、水产养殖等新品种育种攻关和农业先进技术引进、试验、转化、示范、推广。负责农业转基因生物安全监督管理和农业植物新品种保护。</w:t>
      </w:r>
    </w:p>
    <w:p w14:paraId="6543CE0B">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（十四）负责全区农业农村人才工作。拟订农业农村人才队伍建设规划并组织实施。负责农业教育和农业职业技能开发。承担新型职业农民培育、农业科技人才培养和农村实用人才培训工作。</w:t>
      </w:r>
    </w:p>
    <w:p w14:paraId="407C39F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五）开展全区农业对外合作工作。承办政府间农业涉外事务，参与拟订农业对外开放政策和外向型农业发展规划，指导外向型农业发展。组织开展农业贸易促进和有关国际交流合作，组织开展农业投资促进活动，推动农业开放合作。</w:t>
      </w:r>
    </w:p>
    <w:p w14:paraId="138C738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（十六）编制全区烟叶种植规划方案，督促检查烟叶种植方案贯彻落实。协调烟草工业、商业做好相关工作。组织实施区级烟草扶持项目。</w:t>
      </w:r>
    </w:p>
    <w:p w14:paraId="2A4FD4E1">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（十七）统筹协调和监督指导全区农业综合执法。负责区本级的涉农违法案件办理。推进农业依法行政。</w:t>
      </w:r>
    </w:p>
    <w:p w14:paraId="0CD4F52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八）依法依规负责农业安全生产和职业健康监督管理工作。负责农业机械、农（兽）药、饲料、渔业、畜禽屠宰行业安全生产和职业健康的监督管理。负责组织实施农村沼气项目的安全生产和职业健康监督管理。对农业园区的安全生产和职业健康工作实施行业监督管理。负责拟订职责范围内的安全生产年度监督检查计划并组织实施。</w:t>
      </w:r>
    </w:p>
    <w:p w14:paraId="6D58C76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（十九）负责职责范围内的生态环境保护、审批服务便民化等工作。</w:t>
      </w:r>
    </w:p>
    <w:p w14:paraId="614483A8">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（二十）完成区委、区政府交办的其他任务。</w:t>
      </w:r>
    </w:p>
    <w:p w14:paraId="06EBDD5B">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（二十一）职能转变</w:t>
      </w:r>
    </w:p>
    <w:p w14:paraId="31ADF93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1.统筹实施乡村振兴战略，深化农业供给侧结构性改革，促进农业绿色发展、高质量发展，推动农业全面升级、农村全面进步、农民全面发展，加快实现农业农村现代化。</w:t>
      </w:r>
    </w:p>
    <w:p w14:paraId="3DE3FDA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2.加强初级农产品质量安全和相关农业生产资料、农业投入品的监督管理，严防、严管、严控农产品质量安全风险。</w:t>
      </w:r>
    </w:p>
    <w:p w14:paraId="415A1BB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深入推进简政放权，加强对行业内交叉重复以及性质相同、用途相近的农业投资项目的统筹整合，最大限度缩小项目审批范围，进一步下放审批权限，加强事中事后监管，切实提升支农政策效果和资金使用效益。</w:t>
      </w:r>
    </w:p>
    <w:p w14:paraId="3112C74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统筹推进承担行政职能的事业单位改革。区植保植检站不再承担植物检疫监督管理职责；区农村合作经济管理站不再承担农村土地承包、土地流转行政管理职责；区农村能源管理办公室不再承担农村能源管理职责；区种子管理站不再承担农作物种子行政执法和市场管理职责；区农机监理站不再承担农业机械事故责任认定、调解处理和组织指导全区农业机械安全监督检查职责。上述行政职能交由区农业农村局机关有关内设机构承担。</w:t>
      </w:r>
    </w:p>
    <w:p w14:paraId="040D4CF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（二十二）有关职责分工</w:t>
      </w:r>
    </w:p>
    <w:p w14:paraId="249C5F8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与区经济信息化和科学技术局的有关职责分工。区经济信息化和科学技术局负责农产品加工业（精深加工）相关工作，区农业农村局负责初级农产品加工业（产地初加工）相关工作。区农业农村局负责烟叶种植等相关工作。区经济信息化和科学技术局负责农业装备工业相关工作，区农业农村局负责农业机械化相关工作。</w:t>
      </w:r>
    </w:p>
    <w:p w14:paraId="71EFB541">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2.与区文化旅游和体育局的有关职责分工。区文化旅游和体育局会同区农业农村局建立健全协同配合机制，推动乡村旅游工作。区农业农村局负责休闲农业推动工作。</w:t>
      </w:r>
    </w:p>
    <w:p w14:paraId="3C20E2E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与区市场监督管理局有关职责分工。区农业农村局负责食用、初级农产品从种植养殖环节到进入批发、零售市场或生产加工企业前的质量安全监督管理。食用初级农产品进入批发、零售市场或生产加工企业后，由区市场监督管理局监督管理。区农业农村局负责动植物疫病防控、畜禽屠宰环节、生鲜乳收购环节质量安全的监督管理。区农业农村局负责建立初级农产品质量安全产地准出和追溯机制，区市场监督监管局负责建立食用、农产品市场准入和追溯机制。</w:t>
      </w:r>
    </w:p>
    <w:p w14:paraId="462710A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第五条  区农业农村局设下列内设机构：</w:t>
      </w:r>
    </w:p>
    <w:p w14:paraId="68734DD4">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办公室。负责文电、会务、档案、机要等机关日常运转工作，承担保密、安全保卫、绩效管理、政务信息、政务公开、新闻宣传、史志编纂等工作。组织办理人大代表建议、政协委员提案。负责机关的重大突发事件应急综合管理、信访维稳等工作。承担机关国有资产管理、政府采购工作。负责机关政务信息化建设与管理工作。负责机关后勤服务管理。</w:t>
      </w:r>
    </w:p>
    <w:p w14:paraId="2A0D663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负责机关和下属单位干部队伍建设、机构编制、工资和干部职工教育培训工作。负责农业系统内专业技术职称评审、干部培训和人才队伍建设。负责机关和下属单位离退休人员工作。</w:t>
      </w:r>
    </w:p>
    <w:p w14:paraId="2EC4EEB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承担农业农村有关地方性法规、规范性文件的起草和执法监督工作。组织协调和督促农业依法行政工作。负责行政应诉、行政调解、规范性文件合法性审查和备案。负责区直部门涉及“三农”工作政策性文件合法性审核把关。承担普法宣传工作。牵头本系统行政权力运行工作，承担权责清单制度建设、动态调整等工作。指导农业行政执法体系建设和综合行政执法工作。牵头协调推进本系统“放管服”改革，承担审批服务便民化有关工作。牵头清理规范本系统审批服务事项，规范行政审批过程，集中承担区本级有关审批服务事项的受理、审批等工作，推进纳入一体化政务服务平台。组织实施集中审批的有关业务培训指导工作。牵头农业领域的社会信用体系建设工作。负责机关和下属单位党群、监督和内部审计工作。负责机关及下属单位工会工作。</w:t>
      </w:r>
    </w:p>
    <w:p w14:paraId="67F1B7D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计划投资财务股。编制农业项目储备，提出扶持全区农业农村发展财政项目的建议和农业投资规模、方向的建议。按国务院、省政府、农业农村部、市政府、农业农村厅、区政府和市农业农村局规定权限审批农业投资项目。牵头申报和争取上级项目。负责农业投资项目统筹整合、资金安排和监督管理。编报部门预算并组织执行。参与农村金融、农业保险的政策制定和改革试点。参与农业政策性补贴实施。负责机关财务管理。承担农业产业扶贫开发工作。负责贫困村产业扶持基金和乡村振兴产业发展贷款分险金监督管理。负责项目投资和固定资产投资工作。</w:t>
      </w:r>
    </w:p>
    <w:p w14:paraId="7EF8F4C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牵头开展全区农业对外合作工作，参与拟订农业对外开放政策和外向型农业发展规划，指导外向型农业发展。承担政府间农业涉外事务、经济技术交流与合作，协调管理与有关农业国际组织或机构合作、交流。承担农业区域协调发展相关工作。指导农产品出口基地建设。研究农业投资促进的有关政策，负责农业招商、经贸洽谈。组织开展农业会展活动。负责机关外事侨务、涉农国外智力引进工作。承担涉及港澳台地区有关农业事务。</w:t>
      </w:r>
    </w:p>
    <w:p w14:paraId="6C4706C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农产品质量监管与科技教育股。牵头农作物、畜禽、水产等新品种育种攻关，组织农业先进技术引进、试验、转化、示范、推广。协调推动农业科技体制改革及农技推广体系建设。监督管理农业转基因生物安全。承担外来农业物种和农业生物物种资源管理相关工作。负责农业科技成果的管理。指导农业职业教育和学历教育工作。牵头研究拟订全区职业农民教育培训、认定管理、职称评定、生产生活扶持等制度。负责实施新型职业农民教育培训，指导培训基地建设。负责职业农民职称认定工作。研究制定农村实用人才、技能型人才扶持政策并组织实施。指导农业农村“双创”工作。</w:t>
      </w:r>
    </w:p>
    <w:p w14:paraId="1B70CEF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承担农业农村数字化、智能化、信息化建设相关工作，提出项目建议和扶持措施，指导农业农村生产、经营、管理、服务信息化建设。组织开展农产品和农业生产资料供求、价格分析和监测预警。发布农业农村经济信息，指导农业信息服务。承担农业各类统计和农业农村信息化有关工作。</w:t>
      </w:r>
    </w:p>
    <w:p w14:paraId="104DA42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组织实施全区农产品质量安全监督管理有关工作。负责农产品质量安全监管体系、检验检测体系和信用体系建设。承担农产品质量安全标准、监测、追溯、风险评估等相关工作。负责农产品质量体系认证管理。承担培育、保护和发展农产品品牌有关工作。牵头农业绿色发展和农业标准化工作。</w:t>
      </w:r>
    </w:p>
    <w:p w14:paraId="77E23E1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种植业股（特色产业股）。组织协调全区乡村产业发展。拟订全区种植业（粮油）产业发展政策、规划并组织实施。负责粮食生产功能区建设和管理。负责种植业（粮油）产业结构和布局调整。拟订水果、蔬菜、烟叶等特色经济作物产业发展的政策、规划并组织实施。组织协调“菜篮子”工程有关工作。</w:t>
      </w:r>
    </w:p>
    <w:p w14:paraId="6CE8E8D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起草全区农作物种业发展政策、规划。组织实施农作物种质资源保护和管理。承担农作物种子（种苗）、蚕种等监督管理职责。组织抗灾救灾和救灾备荒的种子储备调拨。负责农作物种子基地和良繁体系建设。承担植物新品种保护工作。牵头农业防灾减灾，负责农作物重大病虫害防治工作。指导农业植物检疫体系建设，组织实施、监督管理农业植物检疫工作，组织扑灭疫情。承担肥料有关监督管理以及农药生产、经营和质量监督管理，指导农药科学合理使用。负责农药安全生产和职业健康监督管理。负责移民库区农业相关工作，牵头农业禁毒工作。</w:t>
      </w:r>
    </w:p>
    <w:p w14:paraId="4620FF5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畜牧水产股（兽医兽药股）。拟订全区现代畜牧业和兽医发展规划、政策并组织实施。牵头组织畜牧兽医标准化和畜牧兽医体系建设。指导生猪、肉牛羊、土鸡等畜禽产业发展，监督管理生鲜乳生产收购运输环节质量安全。负责畜禽粪污资源化利用。负责动物防疫、检疫和畜禽屠宰管理。负责兽医从业人员、动物诊疗机构和动物防疫条件审核等兽医医政管理。负责动物疫病疫情防控和防灾减灾。承担区动物重大疫病防治指挥部办公室日常工作。</w:t>
      </w:r>
    </w:p>
    <w:p w14:paraId="37E759A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拟订全区饲料及添加剂、兽药（渔药）及兽医器械行业发展规划、政策并组织实施。负责饲料及添加剂生产、经营和使用的监督管理。牵头负责“瘦肉精”监管工作，在生猪养殖、收购、贩运、定点屠宰环节实施对“瘦肉精”的检验、认定和查处。负责农作物秸秆等饲用饲料资源的开发与利用。负责饲草良种体系建设、标准化规模化生产和加工流通。负责兽药（渔药）及兽医器械经营和使用的监督管理。</w:t>
      </w:r>
    </w:p>
    <w:p w14:paraId="65BD1AA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拟订全区渔业发展政策、规划并组织实施。保护和合理开发利用渔业资源，负责水产健康养殖和水产品加工流通，组织水生动植物病害防控。组织实施渔业水域生态环境及水生野生动植物保护。负责渔业技术推广体系建设管理和渔政渔港、网具监督管理。负责渔业防灾减灾和灾后恢复生产。负责水生动物防疫检疫、渔事纠纷处理等相关工作。</w:t>
      </w:r>
    </w:p>
    <w:p w14:paraId="1D66C584">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起草全区畜禽种业发展政策、规划。组织实施畜禽遗传资源保护和管理。承担饲草良种、种畜禽、水产种苗等监督管理职责。负责种畜禽、水产种苗基地和良繁体系建设。承担动物及水生动植物新品种保护工作。负责水产品质量安全，渔业生产、畜禽屠宰行业、饲料、兽药（渔药）安全生产和职业健康监督管理。</w:t>
      </w:r>
    </w:p>
    <w:p w14:paraId="63EC3268">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六）农田建设与农业机械化股。负责全区农田建设管理工作。拟订农田建设发展规划，提出农田建设项目需求建议。负责高标准农田建设和耕地质量管理。编制农业综合开发项目、农田建设项目、农田整治项目、农田水利建设项目的年度计划，并组织实施和管理。永久基本农田质量保护。拟订农田建设技术标准及规范，并指导实施。承担农业综合开发有关国际合作项目年度计划编制、组织实施等管理工作。</w:t>
      </w:r>
    </w:p>
    <w:p w14:paraId="512EA21B">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拟订全区农业机械化、智能化、数字化发展规划并组织实施。组织开展农业机械技术攻关、开发，引进、示范和推广农业机械新技术、新机具。指导设施农业、农机库棚、机耕道等基础设施建设。拟订农村机电提灌发展规划，指导农村机电提灌建设。组织指导农业机械安全技术检验，承担拖拉机、联合收割机等农业机械的登记、牌证核发和驾驶操作人员的监督管理。负责农业机械安全生产、职业健康的监督管理和农机驾驶培训机构监管。承担农业机械事故责任认定、调解处理工作，组织实施全区农业机械安全监督检查。牵头农业行业安全生产监督管理。</w:t>
      </w:r>
    </w:p>
    <w:p w14:paraId="77A7DED4">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七）宜居乡村建设股（区委农办秘书股）。提出全区农村人居环境整治项目安排建议并组织实施。统筹指导村庄整治、村容村貌提升、新村建设。协调推动农村社会事业发展、公共服务体系建设和基础设施建设。研究全区乡村治理政策和治理体系，参与农村基层组织建设、基层政权建设、党风廉政建设、基层民主建设、基层法治建设工作。负责农民利益、惠农政策和涉农项目执行情况的督促检查。监督减轻农民负担和村民“一事一议”筹资筹劳管理。指导农业遗产的保护传承和开发利用。指导农村精神文明和优秀农耕文化建设。</w:t>
      </w:r>
    </w:p>
    <w:p w14:paraId="4EA156D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牵头农业农村生态环境保护工作。指导农用地、农业生物物种资源及农产品产地环境保护和管理。负责农村能源建设管理工作，指导农村可再生能源开发利用、节能减排、农业清洁生产和生态循环农业建设。</w:t>
      </w:r>
    </w:p>
    <w:p w14:paraId="7349F0B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起草农业和农村经济发展战略、中长期发展规划。承担区域发展规划相关工作。组织构建现代农业产业体系、生产体系、经营体系，指导农业标准化、规模化生产。组织农业资源区划工作，承担农业区域协调发展相关工作。负责农业园区规划布局，拟订现代农业园区建设标准，承担各类现代农业产业园区（示范区）监测、评价、考核和监督管理工作。对农业园区的安全生产和职业健康工作实施行业监督管理。牵头指导“三江新区”昭化片区农业发展工作。</w:t>
      </w:r>
    </w:p>
    <w:p w14:paraId="2967466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负责区委农办日常工作。</w:t>
      </w:r>
    </w:p>
    <w:p w14:paraId="55FA83F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八）农村改革与合作经济指导股。牵头农业农村体制改革工作。组织开展农村改革综合性、全局性相关政策调查研究。牵头拟订农村体制改革、机制创新工作方案，统筹协调和组织推进农村改革工作。负责农村改革试点示范、经验总结等工作。提出全区农村基本经营制度的政策建议。负责农民承包地“三权”分置、农村宅基地“三权”分置、土地经营权流转、纠纷调解仲裁管理。承担农村集体产权制度改革工作。负责农村宅基地管理相关工作。牵头组织农村产权交易市场培育工作。负责农经统计工作。</w:t>
      </w:r>
    </w:p>
    <w:p w14:paraId="3618137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指导农村集体资产和财务管理。组织推行农村集体经济有效实现形式，培育发展农村集体经济组织。指导盘活农村集体资源资产，发展农村集体经济。负责农村经济运行分析研究。指导促进农民增收工作。</w:t>
      </w:r>
    </w:p>
    <w:p w14:paraId="21491A2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指导农民合作经济组织建设。提出农业产业化经营发展的政策建议，承担农业产业化重点龙头企业的认定和监测工作。研究支持家庭农场发展的相关政策并组织实施，开展家庭农场的示范创建和监督管理。起草全区农业生产社会化服务体系发展规划，负责农产品冷链物流体系建设。研究拟订农业生产性服务相关支持政策并组织实施。指导公益性社会化服务组织建设，培育经营性农业社会化服务组织。</w:t>
      </w:r>
    </w:p>
    <w:p w14:paraId="180D75F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第六条  区农业农村局机关行政编制15名。其中，局长1名，副局长3名，总农艺师1名，总经济师1名，总兽医（畜牧）师1名。股级职数8名。</w:t>
      </w:r>
    </w:p>
    <w:p w14:paraId="6A8EFD54">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机关工勤人员事业编制1名。</w:t>
      </w:r>
    </w:p>
    <w:p w14:paraId="2427732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机关党委书记、工会主席等职务按有关规定配备。</w:t>
      </w:r>
    </w:p>
    <w:p w14:paraId="7F493EA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第七条  区农业农村局所属事业单位机构的设置、职责和编制事项另行规定。</w:t>
      </w:r>
    </w:p>
    <w:p w14:paraId="5AA301F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第八条  本规定由中共广元市昭化区委机构编制委员会办公室负责解释，其调整由中共广元市昭化区委机构编制委员会办公室按规定程序办理。</w:t>
      </w:r>
    </w:p>
    <w:p w14:paraId="690B399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第九条  本规定自2019年3月25日起施行。</w:t>
      </w:r>
    </w:p>
    <w:p w14:paraId="67A6E320">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（三）人员概况。</w:t>
      </w:r>
    </w:p>
    <w:p w14:paraId="1C7E9345">
      <w:pPr>
        <w:snapToGrid w:val="0"/>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区农业局共有编制</w:t>
      </w:r>
      <w:r>
        <w:rPr>
          <w:rFonts w:hint="eastAsia" w:ascii="仿宋" w:hAnsi="仿宋" w:eastAsia="仿宋" w:cs="仿宋"/>
          <w:sz w:val="32"/>
          <w:szCs w:val="32"/>
          <w:lang w:val="en-US" w:eastAsia="zh-CN"/>
        </w:rPr>
        <w:t>115</w:t>
      </w:r>
      <w:r>
        <w:rPr>
          <w:rFonts w:hint="eastAsia" w:ascii="仿宋" w:hAnsi="仿宋" w:eastAsia="仿宋" w:cs="仿宋"/>
          <w:sz w:val="32"/>
          <w:szCs w:val="32"/>
        </w:rPr>
        <w:t>人，其中：行政编制</w:t>
      </w:r>
      <w:r>
        <w:rPr>
          <w:rFonts w:hint="eastAsia" w:ascii="仿宋" w:hAnsi="仿宋" w:eastAsia="仿宋" w:cs="仿宋"/>
          <w:sz w:val="32"/>
          <w:szCs w:val="32"/>
          <w:lang w:val="en-US" w:eastAsia="zh-CN"/>
        </w:rPr>
        <w:t>15</w:t>
      </w:r>
      <w:r>
        <w:rPr>
          <w:rFonts w:hint="eastAsia" w:ascii="仿宋" w:hAnsi="仿宋" w:eastAsia="仿宋" w:cs="仿宋"/>
          <w:sz w:val="32"/>
          <w:szCs w:val="32"/>
        </w:rPr>
        <w:t>人，事业编制</w:t>
      </w:r>
      <w:r>
        <w:rPr>
          <w:rFonts w:hint="eastAsia" w:ascii="仿宋" w:hAnsi="仿宋" w:eastAsia="仿宋" w:cs="仿宋"/>
          <w:sz w:val="32"/>
          <w:szCs w:val="32"/>
          <w:lang w:val="en-US" w:eastAsia="zh-CN"/>
        </w:rPr>
        <w:t>71</w:t>
      </w:r>
      <w:r>
        <w:rPr>
          <w:rFonts w:hint="eastAsia" w:ascii="仿宋" w:hAnsi="仿宋" w:eastAsia="仿宋" w:cs="仿宋"/>
          <w:sz w:val="32"/>
          <w:szCs w:val="32"/>
        </w:rPr>
        <w:t>人，参公编制</w:t>
      </w:r>
      <w:r>
        <w:rPr>
          <w:rFonts w:hint="eastAsia" w:ascii="仿宋" w:hAnsi="仿宋" w:eastAsia="仿宋" w:cs="仿宋"/>
          <w:sz w:val="32"/>
          <w:szCs w:val="32"/>
          <w:lang w:val="en-US" w:eastAsia="zh-CN"/>
        </w:rPr>
        <w:t>28</w:t>
      </w:r>
      <w:r>
        <w:rPr>
          <w:rFonts w:hint="eastAsia" w:ascii="仿宋" w:hAnsi="仿宋" w:eastAsia="仿宋" w:cs="仿宋"/>
          <w:sz w:val="32"/>
          <w:szCs w:val="32"/>
        </w:rPr>
        <w:t>人，工勤编制</w:t>
      </w:r>
      <w:r>
        <w:rPr>
          <w:rFonts w:hint="eastAsia" w:ascii="仿宋" w:hAnsi="仿宋" w:eastAsia="仿宋" w:cs="仿宋"/>
          <w:sz w:val="32"/>
          <w:szCs w:val="32"/>
          <w:lang w:val="en-US" w:eastAsia="zh-CN"/>
        </w:rPr>
        <w:t>1</w:t>
      </w:r>
      <w:r>
        <w:rPr>
          <w:rFonts w:hint="eastAsia" w:ascii="仿宋" w:hAnsi="仿宋" w:eastAsia="仿宋" w:cs="仿宋"/>
          <w:sz w:val="32"/>
          <w:szCs w:val="32"/>
        </w:rPr>
        <w:t>人。201</w:t>
      </w:r>
      <w:r>
        <w:rPr>
          <w:rFonts w:hint="eastAsia" w:ascii="仿宋" w:hAnsi="仿宋" w:eastAsia="仿宋" w:cs="仿宋"/>
          <w:sz w:val="32"/>
          <w:szCs w:val="32"/>
          <w:lang w:val="en-US" w:eastAsia="zh-CN"/>
        </w:rPr>
        <w:t>20</w:t>
      </w:r>
      <w:r>
        <w:rPr>
          <w:rFonts w:hint="eastAsia" w:ascii="仿宋" w:hAnsi="仿宋" w:eastAsia="仿宋" w:cs="仿宋"/>
          <w:sz w:val="32"/>
          <w:szCs w:val="32"/>
        </w:rPr>
        <w:t>年决算实有在职编制内人员</w:t>
      </w:r>
      <w:r>
        <w:rPr>
          <w:rFonts w:hint="eastAsia" w:ascii="仿宋" w:hAnsi="仿宋" w:eastAsia="仿宋" w:cs="仿宋"/>
          <w:sz w:val="32"/>
          <w:szCs w:val="32"/>
          <w:lang w:val="en-US" w:eastAsia="zh-CN"/>
        </w:rPr>
        <w:t>111</w:t>
      </w:r>
      <w:r>
        <w:rPr>
          <w:rFonts w:hint="eastAsia" w:ascii="仿宋" w:hAnsi="仿宋" w:eastAsia="仿宋" w:cs="仿宋"/>
          <w:sz w:val="32"/>
          <w:szCs w:val="32"/>
        </w:rPr>
        <w:t>人较去年</w:t>
      </w:r>
      <w:r>
        <w:rPr>
          <w:rFonts w:hint="eastAsia" w:ascii="仿宋" w:hAnsi="仿宋" w:eastAsia="仿宋" w:cs="仿宋"/>
          <w:sz w:val="32"/>
          <w:szCs w:val="32"/>
          <w:lang w:val="en-US" w:eastAsia="zh-CN"/>
        </w:rPr>
        <w:t>98</w:t>
      </w:r>
      <w:r>
        <w:rPr>
          <w:rFonts w:hint="eastAsia" w:ascii="仿宋" w:hAnsi="仿宋" w:eastAsia="仿宋" w:cs="仿宋"/>
          <w:sz w:val="32"/>
          <w:szCs w:val="32"/>
        </w:rPr>
        <w:t>人</w:t>
      </w:r>
      <w:r>
        <w:rPr>
          <w:rFonts w:hint="eastAsia" w:ascii="仿宋" w:hAnsi="仿宋" w:eastAsia="仿宋" w:cs="仿宋"/>
          <w:sz w:val="32"/>
          <w:szCs w:val="32"/>
          <w:lang w:eastAsia="zh-CN"/>
        </w:rPr>
        <w:t>增加</w:t>
      </w:r>
      <w:r>
        <w:rPr>
          <w:rFonts w:hint="eastAsia" w:ascii="仿宋" w:hAnsi="仿宋" w:eastAsia="仿宋" w:cs="仿宋"/>
          <w:sz w:val="32"/>
          <w:szCs w:val="32"/>
          <w:lang w:val="en-US" w:eastAsia="zh-CN"/>
        </w:rPr>
        <w:t>13</w:t>
      </w:r>
      <w:r>
        <w:rPr>
          <w:rFonts w:hint="eastAsia" w:ascii="仿宋" w:hAnsi="仿宋" w:eastAsia="仿宋" w:cs="仿宋"/>
          <w:sz w:val="32"/>
          <w:szCs w:val="32"/>
          <w:lang w:eastAsia="zh-CN"/>
        </w:rPr>
        <w:t>人</w:t>
      </w:r>
      <w:r>
        <w:rPr>
          <w:rFonts w:hint="eastAsia" w:ascii="仿宋" w:hAnsi="仿宋" w:eastAsia="仿宋" w:cs="仿宋"/>
          <w:sz w:val="32"/>
          <w:szCs w:val="32"/>
        </w:rPr>
        <w:t>，其中：行政编制</w:t>
      </w:r>
      <w:r>
        <w:rPr>
          <w:rFonts w:hint="eastAsia" w:ascii="仿宋" w:hAnsi="仿宋" w:eastAsia="仿宋" w:cs="仿宋"/>
          <w:sz w:val="32"/>
          <w:szCs w:val="32"/>
          <w:lang w:val="en-US" w:eastAsia="zh-CN"/>
        </w:rPr>
        <w:t>27</w:t>
      </w:r>
      <w:r>
        <w:rPr>
          <w:rFonts w:hint="eastAsia" w:ascii="仿宋" w:hAnsi="仿宋" w:eastAsia="仿宋" w:cs="仿宋"/>
          <w:sz w:val="32"/>
          <w:szCs w:val="32"/>
        </w:rPr>
        <w:t>人，事业编制</w:t>
      </w:r>
      <w:r>
        <w:rPr>
          <w:rFonts w:hint="eastAsia" w:ascii="仿宋" w:hAnsi="仿宋" w:eastAsia="仿宋" w:cs="仿宋"/>
          <w:sz w:val="32"/>
          <w:szCs w:val="32"/>
          <w:lang w:val="en-US" w:eastAsia="zh-CN"/>
        </w:rPr>
        <w:t>60</w:t>
      </w:r>
      <w:r>
        <w:rPr>
          <w:rFonts w:hint="eastAsia" w:ascii="仿宋" w:hAnsi="仿宋" w:eastAsia="仿宋" w:cs="仿宋"/>
          <w:sz w:val="32"/>
          <w:szCs w:val="32"/>
        </w:rPr>
        <w:t>人，参公编制</w:t>
      </w:r>
      <w:r>
        <w:rPr>
          <w:rFonts w:hint="eastAsia" w:ascii="仿宋" w:hAnsi="仿宋" w:eastAsia="仿宋" w:cs="仿宋"/>
          <w:sz w:val="32"/>
          <w:szCs w:val="32"/>
          <w:lang w:val="en-US" w:eastAsia="zh-CN"/>
        </w:rPr>
        <w:t>23</w:t>
      </w:r>
      <w:r>
        <w:rPr>
          <w:rFonts w:hint="eastAsia" w:ascii="仿宋" w:hAnsi="仿宋" w:eastAsia="仿宋" w:cs="仿宋"/>
          <w:sz w:val="32"/>
          <w:szCs w:val="32"/>
        </w:rPr>
        <w:t>人，工勤编制1人。按财政供给率分，均为财政全额供给。退休人员</w:t>
      </w:r>
      <w:r>
        <w:rPr>
          <w:rFonts w:hint="eastAsia" w:ascii="仿宋" w:hAnsi="仿宋" w:eastAsia="仿宋" w:cs="仿宋"/>
          <w:sz w:val="32"/>
          <w:szCs w:val="32"/>
          <w:lang w:val="en-US" w:eastAsia="zh-CN"/>
        </w:rPr>
        <w:t>44</w:t>
      </w:r>
      <w:r>
        <w:rPr>
          <w:rFonts w:hint="eastAsia" w:ascii="仿宋" w:hAnsi="仿宋" w:eastAsia="仿宋" w:cs="仿宋"/>
          <w:sz w:val="32"/>
          <w:szCs w:val="32"/>
        </w:rPr>
        <w:t>人，其中：公务员</w:t>
      </w:r>
      <w:r>
        <w:rPr>
          <w:rFonts w:hint="eastAsia" w:ascii="仿宋" w:hAnsi="仿宋" w:eastAsia="仿宋" w:cs="仿宋"/>
          <w:sz w:val="32"/>
          <w:szCs w:val="32"/>
          <w:lang w:val="en-US" w:eastAsia="zh-CN"/>
        </w:rPr>
        <w:t>21</w:t>
      </w:r>
      <w:r>
        <w:rPr>
          <w:rFonts w:hint="eastAsia" w:ascii="仿宋" w:hAnsi="仿宋" w:eastAsia="仿宋" w:cs="仿宋"/>
          <w:sz w:val="32"/>
          <w:szCs w:val="32"/>
        </w:rPr>
        <w:t>人，非公务员</w:t>
      </w:r>
      <w:r>
        <w:rPr>
          <w:rFonts w:hint="eastAsia" w:ascii="仿宋" w:hAnsi="仿宋" w:eastAsia="仿宋" w:cs="仿宋"/>
          <w:sz w:val="32"/>
          <w:szCs w:val="32"/>
          <w:lang w:val="en-US" w:eastAsia="zh-CN"/>
        </w:rPr>
        <w:t>23</w:t>
      </w:r>
      <w:r>
        <w:rPr>
          <w:rFonts w:hint="eastAsia" w:ascii="仿宋" w:hAnsi="仿宋" w:eastAsia="仿宋" w:cs="仿宋"/>
          <w:sz w:val="32"/>
          <w:szCs w:val="32"/>
        </w:rPr>
        <w:t>人。</w:t>
      </w:r>
    </w:p>
    <w:p w14:paraId="3B5E3056">
      <w:pPr>
        <w:pStyle w:val="16"/>
      </w:pPr>
    </w:p>
    <w:p w14:paraId="0BAA1FAD">
      <w:pPr>
        <w:spacing w:line="580" w:lineRule="exact"/>
        <w:ind w:firstLine="640" w:firstLineChars="200"/>
        <w:rPr>
          <w:rFonts w:ascii="黑体" w:hAnsi="黑体" w:eastAsia="黑体" w:cs="黑体"/>
          <w:sz w:val="32"/>
          <w:szCs w:val="32"/>
        </w:rPr>
      </w:pPr>
      <w:r>
        <w:rPr>
          <w:rFonts w:ascii="黑体" w:hAnsi="黑体" w:eastAsia="黑体" w:cs="黑体"/>
          <w:sz w:val="32"/>
          <w:szCs w:val="32"/>
        </w:rPr>
        <w:t>二、部门财政资金收支情况</w:t>
      </w:r>
    </w:p>
    <w:p w14:paraId="49A71B7C">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（一）部门财政资金收入情况。</w:t>
      </w:r>
    </w:p>
    <w:p w14:paraId="182859BC">
      <w:pPr>
        <w:spacing w:line="360" w:lineRule="auto"/>
        <w:ind w:firstLine="720" w:firstLineChars="225"/>
        <w:jc w:val="left"/>
        <w:rPr>
          <w:rFonts w:hint="eastAsia" w:eastAsia="仿宋"/>
          <w:lang w:val="en-US" w:eastAsia="zh-CN"/>
        </w:rPr>
      </w:pPr>
      <w:r>
        <w:rPr>
          <w:rFonts w:hint="eastAsia" w:eastAsia="仿宋_GB2312"/>
          <w:color w:val="000000"/>
          <w:sz w:val="32"/>
        </w:rPr>
        <w:t>区农业局20</w:t>
      </w:r>
      <w:r>
        <w:rPr>
          <w:rFonts w:hint="eastAsia" w:eastAsia="仿宋_GB2312"/>
          <w:color w:val="000000"/>
          <w:sz w:val="32"/>
          <w:lang w:val="en-US" w:eastAsia="zh-CN"/>
        </w:rPr>
        <w:t>20</w:t>
      </w:r>
      <w:r>
        <w:rPr>
          <w:rFonts w:hint="eastAsia" w:eastAsia="仿宋_GB2312"/>
          <w:color w:val="000000"/>
          <w:sz w:val="32"/>
        </w:rPr>
        <w:t>年部门综合预算收入</w:t>
      </w:r>
      <w:r>
        <w:rPr>
          <w:rFonts w:hint="eastAsia" w:ascii="仿宋" w:hAnsi="仿宋" w:eastAsia="仿宋"/>
          <w:color w:val="000000"/>
          <w:sz w:val="32"/>
          <w:szCs w:val="32"/>
          <w:lang w:val="en-US" w:eastAsia="zh-CN"/>
        </w:rPr>
        <w:t>28468.72</w:t>
      </w:r>
      <w:r>
        <w:rPr>
          <w:rFonts w:hint="eastAsia" w:eastAsia="仿宋_GB2312"/>
          <w:color w:val="000000"/>
          <w:sz w:val="32"/>
          <w:lang w:val="en-US" w:eastAsia="zh-CN"/>
        </w:rPr>
        <w:t>万元</w:t>
      </w:r>
      <w:r>
        <w:rPr>
          <w:rFonts w:hint="eastAsia" w:ascii="仿宋_GB2312" w:hAnsi="仿宋_GB2312" w:eastAsia="仿宋_GB2312"/>
          <w:sz w:val="32"/>
          <w:lang w:eastAsia="zh-CN"/>
        </w:rPr>
        <w:t>，</w:t>
      </w:r>
      <w:r>
        <w:rPr>
          <w:rFonts w:hint="eastAsia" w:eastAsia="仿宋_GB2312"/>
          <w:color w:val="000000"/>
          <w:sz w:val="32"/>
        </w:rPr>
        <w:t>较20</w:t>
      </w:r>
      <w:r>
        <w:rPr>
          <w:rFonts w:hint="eastAsia" w:eastAsia="仿宋_GB2312"/>
          <w:color w:val="000000"/>
          <w:sz w:val="32"/>
          <w:lang w:val="en-US" w:eastAsia="zh-CN"/>
        </w:rPr>
        <w:t>19</w:t>
      </w:r>
      <w:r>
        <w:rPr>
          <w:rFonts w:hint="eastAsia" w:eastAsia="仿宋_GB2312"/>
          <w:color w:val="000000"/>
          <w:sz w:val="32"/>
        </w:rPr>
        <w:t>年部门综合预算收入</w:t>
      </w:r>
      <w:r>
        <w:rPr>
          <w:rFonts w:hint="eastAsia" w:eastAsia="仿宋_GB2312"/>
          <w:i w:val="0"/>
          <w:iCs w:val="0"/>
          <w:sz w:val="32"/>
        </w:rPr>
        <w:t>28135</w:t>
      </w:r>
      <w:r>
        <w:rPr>
          <w:rFonts w:hint="eastAsia" w:eastAsia="仿宋_GB2312"/>
          <w:i w:val="0"/>
          <w:iCs w:val="0"/>
          <w:sz w:val="32"/>
          <w:lang w:val="en-US" w:eastAsia="zh-CN"/>
        </w:rPr>
        <w:t>.</w:t>
      </w:r>
      <w:r>
        <w:rPr>
          <w:rFonts w:hint="eastAsia" w:eastAsia="仿宋_GB2312"/>
          <w:i w:val="0"/>
          <w:iCs w:val="0"/>
          <w:sz w:val="32"/>
        </w:rPr>
        <w:t>0</w:t>
      </w:r>
      <w:r>
        <w:rPr>
          <w:rFonts w:hint="eastAsia" w:eastAsia="仿宋_GB2312"/>
          <w:i w:val="0"/>
          <w:iCs w:val="0"/>
          <w:sz w:val="32"/>
          <w:lang w:val="en-US" w:eastAsia="zh-CN"/>
        </w:rPr>
        <w:t>2</w:t>
      </w:r>
      <w:r>
        <w:rPr>
          <w:rFonts w:hint="eastAsia" w:eastAsia="仿宋_GB2312"/>
          <w:color w:val="000000"/>
          <w:sz w:val="32"/>
        </w:rPr>
        <w:t>万元</w:t>
      </w:r>
      <w:r>
        <w:rPr>
          <w:rFonts w:hint="eastAsia" w:eastAsia="仿宋_GB2312"/>
          <w:color w:val="000000"/>
          <w:sz w:val="32"/>
          <w:lang w:eastAsia="zh-CN"/>
        </w:rPr>
        <w:t>，</w:t>
      </w:r>
      <w:r>
        <w:rPr>
          <w:rFonts w:hint="eastAsia" w:eastAsia="仿宋_GB2312"/>
          <w:color w:val="000000"/>
          <w:sz w:val="32"/>
        </w:rPr>
        <w:t>增加</w:t>
      </w:r>
      <w:r>
        <w:rPr>
          <w:rFonts w:hint="eastAsia" w:eastAsia="仿宋_GB2312"/>
          <w:sz w:val="32"/>
          <w:lang w:val="en-US" w:eastAsia="zh-CN"/>
        </w:rPr>
        <w:t>333.71万元，</w:t>
      </w:r>
      <w:r>
        <w:rPr>
          <w:rFonts w:hint="eastAsia" w:ascii="仿宋" w:hAnsi="仿宋" w:eastAsia="仿宋"/>
          <w:color w:val="000000"/>
          <w:sz w:val="32"/>
          <w:szCs w:val="32"/>
        </w:rPr>
        <w:t>增</w:t>
      </w:r>
      <w:r>
        <w:rPr>
          <w:rFonts w:hint="eastAsia" w:ascii="仿宋" w:hAnsi="仿宋" w:eastAsia="仿宋"/>
          <w:color w:val="000000"/>
          <w:sz w:val="32"/>
          <w:szCs w:val="32"/>
          <w:lang w:eastAsia="zh-CN"/>
        </w:rPr>
        <w:t>加</w:t>
      </w:r>
      <w:r>
        <w:rPr>
          <w:rFonts w:hint="eastAsia" w:ascii="仿宋" w:hAnsi="仿宋" w:eastAsia="仿宋"/>
          <w:color w:val="000000"/>
          <w:sz w:val="32"/>
          <w:szCs w:val="32"/>
          <w:lang w:val="en-US" w:eastAsia="zh-CN"/>
        </w:rPr>
        <w:t>1.18</w:t>
      </w:r>
      <w:r>
        <w:rPr>
          <w:rFonts w:ascii="仿宋" w:hAnsi="仿宋" w:eastAsia="仿宋"/>
          <w:color w:val="000000"/>
          <w:sz w:val="32"/>
          <w:szCs w:val="32"/>
        </w:rPr>
        <w:t>%</w:t>
      </w:r>
      <w:r>
        <w:rPr>
          <w:rFonts w:hint="eastAsia" w:ascii="仿宋" w:hAnsi="仿宋" w:eastAsia="仿宋"/>
          <w:color w:val="000000"/>
          <w:sz w:val="32"/>
          <w:szCs w:val="32"/>
          <w:lang w:eastAsia="zh-CN"/>
        </w:rPr>
        <w:t>。</w:t>
      </w:r>
    </w:p>
    <w:p w14:paraId="1522562F">
      <w:pPr>
        <w:numPr>
          <w:ilvl w:val="0"/>
          <w:numId w:val="7"/>
        </w:num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部门财政资金支出情况。</w:t>
      </w:r>
    </w:p>
    <w:p w14:paraId="2E53DE67">
      <w:pPr>
        <w:pStyle w:val="16"/>
        <w:ind w:firstLine="640"/>
      </w:pPr>
      <w:r>
        <w:rPr>
          <w:rFonts w:hint="eastAsia" w:eastAsia="仿宋_GB2312"/>
          <w:color w:val="000000"/>
          <w:sz w:val="32"/>
        </w:rPr>
        <w:t>综合预算支出</w:t>
      </w:r>
      <w:r>
        <w:rPr>
          <w:rFonts w:hint="eastAsia" w:ascii="仿宋" w:hAnsi="仿宋" w:eastAsia="仿宋"/>
          <w:color w:val="000000"/>
          <w:sz w:val="32"/>
          <w:szCs w:val="32"/>
        </w:rPr>
        <w:t>21134.7</w:t>
      </w:r>
      <w:r>
        <w:rPr>
          <w:rFonts w:hint="eastAsia" w:eastAsia="仿宋_GB2312"/>
          <w:color w:val="000000"/>
          <w:sz w:val="32"/>
        </w:rPr>
        <w:t>万元，较201</w:t>
      </w:r>
      <w:r>
        <w:rPr>
          <w:rFonts w:hint="eastAsia" w:eastAsia="仿宋_GB2312"/>
          <w:color w:val="000000"/>
          <w:sz w:val="32"/>
          <w:lang w:val="en-US" w:eastAsia="zh-CN"/>
        </w:rPr>
        <w:t>9</w:t>
      </w:r>
      <w:r>
        <w:rPr>
          <w:rFonts w:hint="eastAsia" w:eastAsia="仿宋_GB2312"/>
          <w:color w:val="000000"/>
          <w:sz w:val="32"/>
        </w:rPr>
        <w:t>年部门综合预算支出</w:t>
      </w:r>
      <w:r>
        <w:rPr>
          <w:rFonts w:hint="eastAsia" w:eastAsia="仿宋_GB2312"/>
          <w:sz w:val="32"/>
          <w:lang w:val="en-US" w:eastAsia="zh-CN"/>
        </w:rPr>
        <w:t>21,259.18</w:t>
      </w:r>
      <w:r>
        <w:rPr>
          <w:rFonts w:hint="eastAsia" w:eastAsia="仿宋_GB2312"/>
          <w:color w:val="000000"/>
          <w:sz w:val="32"/>
        </w:rPr>
        <w:t>万元</w:t>
      </w:r>
      <w:r>
        <w:rPr>
          <w:rFonts w:hint="eastAsia" w:eastAsia="仿宋_GB2312"/>
          <w:color w:val="000000"/>
          <w:sz w:val="32"/>
          <w:lang w:eastAsia="zh-CN"/>
        </w:rPr>
        <w:t>，减少</w:t>
      </w:r>
      <w:r>
        <w:rPr>
          <w:rFonts w:hint="eastAsia" w:eastAsia="仿宋_GB2312"/>
          <w:sz w:val="32"/>
          <w:lang w:val="en-US" w:eastAsia="zh-CN"/>
        </w:rPr>
        <w:t>124.48</w:t>
      </w:r>
      <w:r>
        <w:rPr>
          <w:rFonts w:hint="eastAsia" w:eastAsia="仿宋_GB2312"/>
          <w:color w:val="000000"/>
          <w:sz w:val="32"/>
        </w:rPr>
        <w:t>万元，</w:t>
      </w:r>
      <w:r>
        <w:rPr>
          <w:rFonts w:hint="eastAsia" w:eastAsia="仿宋_GB2312"/>
          <w:color w:val="000000"/>
          <w:sz w:val="32"/>
          <w:lang w:eastAsia="zh-CN"/>
        </w:rPr>
        <w:t>减少</w:t>
      </w:r>
      <w:r>
        <w:rPr>
          <w:rFonts w:hint="eastAsia" w:eastAsia="仿宋_GB2312"/>
          <w:color w:val="000000"/>
          <w:sz w:val="32"/>
          <w:lang w:val="en-US" w:eastAsia="zh-CN"/>
        </w:rPr>
        <w:t>0.59</w:t>
      </w:r>
      <w:r>
        <w:rPr>
          <w:rFonts w:hint="eastAsia" w:eastAsia="仿宋_GB2312"/>
          <w:sz w:val="32"/>
        </w:rPr>
        <w:t>％</w:t>
      </w:r>
      <w:r>
        <w:rPr>
          <w:rFonts w:hint="eastAsia" w:eastAsia="仿宋_GB2312"/>
          <w:color w:val="000000"/>
          <w:sz w:val="32"/>
        </w:rPr>
        <w:t>。</w:t>
      </w:r>
    </w:p>
    <w:p w14:paraId="181E453D">
      <w:pPr>
        <w:numPr>
          <w:ilvl w:val="0"/>
          <w:numId w:val="0"/>
        </w:numPr>
        <w:spacing w:line="580" w:lineRule="exact"/>
        <w:ind w:left="630" w:leftChars="0"/>
        <w:rPr>
          <w:rFonts w:ascii="黑体" w:hAnsi="黑体" w:eastAsia="黑体" w:cs="黑体"/>
          <w:sz w:val="32"/>
          <w:szCs w:val="32"/>
        </w:rPr>
      </w:pPr>
      <w:r>
        <w:rPr>
          <w:rFonts w:hint="eastAsia" w:ascii="黑体" w:hAnsi="黑体" w:eastAsia="黑体" w:cs="黑体"/>
          <w:sz w:val="32"/>
          <w:szCs w:val="32"/>
          <w:lang w:eastAsia="zh-CN"/>
        </w:rPr>
        <w:t>三、</w:t>
      </w:r>
      <w:r>
        <w:rPr>
          <w:rFonts w:ascii="黑体" w:hAnsi="黑体" w:eastAsia="黑体" w:cs="黑体"/>
          <w:sz w:val="32"/>
          <w:szCs w:val="32"/>
        </w:rPr>
        <w:t>部门整体预算绩效管理情况</w:t>
      </w:r>
    </w:p>
    <w:p w14:paraId="7283BB2F">
      <w:pPr>
        <w:spacing w:line="580" w:lineRule="exact"/>
        <w:ind w:left="640"/>
        <w:rPr>
          <w:rFonts w:ascii="仿宋" w:hAnsi="仿宋" w:eastAsia="仿宋" w:cs="仿宋_GB2312"/>
          <w:b/>
          <w:bCs/>
          <w:sz w:val="32"/>
          <w:szCs w:val="32"/>
        </w:rPr>
      </w:pPr>
      <w:r>
        <w:rPr>
          <w:rFonts w:ascii="仿宋" w:hAnsi="仿宋" w:eastAsia="仿宋" w:cs="仿宋_GB2312"/>
          <w:b/>
          <w:bCs/>
          <w:sz w:val="32"/>
          <w:szCs w:val="32"/>
        </w:rPr>
        <w:t>（一）部门预算管理。</w:t>
      </w:r>
    </w:p>
    <w:p w14:paraId="7DB42E3A">
      <w:pPr>
        <w:widowControl/>
        <w:ind w:firstLine="620" w:firstLineChars="200"/>
        <w:jc w:val="left"/>
        <w:rPr>
          <w:rFonts w:ascii="仿宋" w:hAnsi="仿宋" w:eastAsia="仿宋" w:cs="仿宋"/>
          <w:color w:val="000000"/>
          <w:kern w:val="0"/>
          <w:sz w:val="31"/>
          <w:szCs w:val="31"/>
        </w:rPr>
      </w:pPr>
      <w:r>
        <w:rPr>
          <w:rFonts w:ascii="仿宋" w:hAnsi="仿宋" w:eastAsia="仿宋" w:cs="仿宋"/>
          <w:color w:val="000000"/>
          <w:kern w:val="0"/>
          <w:sz w:val="31"/>
          <w:szCs w:val="31"/>
        </w:rPr>
        <w:t>我</w:t>
      </w:r>
      <w:r>
        <w:rPr>
          <w:rFonts w:hint="eastAsia" w:ascii="仿宋" w:hAnsi="仿宋" w:eastAsia="仿宋" w:cs="仿宋"/>
          <w:color w:val="000000"/>
          <w:kern w:val="0"/>
          <w:sz w:val="31"/>
          <w:szCs w:val="31"/>
        </w:rPr>
        <w:t>局</w:t>
      </w:r>
      <w:r>
        <w:rPr>
          <w:rFonts w:ascii="仿宋" w:hAnsi="仿宋" w:eastAsia="仿宋" w:cs="仿宋"/>
          <w:color w:val="000000"/>
          <w:kern w:val="0"/>
          <w:sz w:val="31"/>
          <w:szCs w:val="31"/>
        </w:rPr>
        <w:t>认真学习贯彻党的十九大、省第十一次党代会和省</w:t>
      </w:r>
      <w:r>
        <w:rPr>
          <w:rFonts w:hint="eastAsia" w:ascii="仿宋" w:hAnsi="仿宋" w:eastAsia="仿宋" w:cs="仿宋"/>
          <w:color w:val="000000"/>
          <w:kern w:val="0"/>
          <w:sz w:val="31"/>
          <w:szCs w:val="31"/>
        </w:rPr>
        <w:t>委十一届三次、四次全会精神，以习近平新时代中国特色社会主义思想为指导，自觉践行新发展理念，根据职能职责积极谋划，确定目标任务，积极发挥公共财政职能作用，推动落实稳增长、促改革、调结构、惠民生、防风险各项工作。</w:t>
      </w:r>
    </w:p>
    <w:p w14:paraId="0A636B09">
      <w:pPr>
        <w:widowControl/>
        <w:ind w:firstLine="620" w:firstLineChars="200"/>
        <w:jc w:val="left"/>
        <w:rPr>
          <w:rFonts w:hint="eastAsia" w:ascii="仿宋" w:hAnsi="仿宋" w:eastAsia="仿宋" w:cs="仿宋"/>
          <w:color w:val="000000"/>
          <w:kern w:val="0"/>
          <w:sz w:val="31"/>
          <w:szCs w:val="31"/>
        </w:rPr>
      </w:pPr>
      <w:r>
        <w:rPr>
          <w:rFonts w:hint="eastAsia" w:ascii="仿宋" w:hAnsi="仿宋" w:eastAsia="仿宋" w:cs="仿宋"/>
          <w:color w:val="000000"/>
          <w:kern w:val="0"/>
          <w:sz w:val="31"/>
          <w:szCs w:val="31"/>
        </w:rPr>
        <w:t>一是按照 20</w:t>
      </w:r>
      <w:r>
        <w:rPr>
          <w:rFonts w:hint="eastAsia" w:ascii="仿宋" w:hAnsi="仿宋" w:eastAsia="仿宋" w:cs="仿宋"/>
          <w:color w:val="000000"/>
          <w:kern w:val="0"/>
          <w:sz w:val="31"/>
          <w:szCs w:val="31"/>
          <w:lang w:val="en-US" w:eastAsia="zh-CN"/>
        </w:rPr>
        <w:t>20</w:t>
      </w:r>
      <w:r>
        <w:rPr>
          <w:rFonts w:hint="eastAsia" w:ascii="仿宋" w:hAnsi="仿宋" w:eastAsia="仿宋" w:cs="仿宋"/>
          <w:color w:val="000000"/>
          <w:kern w:val="0"/>
          <w:sz w:val="31"/>
          <w:szCs w:val="31"/>
        </w:rPr>
        <w:t>年部门预算编审要求，根据我局职能职责，结合中长期规划和年度工作计划，明确了年度主要工作任务及年度内履职所要达到的总体产出和效果，认真填报了我局整体支出绩效目标及“报送20</w:t>
      </w:r>
      <w:r>
        <w:rPr>
          <w:rFonts w:hint="eastAsia" w:ascii="仿宋" w:hAnsi="仿宋" w:eastAsia="仿宋" w:cs="仿宋"/>
          <w:color w:val="000000"/>
          <w:kern w:val="0"/>
          <w:sz w:val="31"/>
          <w:szCs w:val="31"/>
          <w:lang w:val="en-US" w:eastAsia="zh-CN"/>
        </w:rPr>
        <w:t>20</w:t>
      </w:r>
      <w:r>
        <w:rPr>
          <w:rFonts w:hint="eastAsia" w:ascii="仿宋" w:hAnsi="仿宋" w:eastAsia="仿宋" w:cs="仿宋"/>
          <w:color w:val="000000"/>
          <w:kern w:val="0"/>
          <w:sz w:val="31"/>
          <w:szCs w:val="31"/>
        </w:rPr>
        <w:t>年</w:t>
      </w:r>
      <w:r>
        <w:rPr>
          <w:rFonts w:hint="eastAsia" w:ascii="仿宋" w:hAnsi="仿宋" w:eastAsia="仿宋" w:cs="仿宋"/>
          <w:color w:val="000000"/>
          <w:kern w:val="0"/>
          <w:sz w:val="31"/>
          <w:szCs w:val="31"/>
          <w:lang w:eastAsia="zh-CN"/>
        </w:rPr>
        <w:t>东西部协作剑门土鸡项目”、“</w:t>
      </w:r>
      <w:r>
        <w:rPr>
          <w:rFonts w:hint="eastAsia" w:ascii="仿宋" w:hAnsi="仿宋" w:eastAsia="仿宋" w:cs="仿宋"/>
          <w:color w:val="000000"/>
          <w:kern w:val="0"/>
          <w:sz w:val="31"/>
          <w:szCs w:val="31"/>
          <w:lang w:val="en-US" w:eastAsia="zh-CN"/>
        </w:rPr>
        <w:t>2020年高标准农田项目</w:t>
      </w:r>
      <w:r>
        <w:rPr>
          <w:rFonts w:hint="eastAsia" w:ascii="仿宋" w:hAnsi="仿宋" w:eastAsia="仿宋" w:cs="仿宋"/>
          <w:color w:val="000000"/>
          <w:kern w:val="0"/>
          <w:sz w:val="31"/>
          <w:szCs w:val="31"/>
          <w:lang w:eastAsia="zh-CN"/>
        </w:rPr>
        <w:t>”等</w:t>
      </w:r>
      <w:r>
        <w:rPr>
          <w:rFonts w:hint="eastAsia" w:ascii="仿宋" w:hAnsi="仿宋" w:eastAsia="仿宋" w:cs="仿宋"/>
          <w:color w:val="000000"/>
          <w:kern w:val="0"/>
          <w:sz w:val="31"/>
          <w:szCs w:val="31"/>
        </w:rPr>
        <w:t xml:space="preserve">具体说明了项目概况，设定了年度绩效数量指标、成本指标、效益指标等，详细反映了相应项目工作任务、达成的效果。 </w:t>
      </w:r>
    </w:p>
    <w:p w14:paraId="564BDD46">
      <w:pPr>
        <w:widowControl/>
        <w:ind w:firstLine="620" w:firstLineChars="200"/>
        <w:jc w:val="left"/>
      </w:pPr>
      <w:r>
        <w:rPr>
          <w:rFonts w:hint="eastAsia" w:ascii="仿宋" w:hAnsi="仿宋" w:eastAsia="仿宋" w:cs="仿宋"/>
          <w:color w:val="000000"/>
          <w:kern w:val="0"/>
          <w:sz w:val="31"/>
          <w:szCs w:val="31"/>
        </w:rPr>
        <w:t>二是按照</w:t>
      </w:r>
      <w:r>
        <w:rPr>
          <w:rFonts w:hint="eastAsia" w:ascii="仿宋_GB2312" w:hAnsi="微软雅黑" w:eastAsia="仿宋_GB2312" w:cs="仿宋_GB2312"/>
          <w:color w:val="333333"/>
          <w:sz w:val="31"/>
          <w:szCs w:val="31"/>
          <w:shd w:val="clear" w:color="auto" w:fill="FFFFFF"/>
          <w:lang w:eastAsia="zh-CN"/>
        </w:rPr>
        <w:t>财政厅印发《关于开展</w:t>
      </w:r>
      <w:r>
        <w:rPr>
          <w:rFonts w:hint="eastAsia" w:ascii="仿宋_GB2312" w:hAnsi="微软雅黑" w:eastAsia="仿宋_GB2312" w:cs="仿宋_GB2312"/>
          <w:color w:val="333333"/>
          <w:sz w:val="31"/>
          <w:szCs w:val="31"/>
          <w:shd w:val="clear" w:color="auto" w:fill="FFFFFF"/>
          <w:lang w:val="en-US" w:eastAsia="zh-CN"/>
        </w:rPr>
        <w:t>2020年度中央对地方转移支付预算执行情况绩效自评工作的通知</w:t>
      </w:r>
      <w:r>
        <w:rPr>
          <w:rFonts w:hint="eastAsia" w:ascii="仿宋_GB2312" w:hAnsi="微软雅黑" w:eastAsia="仿宋_GB2312" w:cs="仿宋_GB2312"/>
          <w:color w:val="333333"/>
          <w:sz w:val="31"/>
          <w:szCs w:val="31"/>
          <w:shd w:val="clear" w:color="auto" w:fill="FFFFFF"/>
          <w:lang w:eastAsia="zh-CN"/>
        </w:rPr>
        <w:t>》的</w:t>
      </w:r>
      <w:r>
        <w:rPr>
          <w:rFonts w:hint="eastAsia" w:ascii="仿宋" w:hAnsi="仿宋" w:eastAsia="仿宋" w:cs="仿宋"/>
          <w:color w:val="000000"/>
          <w:kern w:val="0"/>
          <w:sz w:val="31"/>
          <w:szCs w:val="31"/>
        </w:rPr>
        <w:t>要求</w:t>
      </w:r>
      <w:r>
        <w:rPr>
          <w:rFonts w:hint="eastAsia" w:ascii="仿宋" w:hAnsi="仿宋" w:eastAsia="仿宋" w:cs="仿宋"/>
          <w:color w:val="000000"/>
          <w:kern w:val="0"/>
          <w:sz w:val="31"/>
          <w:szCs w:val="31"/>
          <w:lang w:eastAsia="zh-CN"/>
        </w:rPr>
        <w:t>和广元市昭化区财政局印发《关于开展</w:t>
      </w:r>
      <w:r>
        <w:rPr>
          <w:rFonts w:hint="eastAsia" w:ascii="仿宋" w:hAnsi="仿宋" w:eastAsia="仿宋" w:cs="仿宋"/>
          <w:color w:val="000000"/>
          <w:kern w:val="0"/>
          <w:sz w:val="31"/>
          <w:szCs w:val="31"/>
          <w:lang w:val="en-US" w:eastAsia="zh-CN"/>
        </w:rPr>
        <w:t>2020年度部门绩效自评抽查工作的通知</w:t>
      </w:r>
      <w:r>
        <w:rPr>
          <w:rFonts w:hint="eastAsia" w:ascii="仿宋" w:hAnsi="仿宋" w:eastAsia="仿宋" w:cs="仿宋"/>
          <w:color w:val="000000"/>
          <w:kern w:val="0"/>
          <w:sz w:val="31"/>
          <w:szCs w:val="31"/>
          <w:lang w:eastAsia="zh-CN"/>
        </w:rPr>
        <w:t>》的</w:t>
      </w:r>
      <w:r>
        <w:rPr>
          <w:rFonts w:hint="eastAsia" w:ascii="仿宋_GB2312" w:hAnsi="微软雅黑" w:eastAsia="仿宋_GB2312" w:cs="仿宋_GB2312"/>
          <w:color w:val="333333"/>
          <w:sz w:val="31"/>
          <w:szCs w:val="31"/>
          <w:shd w:val="clear" w:color="auto" w:fill="FFFFFF"/>
          <w:lang w:val="en-US" w:eastAsia="zh-CN"/>
        </w:rPr>
        <w:t>要求</w:t>
      </w:r>
      <w:r>
        <w:rPr>
          <w:rFonts w:hint="eastAsia" w:ascii="仿宋" w:hAnsi="仿宋" w:eastAsia="仿宋" w:cs="仿宋"/>
          <w:color w:val="000000"/>
          <w:kern w:val="0"/>
          <w:sz w:val="31"/>
          <w:szCs w:val="31"/>
        </w:rPr>
        <w:t xml:space="preserve">，认真组织开展我局的绩效监控工作，对项目进度、预算执行、投入产出、各项效益的阶段完成情况进行动态跟踪监控，填报《项目预算绩效自评表 》，进一步明确项目完成目标可能性及时间。为有效使用财政资金，我局根据全局实际工作开展情况，提高财政资金使用效益，保障了全局专项工作顺利开展。 </w:t>
      </w:r>
    </w:p>
    <w:p w14:paraId="70D5BFC8">
      <w:pPr>
        <w:widowControl/>
        <w:ind w:firstLine="620" w:firstLineChars="200"/>
        <w:jc w:val="left"/>
      </w:pPr>
      <w:r>
        <w:rPr>
          <w:rFonts w:hint="eastAsia" w:ascii="仿宋" w:hAnsi="仿宋" w:eastAsia="仿宋" w:cs="仿宋"/>
          <w:color w:val="000000"/>
          <w:kern w:val="0"/>
          <w:sz w:val="31"/>
          <w:szCs w:val="31"/>
        </w:rPr>
        <w:t>三是按照财政部门统一部署，我局于 20</w:t>
      </w:r>
      <w:r>
        <w:rPr>
          <w:rFonts w:hint="eastAsia" w:ascii="仿宋" w:hAnsi="仿宋" w:eastAsia="仿宋" w:cs="仿宋"/>
          <w:color w:val="000000"/>
          <w:kern w:val="0"/>
          <w:sz w:val="31"/>
          <w:szCs w:val="31"/>
          <w:lang w:val="en-US" w:eastAsia="zh-CN"/>
        </w:rPr>
        <w:t>20</w:t>
      </w:r>
      <w:r>
        <w:rPr>
          <w:rFonts w:hint="eastAsia" w:ascii="仿宋" w:hAnsi="仿宋" w:eastAsia="仿宋" w:cs="仿宋"/>
          <w:color w:val="000000"/>
          <w:kern w:val="0"/>
          <w:sz w:val="31"/>
          <w:szCs w:val="31"/>
        </w:rPr>
        <w:t xml:space="preserve">年 </w:t>
      </w:r>
      <w:r>
        <w:rPr>
          <w:rFonts w:hint="eastAsia" w:ascii="仿宋" w:hAnsi="仿宋" w:eastAsia="仿宋" w:cs="仿宋"/>
          <w:color w:val="000000"/>
          <w:kern w:val="0"/>
          <w:sz w:val="31"/>
          <w:szCs w:val="31"/>
          <w:lang w:val="en-US" w:eastAsia="zh-CN"/>
        </w:rPr>
        <w:t>5</w:t>
      </w:r>
      <w:r>
        <w:rPr>
          <w:rFonts w:hint="eastAsia" w:ascii="仿宋" w:hAnsi="仿宋" w:eastAsia="仿宋" w:cs="仿宋"/>
          <w:color w:val="000000"/>
          <w:kern w:val="0"/>
          <w:sz w:val="31"/>
          <w:szCs w:val="31"/>
        </w:rPr>
        <w:t xml:space="preserve">月 </w:t>
      </w:r>
      <w:r>
        <w:rPr>
          <w:rFonts w:hint="eastAsia" w:ascii="仿宋" w:hAnsi="仿宋" w:eastAsia="仿宋" w:cs="仿宋"/>
          <w:color w:val="000000"/>
          <w:kern w:val="0"/>
          <w:sz w:val="31"/>
          <w:szCs w:val="31"/>
          <w:lang w:val="en-US" w:eastAsia="zh-CN"/>
        </w:rPr>
        <w:t>14</w:t>
      </w:r>
      <w:r>
        <w:rPr>
          <w:rFonts w:hint="eastAsia" w:ascii="仿宋" w:hAnsi="仿宋" w:eastAsia="仿宋" w:cs="仿宋"/>
          <w:color w:val="000000"/>
          <w:kern w:val="0"/>
          <w:sz w:val="31"/>
          <w:szCs w:val="31"/>
        </w:rPr>
        <w:t>日按要求进行了 20</w:t>
      </w:r>
      <w:r>
        <w:rPr>
          <w:rFonts w:hint="eastAsia" w:ascii="仿宋" w:hAnsi="仿宋" w:eastAsia="仿宋" w:cs="仿宋"/>
          <w:color w:val="000000"/>
          <w:kern w:val="0"/>
          <w:sz w:val="31"/>
          <w:szCs w:val="31"/>
          <w:lang w:val="en-US" w:eastAsia="zh-CN"/>
        </w:rPr>
        <w:t>20</w:t>
      </w:r>
      <w:r>
        <w:rPr>
          <w:rFonts w:hint="eastAsia" w:ascii="仿宋" w:hAnsi="仿宋" w:eastAsia="仿宋" w:cs="仿宋"/>
          <w:color w:val="000000"/>
          <w:kern w:val="0"/>
          <w:sz w:val="31"/>
          <w:szCs w:val="31"/>
        </w:rPr>
        <w:t>年预算公开。</w:t>
      </w:r>
    </w:p>
    <w:p w14:paraId="5BA41033">
      <w:pPr>
        <w:spacing w:line="580" w:lineRule="exact"/>
        <w:ind w:firstLine="643" w:firstLineChars="200"/>
        <w:rPr>
          <w:rFonts w:ascii="仿宋" w:hAnsi="仿宋" w:eastAsia="仿宋" w:cs="仿宋_GB2312"/>
          <w:b/>
          <w:bCs/>
          <w:sz w:val="32"/>
          <w:szCs w:val="32"/>
        </w:rPr>
      </w:pPr>
      <w:r>
        <w:rPr>
          <w:rFonts w:ascii="仿宋" w:hAnsi="仿宋" w:eastAsia="仿宋" w:cs="仿宋_GB2312"/>
          <w:b/>
          <w:bCs/>
          <w:sz w:val="32"/>
          <w:szCs w:val="32"/>
        </w:rPr>
        <w:t>（</w:t>
      </w:r>
      <w:r>
        <w:rPr>
          <w:rFonts w:hint="eastAsia" w:ascii="仿宋" w:hAnsi="仿宋" w:eastAsia="仿宋" w:cs="仿宋_GB2312"/>
          <w:b/>
          <w:bCs/>
          <w:sz w:val="32"/>
          <w:szCs w:val="32"/>
          <w:lang w:eastAsia="zh-CN"/>
        </w:rPr>
        <w:t>二</w:t>
      </w:r>
      <w:r>
        <w:rPr>
          <w:rFonts w:ascii="仿宋" w:hAnsi="仿宋" w:eastAsia="仿宋" w:cs="仿宋_GB2312"/>
          <w:b/>
          <w:bCs/>
          <w:sz w:val="32"/>
          <w:szCs w:val="32"/>
        </w:rPr>
        <w:t>）结果应用情况。</w:t>
      </w:r>
    </w:p>
    <w:p w14:paraId="009D7435">
      <w:pPr>
        <w:widowControl/>
        <w:ind w:firstLine="620" w:firstLineChars="200"/>
        <w:jc w:val="left"/>
      </w:pPr>
      <w:r>
        <w:rPr>
          <w:rFonts w:ascii="仿宋" w:hAnsi="仿宋" w:eastAsia="仿宋" w:cs="仿宋"/>
          <w:color w:val="000000"/>
          <w:kern w:val="0"/>
          <w:sz w:val="31"/>
          <w:szCs w:val="31"/>
        </w:rPr>
        <w:t>我</w:t>
      </w:r>
      <w:r>
        <w:rPr>
          <w:rFonts w:hint="eastAsia" w:ascii="仿宋" w:hAnsi="仿宋" w:eastAsia="仿宋" w:cs="仿宋"/>
          <w:color w:val="000000"/>
          <w:kern w:val="0"/>
          <w:sz w:val="31"/>
          <w:szCs w:val="31"/>
        </w:rPr>
        <w:t>局</w:t>
      </w:r>
      <w:r>
        <w:rPr>
          <w:rFonts w:ascii="仿宋" w:hAnsi="仿宋" w:eastAsia="仿宋" w:cs="仿宋"/>
          <w:color w:val="000000"/>
          <w:kern w:val="0"/>
          <w:sz w:val="31"/>
          <w:szCs w:val="31"/>
        </w:rPr>
        <w:t>预算绩效管理工作开展情况认真进行了自</w:t>
      </w:r>
      <w:r>
        <w:rPr>
          <w:rFonts w:hint="eastAsia" w:ascii="仿宋" w:hAnsi="仿宋" w:eastAsia="仿宋" w:cs="仿宋"/>
          <w:color w:val="000000"/>
          <w:kern w:val="0"/>
          <w:sz w:val="31"/>
          <w:szCs w:val="31"/>
        </w:rPr>
        <w:t>查自评。绩效评价自查开展覆盖局单位及重点支出，将评价结果作为预算安排的重要依据，参照项目年度预算执行情况、“三年滚动规划”执行情况统筹项目支出需求，保障重点支出，调整支出结构，优化财政资金配置，不断强化绩效理念，推动我局整体绩效管理水平不断提升。</w:t>
      </w:r>
    </w:p>
    <w:p w14:paraId="07CF2674">
      <w:pPr>
        <w:spacing w:line="580" w:lineRule="exact"/>
        <w:ind w:firstLine="640" w:firstLineChars="200"/>
        <w:rPr>
          <w:rFonts w:ascii="黑体" w:hAnsi="黑体" w:eastAsia="黑体" w:cs="黑体"/>
          <w:sz w:val="32"/>
          <w:szCs w:val="32"/>
        </w:rPr>
      </w:pPr>
      <w:r>
        <w:rPr>
          <w:rFonts w:ascii="黑体" w:hAnsi="黑体" w:eastAsia="黑体" w:cs="黑体"/>
          <w:sz w:val="32"/>
          <w:szCs w:val="32"/>
        </w:rPr>
        <w:t>四、评价结论及建议</w:t>
      </w:r>
    </w:p>
    <w:p w14:paraId="12E90120">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（一）评价结论。</w:t>
      </w:r>
    </w:p>
    <w:p w14:paraId="359CE0DE">
      <w:pPr>
        <w:spacing w:line="580" w:lineRule="exact"/>
        <w:ind w:firstLine="640" w:firstLineChars="200"/>
        <w:rPr>
          <w:rFonts w:hint="eastAsia" w:eastAsia="仿宋"/>
          <w:lang w:eastAsia="zh-CN"/>
        </w:rPr>
      </w:pPr>
      <w:r>
        <w:rPr>
          <w:rFonts w:ascii="仿宋" w:hAnsi="仿宋" w:eastAsia="仿宋" w:cs="仿宋_GB2312"/>
          <w:sz w:val="32"/>
          <w:szCs w:val="32"/>
        </w:rPr>
        <w:t>20</w:t>
      </w:r>
      <w:r>
        <w:rPr>
          <w:rFonts w:hint="eastAsia" w:ascii="仿宋" w:hAnsi="仿宋" w:eastAsia="仿宋" w:cs="仿宋_GB2312"/>
          <w:sz w:val="32"/>
          <w:szCs w:val="32"/>
          <w:lang w:val="en-US" w:eastAsia="zh-CN"/>
        </w:rPr>
        <w:t>20</w:t>
      </w:r>
      <w:r>
        <w:rPr>
          <w:rFonts w:ascii="仿宋" w:hAnsi="仿宋" w:eastAsia="仿宋" w:cs="仿宋_GB2312"/>
          <w:sz w:val="32"/>
          <w:szCs w:val="32"/>
        </w:rPr>
        <w:t>年我</w:t>
      </w:r>
      <w:r>
        <w:rPr>
          <w:rFonts w:hint="eastAsia" w:ascii="仿宋" w:hAnsi="仿宋" w:eastAsia="仿宋" w:cs="仿宋_GB2312"/>
          <w:sz w:val="32"/>
          <w:szCs w:val="32"/>
        </w:rPr>
        <w:t>局</w:t>
      </w:r>
      <w:r>
        <w:rPr>
          <w:rFonts w:ascii="仿宋" w:hAnsi="仿宋" w:eastAsia="仿宋" w:cs="仿宋_GB2312"/>
          <w:sz w:val="32"/>
          <w:szCs w:val="32"/>
        </w:rPr>
        <w:t>整体支出绩效评价自查自评结果良好，</w:t>
      </w:r>
      <w:r>
        <w:rPr>
          <w:rFonts w:hint="eastAsia" w:ascii="仿宋" w:hAnsi="仿宋" w:eastAsia="仿宋" w:cs="仿宋_GB2312"/>
          <w:sz w:val="32"/>
          <w:szCs w:val="32"/>
        </w:rPr>
        <w:t>全年基本支出保证了部门的正常运行和日常工作的正常开展，项目支出保障了重点工作的开展，达到预期绩效目标。</w:t>
      </w:r>
    </w:p>
    <w:p w14:paraId="796FD34B">
      <w:pPr>
        <w:widowControl/>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（二）存在问题。</w:t>
      </w:r>
    </w:p>
    <w:p w14:paraId="7CFFD76E">
      <w:pPr>
        <w:widowControl/>
        <w:ind w:firstLine="620" w:firstLineChars="200"/>
        <w:jc w:val="left"/>
      </w:pPr>
      <w:r>
        <w:rPr>
          <w:rFonts w:ascii="仿宋" w:hAnsi="仿宋" w:eastAsia="仿宋" w:cs="仿宋"/>
          <w:color w:val="000000"/>
          <w:kern w:val="0"/>
          <w:sz w:val="31"/>
          <w:szCs w:val="31"/>
        </w:rPr>
        <w:t>绩效目标设定有待更科学更合理。</w:t>
      </w:r>
    </w:p>
    <w:p w14:paraId="3ECC514A">
      <w:pPr>
        <w:widowControl/>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（三）改进建议。</w:t>
      </w:r>
    </w:p>
    <w:p w14:paraId="132D6781">
      <w:pPr>
        <w:widowControl/>
        <w:ind w:firstLine="620" w:firstLineChars="200"/>
        <w:jc w:val="left"/>
        <w:rPr>
          <w:rFonts w:ascii="仿宋" w:hAnsi="仿宋" w:eastAsia="仿宋" w:cs="仿宋"/>
          <w:color w:val="000000"/>
          <w:kern w:val="0"/>
          <w:sz w:val="31"/>
          <w:szCs w:val="31"/>
        </w:rPr>
      </w:pPr>
      <w:r>
        <w:rPr>
          <w:rFonts w:ascii="仿宋" w:hAnsi="仿宋" w:eastAsia="仿宋" w:cs="仿宋"/>
          <w:color w:val="000000"/>
          <w:kern w:val="0"/>
          <w:sz w:val="31"/>
          <w:szCs w:val="31"/>
        </w:rPr>
        <w:t>针对存在的问题，我们将进一步科学设定绩效目标，加</w:t>
      </w:r>
      <w:r>
        <w:rPr>
          <w:rFonts w:hint="eastAsia" w:ascii="仿宋" w:hAnsi="仿宋" w:eastAsia="仿宋" w:cs="仿宋"/>
          <w:color w:val="000000"/>
          <w:kern w:val="0"/>
          <w:sz w:val="31"/>
          <w:szCs w:val="31"/>
        </w:rPr>
        <w:t>强预算执行管理。一是改进部门收支预算编制，夯实预算基础工作，提高预算编制质量；二是认真研究政策，加强项目绩效目标审核，力求科学合理；三是认真研究重点项目的执行，特别是涉及政府采购的项目，提早规划，提前实施，确保项目顺利实施，提高财政资金的使用效益。</w:t>
      </w:r>
    </w:p>
    <w:p w14:paraId="6AA7AB2A">
      <w:pPr>
        <w:widowControl/>
        <w:ind w:firstLine="620" w:firstLineChars="200"/>
        <w:jc w:val="left"/>
        <w:rPr>
          <w:rFonts w:ascii="仿宋" w:hAnsi="仿宋" w:eastAsia="仿宋" w:cs="仿宋"/>
          <w:color w:val="000000"/>
          <w:kern w:val="0"/>
          <w:sz w:val="31"/>
          <w:szCs w:val="31"/>
        </w:rPr>
      </w:pPr>
    </w:p>
    <w:p w14:paraId="6DB46A33">
      <w:pPr>
        <w:widowControl/>
        <w:ind w:firstLine="620" w:firstLineChars="200"/>
        <w:jc w:val="left"/>
      </w:pPr>
      <w:r>
        <w:rPr>
          <w:rFonts w:hint="eastAsia" w:ascii="仿宋" w:hAnsi="仿宋" w:eastAsia="仿宋" w:cs="仿宋"/>
          <w:color w:val="000000"/>
          <w:kern w:val="0"/>
          <w:sz w:val="31"/>
          <w:szCs w:val="31"/>
        </w:rPr>
        <w:t xml:space="preserve"> </w:t>
      </w:r>
    </w:p>
    <w:p w14:paraId="6866166B">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14:paraId="6BEAC447">
      <w:pPr>
        <w:spacing w:line="600" w:lineRule="exact"/>
        <w:jc w:val="left"/>
        <w:outlineLvl w:val="0"/>
        <w:rPr>
          <w:rFonts w:hint="eastAsia" w:ascii="黑体" w:hAnsi="黑体" w:eastAsia="黑体" w:cs="黑体"/>
          <w:sz w:val="32"/>
          <w:szCs w:val="32"/>
        </w:rPr>
      </w:pPr>
      <w:bookmarkStart w:id="119" w:name="_Toc15396617"/>
      <w:bookmarkStart w:id="120" w:name="_Toc6106"/>
      <w:bookmarkStart w:id="121" w:name="_Toc16304"/>
      <w:r>
        <w:rPr>
          <w:rFonts w:hint="eastAsia" w:ascii="黑体" w:hAnsi="黑体" w:eastAsia="黑体" w:cs="黑体"/>
          <w:sz w:val="32"/>
          <w:szCs w:val="32"/>
        </w:rPr>
        <w:t>附件2</w:t>
      </w:r>
      <w:bookmarkEnd w:id="119"/>
      <w:bookmarkEnd w:id="120"/>
      <w:bookmarkEnd w:id="121"/>
    </w:p>
    <w:p w14:paraId="212D0EE0">
      <w:pPr>
        <w:jc w:val="center"/>
        <w:rPr>
          <w:rFonts w:hint="eastAsia" w:ascii="宋体" w:hAnsi="宋体" w:eastAsia="宋体" w:cs="宋体"/>
          <w:b/>
          <w:w w:val="80"/>
          <w:sz w:val="36"/>
          <w:szCs w:val="44"/>
        </w:rPr>
      </w:pPr>
      <w:bookmarkStart w:id="122" w:name="_Toc15396618"/>
      <w:r>
        <w:rPr>
          <w:rFonts w:hint="eastAsia" w:ascii="宋体" w:hAnsi="宋体" w:eastAsia="宋体" w:cs="宋体"/>
          <w:b/>
          <w:w w:val="80"/>
          <w:sz w:val="36"/>
          <w:szCs w:val="44"/>
        </w:rPr>
        <w:t>20</w:t>
      </w:r>
      <w:r>
        <w:rPr>
          <w:rFonts w:hint="eastAsia" w:ascii="宋体" w:hAnsi="宋体" w:eastAsia="宋体" w:cs="宋体"/>
          <w:b/>
          <w:w w:val="80"/>
          <w:sz w:val="36"/>
          <w:szCs w:val="44"/>
          <w:lang w:val="en-US" w:eastAsia="zh-CN"/>
        </w:rPr>
        <w:t>20</w:t>
      </w:r>
      <w:r>
        <w:rPr>
          <w:rFonts w:hint="eastAsia" w:ascii="宋体" w:hAnsi="宋体" w:eastAsia="宋体" w:cs="宋体"/>
          <w:b/>
          <w:w w:val="80"/>
          <w:sz w:val="36"/>
          <w:szCs w:val="44"/>
        </w:rPr>
        <w:t>年</w:t>
      </w:r>
      <w:r>
        <w:rPr>
          <w:rFonts w:hint="eastAsia" w:ascii="宋体" w:hAnsi="宋体" w:eastAsia="宋体" w:cs="宋体"/>
          <w:b/>
          <w:w w:val="80"/>
          <w:sz w:val="36"/>
          <w:szCs w:val="44"/>
          <w:lang w:val="en-US" w:eastAsia="zh-CN"/>
        </w:rPr>
        <w:t>涉农整合资金</w:t>
      </w:r>
      <w:r>
        <w:rPr>
          <w:rFonts w:hint="eastAsia" w:ascii="宋体" w:hAnsi="宋体" w:eastAsia="宋体" w:cs="宋体"/>
          <w:b/>
          <w:w w:val="80"/>
          <w:sz w:val="36"/>
          <w:szCs w:val="44"/>
        </w:rPr>
        <w:t>高标准农田建设项目报告</w:t>
      </w:r>
    </w:p>
    <w:p w14:paraId="67CAF477">
      <w:pPr>
        <w:widowControl/>
        <w:ind w:firstLine="620" w:firstLineChars="200"/>
        <w:jc w:val="left"/>
        <w:rPr>
          <w:rFonts w:hint="eastAsia" w:ascii="仿宋" w:hAnsi="仿宋" w:eastAsia="仿宋" w:cs="仿宋"/>
          <w:color w:val="000000"/>
          <w:kern w:val="0"/>
          <w:sz w:val="31"/>
          <w:szCs w:val="31"/>
        </w:rPr>
      </w:pPr>
      <w:r>
        <w:rPr>
          <w:rFonts w:hint="eastAsia" w:ascii="仿宋" w:hAnsi="仿宋" w:eastAsia="仿宋" w:cs="仿宋"/>
          <w:color w:val="000000"/>
          <w:kern w:val="0"/>
          <w:sz w:val="31"/>
          <w:szCs w:val="31"/>
        </w:rPr>
        <w:t> </w:t>
      </w:r>
    </w:p>
    <w:p w14:paraId="0C9C0BB7">
      <w:pPr>
        <w:adjustRightInd w:val="0"/>
        <w:snapToGrid w:val="0"/>
        <w:spacing w:line="600"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4241F14A">
      <w:pPr>
        <w:widowControl/>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（一）项目基本情况。</w:t>
      </w:r>
    </w:p>
    <w:p w14:paraId="4AE70002">
      <w:pPr>
        <w:widowControl/>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1.主管部门及其职责。区农业农村局，主要履行组织项目规划、设计、实施、验收、审计、绩效考评等职责。</w:t>
      </w:r>
    </w:p>
    <w:p w14:paraId="7EEE2DB9">
      <w:pPr>
        <w:widowControl/>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2.项目立项、资金申报的依据。昭脱贫指办〔2020〕3号调整备案方案下达2020年高标准农田建设项目资金617.56万元。</w:t>
      </w:r>
    </w:p>
    <w:p w14:paraId="24FFE7CC">
      <w:pPr>
        <w:widowControl/>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3.资金管理办法制定情况，资金支持具体项目的条件、范围与支持方式概况。局机关以昭农函〔2020〕53号、昭农函〔2020〕54号、昭农发〔2020〕55号文件分别建立了财务管理办法、项目资金管理办法和绩效评价制度。项目资金支持项目的条件：以灌区、流域或园区为单元，水源有保障，灌排骨干工程配套的区域；单个项目区不低于1000亩；禁止选择地面坡度大于25°区域，土壤污染严重区域，退耕还林还草区自然保护区的核心区和缓冲区以及2011年及以后立项建设的高标准农田地块。建设选址范围：优先向两区、国家种子基地、“10+3”农业产业体系优势产业布局。支持方式：重点建设小农户必需的通田到户末级灌溉渠道、机耕生产道路等设施。</w:t>
      </w:r>
    </w:p>
    <w:p w14:paraId="7EC33995">
      <w:pPr>
        <w:widowControl/>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4.资金分配的原则及考虑因素。按照省农业农村厅建设标准、建设内容“缺啥补啥”、“田、土、水、路、林、电、技、管”综合配套，资金投入“新建亩均财政资金不少于1500元，提质改造亩均财政资金不高于1500元”。</w:t>
      </w:r>
    </w:p>
    <w:p w14:paraId="0934FB52">
      <w:pPr>
        <w:widowControl/>
        <w:ind w:firstLine="643" w:firstLineChars="200"/>
        <w:jc w:val="left"/>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14:paraId="38D92BFA">
      <w:pPr>
        <w:widowControl/>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1.项目主要内容。在红岩镇坪林村、红寨村，昭化镇南马村，虎跳镇陈江村、雷鸣村，清水镇清凉村，元坝镇三清村、东山村、拣银岩村、五一村完成高标准农田建设2870亩。</w:t>
      </w:r>
    </w:p>
    <w:p w14:paraId="2CF713AA">
      <w:pPr>
        <w:widowControl/>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2.具体绩效目标。产出指标：数量指标新增高标准农田面积2870亩；质量指标项目验收合格率（%）100%；时效指标任务完成及时性1-2年。效益指标：社会效益指标粮食综合生产能力明显提升，田间道路通达度≥90%；生态效益指标耕地质量逐步提升；可持续性影响指标水资源利用率逐步提升，农业种植结构进一步优化。满意指标：服务对象满意度≥90%。</w:t>
      </w:r>
    </w:p>
    <w:p w14:paraId="4D44B76B">
      <w:pPr>
        <w:widowControl/>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3.分析评价申报内容是否与实际相符，申报目标是否合理可行。项目绩效目标根据川财农〔2019〕201号 文件要求进行了设置，与我区上报的2020年高标准农田建设项目实际相符，申报目标合理可行，通过了区政府常务会和区委常委会审定。</w:t>
      </w:r>
    </w:p>
    <w:p w14:paraId="37B461D6">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14:paraId="0F74313E">
      <w:pPr>
        <w:spacing w:line="620" w:lineRule="exact"/>
        <w:ind w:firstLine="620" w:firstLineChars="200"/>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项目自评采用项目由局计划财务审计股牵头，局农田机械股、局项目办共同评价的方式，一是审查项目前期工作资料；二是审查施工单位和监理单位软件资料，抽查项目实施现场；三是审查竣工验收、决算、审计资料；四是审查平台上图入库情况；五是审查历次检查和审计提出问题的整改情况；六是开展目标绩效自评；七是形成绩效自评报告。</w:t>
      </w:r>
    </w:p>
    <w:p w14:paraId="1821E73B">
      <w:pPr>
        <w:adjustRightInd w:val="0"/>
        <w:snapToGrid w:val="0"/>
        <w:spacing w:line="600" w:lineRule="exact"/>
        <w:ind w:firstLine="720"/>
        <w:rPr>
          <w:rFonts w:hint="eastAsia" w:ascii="黑体" w:hAnsi="宋体" w:eastAsia="黑体"/>
          <w:sz w:val="32"/>
          <w:szCs w:val="32"/>
          <w:lang w:val="en-US" w:eastAsia="zh-CN"/>
        </w:rPr>
      </w:pPr>
      <w:r>
        <w:rPr>
          <w:rFonts w:hint="eastAsia" w:ascii="黑体" w:hAnsi="宋体" w:eastAsia="黑体"/>
          <w:sz w:val="32"/>
          <w:szCs w:val="32"/>
          <w:lang w:val="en-US" w:eastAsia="zh-CN"/>
        </w:rPr>
        <w:t>二、项目资金申报及使用情况</w:t>
      </w:r>
    </w:p>
    <w:p w14:paraId="14144699">
      <w:pPr>
        <w:spacing w:line="620" w:lineRule="exact"/>
        <w:ind w:firstLine="320" w:firstLineChars="100"/>
        <w:rPr>
          <w:rFonts w:hint="eastAsia" w:ascii="楷体" w:hAnsi="楷体" w:eastAsia="楷体" w:cs="楷体"/>
          <w:bCs/>
          <w:sz w:val="32"/>
          <w:szCs w:val="32"/>
          <w:lang w:val="en-US" w:eastAsia="zh-CN"/>
        </w:rPr>
      </w:pPr>
      <w:r>
        <w:rPr>
          <w:rFonts w:hint="eastAsia" w:ascii="楷体" w:hAnsi="楷体" w:eastAsia="楷体" w:cs="楷体"/>
          <w:bCs/>
          <w:sz w:val="32"/>
          <w:szCs w:val="32"/>
          <w:lang w:val="en-US" w:eastAsia="zh-CN"/>
        </w:rPr>
        <w:t>（一）项目资金申报及批复情况</w:t>
      </w:r>
    </w:p>
    <w:p w14:paraId="00E69E8F">
      <w:pPr>
        <w:spacing w:line="620" w:lineRule="exact"/>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红岩镇坪林村：昭脱贫指办〔2020〕3号调整备案方案安排总投资80万元，财政补助资金40万元。昭农林〔2020〕111号立项请示，昭农发〔2020〕180号批复在红岩镇坪林村建设高标准农田201.87亩，总投资85.89万元，其中财政补助资金40万元，业主自筹45.59万元。</w:t>
      </w:r>
    </w:p>
    <w:p w14:paraId="2CC10A2F">
      <w:pPr>
        <w:spacing w:line="620" w:lineRule="exact"/>
        <w:ind w:firstLine="620" w:firstLineChars="200"/>
        <w:jc w:val="left"/>
        <w:rPr>
          <w:rFonts w:hint="default"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红岩镇红寨村：昭脱贫指办〔2020〕3号调整备案方案文件安排财政补助资金50万元。昭发改发〔2019〕307号批复在红岩镇红寨村（双凤园区省级园区创建）建设高标准农田100亩，财政补助 50万元。</w:t>
      </w:r>
    </w:p>
    <w:p w14:paraId="53A40844">
      <w:pPr>
        <w:spacing w:line="620" w:lineRule="exact"/>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昭化镇南马村：昭脱贫指办〔2020〕3号调整备案方案文件安排财政补助资金120万元。昭农林〔2020〕134号立项请示，昭农发〔2020〕165号批复在昭化镇南马村建设高标准农田311亩，总投资120万元，其中财政补助资金60万元，业主自筹60万元。川农函〔2019〕860号批复在昭化镇南马村实施亚行项目，安排区级配套资金60万元。</w:t>
      </w:r>
    </w:p>
    <w:p w14:paraId="00A9E23E">
      <w:pPr>
        <w:spacing w:line="620" w:lineRule="exact"/>
        <w:ind w:firstLine="620" w:firstLineChars="200"/>
        <w:jc w:val="left"/>
        <w:rPr>
          <w:rFonts w:hint="default"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虎跳镇陈江村：昭脱贫指办〔2020〕3号调整备案方案文件安排财政补助资金45万元。昭农林〔2020〕108号立项请示，昭农发〔2020〕177号批复在虎跳镇陈江村建设高标准农田253.46亩，总投资48.27万元，其中财政补助资金45万元，业主自筹3.27万元。</w:t>
      </w:r>
    </w:p>
    <w:p w14:paraId="2F251E0A">
      <w:pPr>
        <w:spacing w:line="620" w:lineRule="exact"/>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虎跳镇雷鸣村：昭脱贫指办〔2020〕3号调整备案方案文件安排财政补助资金30万元。昭农林〔2020〕107号立项请示，昭农发〔2020〕176号批复在虎跳镇雷鸣村建设高标准农田147.26亩，总投资33.12万元，其中财政补助资金30万元，业主自筹3.12万元。</w:t>
      </w:r>
    </w:p>
    <w:p w14:paraId="22E9CAEF">
      <w:pPr>
        <w:spacing w:line="620" w:lineRule="exact"/>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清水镇清凉村：昭脱贫指办〔2020〕3号调整备案方案下达清水镇清凉村高标准农田建设资金15元，建设高标准农田60亩。</w:t>
      </w:r>
    </w:p>
    <w:p w14:paraId="21F19446">
      <w:pPr>
        <w:spacing w:line="620" w:lineRule="exact"/>
        <w:ind w:firstLine="620" w:firstLineChars="200"/>
        <w:jc w:val="left"/>
        <w:rPr>
          <w:rFonts w:hint="default" w:ascii="仿宋" w:hAnsi="仿宋" w:eastAsia="仿宋" w:cs="仿宋"/>
          <w:color w:val="000000"/>
          <w:kern w:val="0"/>
          <w:sz w:val="31"/>
          <w:szCs w:val="31"/>
          <w:lang w:val="en-US" w:eastAsia="zh-CN"/>
        </w:rPr>
      </w:pPr>
      <w:r>
        <w:rPr>
          <w:rFonts w:hint="default" w:ascii="仿宋" w:hAnsi="仿宋" w:eastAsia="仿宋" w:cs="仿宋"/>
          <w:color w:val="000000"/>
          <w:kern w:val="0"/>
          <w:sz w:val="31"/>
          <w:szCs w:val="31"/>
          <w:lang w:val="en-US" w:eastAsia="zh-CN"/>
        </w:rPr>
        <w:t>元坝镇三清村</w:t>
      </w:r>
      <w:r>
        <w:rPr>
          <w:rFonts w:hint="eastAsia" w:ascii="仿宋" w:hAnsi="仿宋" w:eastAsia="仿宋" w:cs="仿宋"/>
          <w:color w:val="000000"/>
          <w:kern w:val="0"/>
          <w:sz w:val="31"/>
          <w:szCs w:val="31"/>
          <w:lang w:val="en-US" w:eastAsia="zh-CN"/>
        </w:rPr>
        <w:t>：昭脱贫指办〔2020〕3号调整备案方案文件安排财政补助资金118万元。昭农林〔2020〕122号立项请示，昭农发〔2020〕189号批复在</w:t>
      </w:r>
      <w:r>
        <w:rPr>
          <w:rFonts w:hint="default" w:ascii="仿宋" w:hAnsi="仿宋" w:eastAsia="仿宋" w:cs="仿宋"/>
          <w:color w:val="000000"/>
          <w:kern w:val="0"/>
          <w:sz w:val="31"/>
          <w:szCs w:val="31"/>
          <w:lang w:val="en-US" w:eastAsia="zh-CN"/>
        </w:rPr>
        <w:t>元坝镇三清村</w:t>
      </w:r>
      <w:r>
        <w:rPr>
          <w:rFonts w:hint="eastAsia" w:ascii="仿宋" w:hAnsi="仿宋" w:eastAsia="仿宋" w:cs="仿宋"/>
          <w:color w:val="000000"/>
          <w:kern w:val="0"/>
          <w:sz w:val="31"/>
          <w:szCs w:val="31"/>
          <w:lang w:val="en-US" w:eastAsia="zh-CN"/>
        </w:rPr>
        <w:t>设高标准农田704.27亩，总投资170.14万元，其中财政补助资金118万元，业主自筹52.14万元。</w:t>
      </w:r>
    </w:p>
    <w:p w14:paraId="0C9549E5">
      <w:pPr>
        <w:spacing w:line="620" w:lineRule="exact"/>
        <w:ind w:firstLine="620" w:firstLineChars="200"/>
        <w:jc w:val="left"/>
        <w:rPr>
          <w:rFonts w:hint="default" w:ascii="仿宋" w:hAnsi="仿宋" w:eastAsia="仿宋" w:cs="仿宋"/>
          <w:color w:val="000000"/>
          <w:kern w:val="0"/>
          <w:sz w:val="31"/>
          <w:szCs w:val="31"/>
          <w:lang w:val="en-US" w:eastAsia="zh-CN"/>
        </w:rPr>
      </w:pPr>
      <w:r>
        <w:rPr>
          <w:rFonts w:hint="default" w:ascii="仿宋" w:hAnsi="仿宋" w:eastAsia="仿宋" w:cs="仿宋"/>
          <w:color w:val="000000"/>
          <w:kern w:val="0"/>
          <w:sz w:val="31"/>
          <w:szCs w:val="31"/>
          <w:lang w:val="en-US" w:eastAsia="zh-CN"/>
        </w:rPr>
        <w:t>元坝镇东山村</w:t>
      </w:r>
      <w:r>
        <w:rPr>
          <w:rFonts w:hint="eastAsia" w:ascii="仿宋" w:hAnsi="仿宋" w:eastAsia="仿宋" w:cs="仿宋"/>
          <w:color w:val="000000"/>
          <w:kern w:val="0"/>
          <w:sz w:val="31"/>
          <w:szCs w:val="31"/>
          <w:lang w:val="en-US" w:eastAsia="zh-CN"/>
        </w:rPr>
        <w:t>：昭脱贫指办〔2020〕3号调整备案方案文件安排财政补助资金30万元。昭农林〔2020〕121号立项请示，昭农发〔2020〕188号批复在</w:t>
      </w:r>
      <w:r>
        <w:rPr>
          <w:rFonts w:hint="default" w:ascii="仿宋" w:hAnsi="仿宋" w:eastAsia="仿宋" w:cs="仿宋"/>
          <w:color w:val="000000"/>
          <w:kern w:val="0"/>
          <w:sz w:val="31"/>
          <w:szCs w:val="31"/>
          <w:lang w:val="en-US" w:eastAsia="zh-CN"/>
        </w:rPr>
        <w:t>元坝镇东山村</w:t>
      </w:r>
      <w:r>
        <w:rPr>
          <w:rFonts w:hint="eastAsia" w:ascii="仿宋" w:hAnsi="仿宋" w:eastAsia="仿宋" w:cs="仿宋"/>
          <w:color w:val="000000"/>
          <w:kern w:val="0"/>
          <w:sz w:val="31"/>
          <w:szCs w:val="31"/>
          <w:lang w:val="en-US" w:eastAsia="zh-CN"/>
        </w:rPr>
        <w:t>建设高标准农田139.65亩，总投资44.98万元，其中财政补助资金30万元，业主自筹14.98万元。</w:t>
      </w:r>
    </w:p>
    <w:p w14:paraId="65277926">
      <w:pPr>
        <w:spacing w:line="620" w:lineRule="exact"/>
        <w:ind w:firstLine="620" w:firstLineChars="200"/>
        <w:jc w:val="left"/>
        <w:rPr>
          <w:rFonts w:hint="default" w:ascii="仿宋" w:hAnsi="仿宋" w:eastAsia="仿宋" w:cs="仿宋"/>
          <w:color w:val="000000"/>
          <w:kern w:val="0"/>
          <w:sz w:val="31"/>
          <w:szCs w:val="31"/>
          <w:lang w:val="en-US" w:eastAsia="zh-CN"/>
        </w:rPr>
      </w:pPr>
      <w:r>
        <w:rPr>
          <w:rFonts w:hint="default" w:ascii="仿宋" w:hAnsi="仿宋" w:eastAsia="仿宋" w:cs="仿宋"/>
          <w:color w:val="000000"/>
          <w:kern w:val="0"/>
          <w:sz w:val="31"/>
          <w:szCs w:val="31"/>
          <w:lang w:val="en-US" w:eastAsia="zh-CN"/>
        </w:rPr>
        <w:t>元坝镇拣银岩村</w:t>
      </w:r>
      <w:r>
        <w:rPr>
          <w:rFonts w:hint="eastAsia" w:ascii="仿宋" w:hAnsi="仿宋" w:eastAsia="仿宋" w:cs="仿宋"/>
          <w:color w:val="000000"/>
          <w:kern w:val="0"/>
          <w:sz w:val="31"/>
          <w:szCs w:val="31"/>
          <w:lang w:val="en-US" w:eastAsia="zh-CN"/>
        </w:rPr>
        <w:t>：昭脱贫指办〔2020〕3号调整备案方案文件安排财政补助资金129.56元。昭农林〔2020〕33号立项请示，昭农发〔2020〕94号批复在</w:t>
      </w:r>
      <w:r>
        <w:rPr>
          <w:rFonts w:hint="default" w:ascii="仿宋" w:hAnsi="仿宋" w:eastAsia="仿宋" w:cs="仿宋"/>
          <w:color w:val="000000"/>
          <w:kern w:val="0"/>
          <w:sz w:val="31"/>
          <w:szCs w:val="31"/>
          <w:lang w:val="en-US" w:eastAsia="zh-CN"/>
        </w:rPr>
        <w:t>元坝镇拣银岩村</w:t>
      </w:r>
      <w:r>
        <w:rPr>
          <w:rFonts w:hint="eastAsia" w:ascii="仿宋" w:hAnsi="仿宋" w:eastAsia="仿宋" w:cs="仿宋"/>
          <w:color w:val="000000"/>
          <w:kern w:val="0"/>
          <w:sz w:val="31"/>
          <w:szCs w:val="31"/>
          <w:lang w:val="en-US" w:eastAsia="zh-CN"/>
        </w:rPr>
        <w:t>建设设高标准农田250.49亩，总投资166.32万元，其中财政补助资金129.56万元，业主自筹36.76万元。</w:t>
      </w:r>
    </w:p>
    <w:p w14:paraId="475170DF">
      <w:pPr>
        <w:spacing w:line="620" w:lineRule="exact"/>
        <w:ind w:firstLine="620" w:firstLineChars="200"/>
        <w:jc w:val="left"/>
        <w:rPr>
          <w:rFonts w:hint="default" w:ascii="仿宋" w:hAnsi="仿宋" w:eastAsia="仿宋" w:cs="仿宋"/>
          <w:color w:val="000000"/>
          <w:kern w:val="0"/>
          <w:sz w:val="31"/>
          <w:szCs w:val="31"/>
          <w:lang w:val="en-US" w:eastAsia="zh-CN"/>
        </w:rPr>
      </w:pPr>
      <w:r>
        <w:rPr>
          <w:rFonts w:hint="default" w:ascii="仿宋" w:hAnsi="仿宋" w:eastAsia="仿宋" w:cs="仿宋"/>
          <w:color w:val="000000"/>
          <w:kern w:val="0"/>
          <w:sz w:val="31"/>
          <w:szCs w:val="31"/>
          <w:lang w:val="en-US" w:eastAsia="zh-CN"/>
        </w:rPr>
        <w:t>元坝镇五一村</w:t>
      </w:r>
      <w:r>
        <w:rPr>
          <w:rFonts w:hint="eastAsia" w:ascii="仿宋" w:hAnsi="仿宋" w:eastAsia="仿宋" w:cs="仿宋"/>
          <w:color w:val="000000"/>
          <w:kern w:val="0"/>
          <w:sz w:val="31"/>
          <w:szCs w:val="31"/>
          <w:lang w:val="en-US" w:eastAsia="zh-CN"/>
        </w:rPr>
        <w:t>：昭脱贫指办〔2020〕3号调整备案方案文件安排财政补助资金40万元。昭农林〔2020〕109号立项请示，昭农发〔2020〕178号批复在</w:t>
      </w:r>
      <w:r>
        <w:rPr>
          <w:rFonts w:hint="default" w:ascii="仿宋" w:hAnsi="仿宋" w:eastAsia="仿宋" w:cs="仿宋"/>
          <w:color w:val="000000"/>
          <w:kern w:val="0"/>
          <w:sz w:val="31"/>
          <w:szCs w:val="31"/>
          <w:lang w:val="en-US" w:eastAsia="zh-CN"/>
        </w:rPr>
        <w:t>元坝镇五一村</w:t>
      </w:r>
      <w:r>
        <w:rPr>
          <w:rFonts w:hint="eastAsia" w:ascii="仿宋" w:hAnsi="仿宋" w:eastAsia="仿宋" w:cs="仿宋"/>
          <w:color w:val="000000"/>
          <w:kern w:val="0"/>
          <w:sz w:val="31"/>
          <w:szCs w:val="31"/>
          <w:lang w:val="en-US" w:eastAsia="zh-CN"/>
        </w:rPr>
        <w:t>设高标准农田250.49亩，总投资107.4万元，其中财政补助资金40万元，业主自筹67.4万元。</w:t>
      </w:r>
    </w:p>
    <w:p w14:paraId="4508025A">
      <w:pPr>
        <w:spacing w:line="620" w:lineRule="exact"/>
        <w:ind w:firstLine="620" w:firstLineChars="200"/>
        <w:jc w:val="left"/>
        <w:rPr>
          <w:rFonts w:hint="default"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以上项目资金申报、批复符合资金管理办法。</w:t>
      </w:r>
    </w:p>
    <w:p w14:paraId="7980BDA4">
      <w:pPr>
        <w:spacing w:line="620" w:lineRule="exact"/>
        <w:ind w:firstLine="640" w:firstLineChars="200"/>
        <w:rPr>
          <w:rFonts w:hint="eastAsia" w:ascii="楷体" w:hAnsi="楷体" w:eastAsia="楷体" w:cs="楷体"/>
          <w:bCs/>
          <w:sz w:val="32"/>
          <w:szCs w:val="32"/>
          <w:lang w:val="en-US" w:eastAsia="zh-CN"/>
        </w:rPr>
      </w:pPr>
      <w:r>
        <w:rPr>
          <w:rFonts w:hint="eastAsia" w:ascii="楷体" w:hAnsi="楷体" w:eastAsia="楷体" w:cs="楷体"/>
          <w:bCs/>
          <w:sz w:val="32"/>
          <w:szCs w:val="32"/>
          <w:lang w:val="en-US" w:eastAsia="zh-CN"/>
        </w:rPr>
        <w:t>（二）资金计划、到位及使用情况</w:t>
      </w:r>
    </w:p>
    <w:p w14:paraId="01466DC9">
      <w:pPr>
        <w:spacing w:line="620" w:lineRule="exact"/>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1.资金计划及到位。计划补助财政资金617.56万元，虎跳镇陈江村因特殊情况终止，实际补助资金计划应为572.56万元。目前已支付456.991万元，占计划的79.82%，资金到位率、到位及时性较好。</w:t>
      </w:r>
    </w:p>
    <w:p w14:paraId="552386C3">
      <w:pPr>
        <w:spacing w:line="620" w:lineRule="exact"/>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2.资金使用。截止评价时点本项目支出资金456.991万元，占应付工程款的79.82%。为保障项目资金安全，工程款预付款支付不超过合同金额的30%，工程验收后支付工程款不超过合同金额的80%，审计后支付工程款的97%，预留3%的质量保证金，对于先建后补项目审计后进行支付，其支付范围、支付标准、支付进度、支付依据合规合法，未超过资金预算。</w:t>
      </w:r>
    </w:p>
    <w:p w14:paraId="23AD7F04">
      <w:pPr>
        <w:spacing w:line="620" w:lineRule="exact"/>
        <w:ind w:firstLine="640" w:firstLineChars="200"/>
        <w:rPr>
          <w:rFonts w:hint="eastAsia" w:ascii="楷体" w:hAnsi="楷体" w:eastAsia="楷体" w:cs="楷体"/>
          <w:bCs/>
          <w:sz w:val="32"/>
          <w:szCs w:val="32"/>
          <w:lang w:val="en-US" w:eastAsia="zh-CN"/>
        </w:rPr>
      </w:pPr>
      <w:r>
        <w:rPr>
          <w:rFonts w:hint="eastAsia" w:ascii="楷体" w:hAnsi="楷体" w:eastAsia="楷体" w:cs="楷体"/>
          <w:bCs/>
          <w:sz w:val="32"/>
          <w:szCs w:val="32"/>
          <w:lang w:val="en-US" w:eastAsia="zh-CN"/>
        </w:rPr>
        <w:t>（三）项目财务管理情况</w:t>
      </w:r>
    </w:p>
    <w:p w14:paraId="32B91B5C">
      <w:pPr>
        <w:pStyle w:val="2"/>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局机关制定了财务管理办法，由局计划财务股统一进行会计核算和账务处理。经自查，财务管理制度健全、严格执行了财务管理制度，账务处理及时，会计核算规范。在项目实施过程中，还以昭农函〔2020〕53号、昭农函〔2020〕54号、昭农发〔2020〕55号文件分别建立了财务管理办法、项目资金管理办法和绩效评价制度。</w:t>
      </w:r>
    </w:p>
    <w:p w14:paraId="12346E92">
      <w:pPr>
        <w:spacing w:line="620" w:lineRule="exact"/>
        <w:ind w:firstLine="640" w:firstLineChars="200"/>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三、项目实施及管理情况</w:t>
      </w:r>
    </w:p>
    <w:p w14:paraId="47C112B3">
      <w:pPr>
        <w:spacing w:line="620" w:lineRule="exact"/>
        <w:ind w:firstLine="622" w:firstLineChars="200"/>
        <w:rPr>
          <w:rFonts w:hint="eastAsia"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（一）项目实施流程</w:t>
      </w:r>
    </w:p>
    <w:p w14:paraId="1D9A8009">
      <w:pPr>
        <w:spacing w:line="620" w:lineRule="exact"/>
        <w:ind w:firstLine="620" w:firstLineChars="200"/>
        <w:rPr>
          <w:rFonts w:hint="default"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区农业农村局设立了农田机械股，负责高标准农田建设项目的组织实施。按照实施方案编制、立项审批、财评、招标、签订合同、施工、验收、竣工结算、审计等流程实施。</w:t>
      </w:r>
    </w:p>
    <w:p w14:paraId="572EF406">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为加强施工管理，聘请了工程监理进行质量监督，主管部门定期不定期深入施工工地进行质量、进度检查，及时发现问题，整改问题。除开</w:t>
      </w:r>
      <w:r>
        <w:rPr>
          <w:rFonts w:hint="default" w:ascii="仿宋" w:hAnsi="仿宋" w:eastAsia="仿宋" w:cs="仿宋"/>
          <w:color w:val="000000"/>
          <w:kern w:val="0"/>
          <w:sz w:val="31"/>
          <w:szCs w:val="31"/>
          <w:lang w:val="en-US" w:eastAsia="zh-CN" w:bidi="ar-SA"/>
        </w:rPr>
        <w:t>元坝镇三清村</w:t>
      </w:r>
      <w:r>
        <w:rPr>
          <w:rFonts w:hint="eastAsia" w:ascii="仿宋" w:hAnsi="仿宋" w:eastAsia="仿宋" w:cs="仿宋"/>
          <w:color w:val="000000"/>
          <w:kern w:val="0"/>
          <w:sz w:val="31"/>
          <w:szCs w:val="31"/>
          <w:lang w:val="en-US" w:eastAsia="zh-CN" w:bidi="ar-SA"/>
        </w:rPr>
        <w:t>、</w:t>
      </w:r>
      <w:r>
        <w:rPr>
          <w:rFonts w:hint="default" w:ascii="仿宋" w:hAnsi="仿宋" w:eastAsia="仿宋" w:cs="仿宋"/>
          <w:color w:val="000000"/>
          <w:kern w:val="0"/>
          <w:sz w:val="31"/>
          <w:szCs w:val="31"/>
          <w:lang w:val="en-US" w:eastAsia="zh-CN" w:bidi="ar-SA"/>
        </w:rPr>
        <w:t>东山村</w:t>
      </w:r>
      <w:r>
        <w:rPr>
          <w:rFonts w:hint="eastAsia" w:ascii="仿宋" w:hAnsi="仿宋" w:eastAsia="仿宋" w:cs="仿宋"/>
          <w:color w:val="000000"/>
          <w:kern w:val="0"/>
          <w:sz w:val="31"/>
          <w:szCs w:val="31"/>
          <w:lang w:val="en-US" w:eastAsia="zh-CN" w:bidi="ar-SA"/>
        </w:rPr>
        <w:t>和五一村采用业主自建，按照不超过70%的标准进行补助外，其它项目村工程严格按照招投标相关规定分别采用了竞争性谈判、比选、公招等方式进行了招标。在项目村对建设内容、规模、投资、工期进行了公示 。</w:t>
      </w:r>
    </w:p>
    <w:p w14:paraId="1293ED67">
      <w:pPr>
        <w:spacing w:line="620" w:lineRule="exact"/>
        <w:ind w:firstLine="622" w:firstLineChars="200"/>
        <w:rPr>
          <w:rFonts w:hint="eastAsia"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（二）项目管理情况</w:t>
      </w:r>
    </w:p>
    <w:p w14:paraId="49A8A10C">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主管部门严格检查项目招投标和项目公示制执行情况，业主严格按照招投标相关规定进行招投标和进行项目公示，监理单位严格按照规定开展工程监理，施工单位严格按照合同规定施工、决算。</w:t>
      </w:r>
    </w:p>
    <w:p w14:paraId="69B79DEA">
      <w:pPr>
        <w:spacing w:line="620" w:lineRule="exact"/>
        <w:ind w:firstLine="622" w:firstLineChars="200"/>
        <w:rPr>
          <w:rFonts w:hint="eastAsia"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（三）项目监管情况</w:t>
      </w:r>
    </w:p>
    <w:p w14:paraId="74CCA8AE">
      <w:pPr>
        <w:pStyle w:val="2"/>
        <w:rPr>
          <w:rFonts w:hint="default"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为加强项目管理，主管部门在聘请工程监理的基础上，充分发挥项目镇村的作用，项目村廉勤委、村委会、第一书记，项目镇领导定期或不期开展项目检查。同时，对招标项目由施工单位按照要求申请预付款、进度款，由监理单位、农业局经办人员、分管领导、分管财务领导审批完成后，按照区财政的要求报区财政局签字审批后由财政大平台直接支付到第三方。各有关方在工程建设进度、质量，资金管理上共同发力，确保了项目的顺利推进。</w:t>
      </w:r>
    </w:p>
    <w:p w14:paraId="161B82DD">
      <w:pPr>
        <w:spacing w:line="62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四、项目绩效情况</w:t>
      </w:r>
    </w:p>
    <w:p w14:paraId="0042C28A">
      <w:pPr>
        <w:spacing w:line="620" w:lineRule="exact"/>
        <w:ind w:firstLine="622" w:firstLineChars="200"/>
        <w:rPr>
          <w:rFonts w:hint="default"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（一）项目完成情况</w:t>
      </w:r>
    </w:p>
    <w:p w14:paraId="5381DC02">
      <w:pPr>
        <w:spacing w:line="620" w:lineRule="exact"/>
        <w:ind w:firstLine="620" w:firstLineChars="200"/>
        <w:rPr>
          <w:rFonts w:hint="default"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数量指标：计划完成高标准农田2870亩，实际完成高标准农田2870亩，占计划的100%。</w:t>
      </w:r>
    </w:p>
    <w:p w14:paraId="410DE390">
      <w:pPr>
        <w:spacing w:line="620" w:lineRule="exact"/>
        <w:ind w:firstLine="620" w:firstLineChars="200"/>
        <w:rPr>
          <w:rFonts w:hint="default"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质量指标：绩效目标项目验收合格率100%。项目已由区振源农林公司组织自验，验收合格率100%。区级验收预计于8月下旬完成。</w:t>
      </w:r>
    </w:p>
    <w:p w14:paraId="7A98DEA6">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时效指标：绩效目标任务完成及时性1-2年，实际施工时间为2020年10月-2020年5月。</w:t>
      </w:r>
    </w:p>
    <w:p w14:paraId="0143DAA9">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成本指标：绩效目标亩均投资为≥1500元/亩，预计亩均投资为≥2000元/亩。</w:t>
      </w:r>
    </w:p>
    <w:p w14:paraId="7E351220">
      <w:pPr>
        <w:spacing w:line="620" w:lineRule="exact"/>
        <w:ind w:firstLine="622" w:firstLineChars="200"/>
        <w:rPr>
          <w:rFonts w:hint="eastAsia"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（二）项目效益情况</w:t>
      </w:r>
    </w:p>
    <w:p w14:paraId="16986D14">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1.经济效益指标。本项目通过田间工程措施，建成高标准农田3980亩，完善了耕地质量监测和水利技术服务体系等一系列措施，不仅改善了项目区农业基础设施和生产条件，而且充分发挥了农田潜在效益，同时也达到了实现保土、保水、保肥的要求，为合理布局各种农作物、调整农业生产结构提供了良好的平台，提高了经济效益。</w:t>
      </w:r>
    </w:p>
    <w:p w14:paraId="2F20FBA1">
      <w:pPr>
        <w:spacing w:line="620" w:lineRule="exact"/>
        <w:ind w:firstLine="620" w:firstLineChars="200"/>
        <w:rPr>
          <w:rFonts w:hint="default"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2.社会效益指标。项目实施后，改善项不目区农田基础设施条件和自然条件，从根本上解决不项目区农田土地质量差的问题，增加农业机械的使用条件，降低劳动强度，增强昭化区农业服务功能。有效解决因农民外出务工产生的劳动力短缺问题，增加农民外出务工和就近务工人数，特别是能够有效解决因疫情产生的企业用工难题，项目实施也增加了施工企业工人的就业机会，解决施工企业收问题。</w:t>
      </w:r>
    </w:p>
    <w:p w14:paraId="35B161DC">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该项目每年可增加农产品有效供给量，特别是粮食产量。水稻、小麦、玉米等粮食产量的增长，稳固了昭化区产粮大区的地位，是粮食安全的重要保障。其他农产品供给能力的增强，满足城乡居民对优质农产品的需求，促进当地农民增收。</w:t>
      </w:r>
    </w:p>
    <w:p w14:paraId="4592A97D">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该项目使项目区的农业、水利、林业等镇、村服务体系得到完善，农技推广手段进一步提高，使科技在农业生产上的贡献率从现在的40%提高到50%以上，完善镇、村农技服务体系，对农村科技推广起到有力的支撑作用。</w:t>
      </w:r>
    </w:p>
    <w:p w14:paraId="3486E8E3">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通过科技措施培训农民，进行示范种植。农民培训可以提高农民科学素质，增强科技务农的能力和农业经营水平。示范种植起了项目区辐射带动的作用，同时通过新品种的先行试验，利于推广优良品种。</w:t>
      </w:r>
    </w:p>
    <w:p w14:paraId="32E4D22F">
      <w:pPr>
        <w:spacing w:line="620" w:lineRule="exact"/>
        <w:ind w:firstLine="620" w:firstLineChars="200"/>
        <w:rPr>
          <w:rFonts w:hint="default"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3.生态效益</w:t>
      </w:r>
      <w:bookmarkStart w:id="123" w:name="_Toc17367110"/>
      <w:bookmarkStart w:id="124" w:name="_Toc12209664"/>
      <w:bookmarkStart w:id="125" w:name="_Toc494229865"/>
      <w:r>
        <w:rPr>
          <w:rFonts w:hint="eastAsia" w:ascii="仿宋" w:hAnsi="仿宋" w:eastAsia="仿宋" w:cs="仿宋"/>
          <w:color w:val="000000"/>
          <w:kern w:val="0"/>
          <w:sz w:val="31"/>
          <w:szCs w:val="31"/>
          <w:lang w:val="en-US" w:eastAsia="zh-CN" w:bidi="ar-SA"/>
        </w:rPr>
        <w:t>。一是改善农业生态环境</w:t>
      </w:r>
      <w:bookmarkEnd w:id="123"/>
      <w:bookmarkEnd w:id="124"/>
      <w:bookmarkEnd w:id="125"/>
      <w:r>
        <w:rPr>
          <w:rFonts w:hint="eastAsia" w:ascii="仿宋" w:hAnsi="仿宋" w:eastAsia="仿宋" w:cs="仿宋"/>
          <w:color w:val="000000"/>
          <w:kern w:val="0"/>
          <w:sz w:val="31"/>
          <w:szCs w:val="31"/>
          <w:lang w:val="en-US" w:eastAsia="zh-CN" w:bidi="ar-SA"/>
        </w:rPr>
        <w:t xml:space="preserve">。通过高标准农田建设项目的实施，改善不农业生态环境，发挥良好的涵养水源与调节气候的作用，可以净化水源水质、减少水土流失，控制水土流失，为保护长江上游生态环境条件做出贡献。 </w:t>
      </w:r>
      <w:bookmarkStart w:id="126" w:name="_Toc17367111"/>
      <w:bookmarkStart w:id="127" w:name="_Toc494229866"/>
      <w:bookmarkStart w:id="128" w:name="_Toc12209665"/>
      <w:r>
        <w:rPr>
          <w:rFonts w:hint="eastAsia" w:ascii="仿宋" w:hAnsi="仿宋" w:eastAsia="仿宋" w:cs="仿宋"/>
          <w:color w:val="000000"/>
          <w:kern w:val="0"/>
          <w:sz w:val="31"/>
          <w:szCs w:val="31"/>
          <w:lang w:val="en-US" w:eastAsia="zh-CN" w:bidi="ar-SA"/>
        </w:rPr>
        <w:t>二是确保农产品质量安全</w:t>
      </w:r>
      <w:bookmarkEnd w:id="126"/>
      <w:bookmarkEnd w:id="127"/>
      <w:bookmarkEnd w:id="128"/>
      <w:r>
        <w:rPr>
          <w:rFonts w:hint="eastAsia" w:ascii="仿宋" w:hAnsi="仿宋" w:eastAsia="仿宋" w:cs="仿宋"/>
          <w:color w:val="000000"/>
          <w:kern w:val="0"/>
          <w:sz w:val="31"/>
          <w:szCs w:val="31"/>
          <w:lang w:val="en-US" w:eastAsia="zh-CN" w:bidi="ar-SA"/>
        </w:rPr>
        <w:t xml:space="preserve">。通过高标准农田建设项目的实施，能增强农民的生态环境保护意识，有效控制农药、化肥等农业投入品的合理施用，改善不合理的用肥结构，减少土壤养分的淋溶损失，减轻农村面源污染，保护农业生态环境，确保农产品质量安全。 </w:t>
      </w:r>
      <w:bookmarkStart w:id="129" w:name="_Toc17367112"/>
      <w:bookmarkStart w:id="130" w:name="_Toc494229867"/>
      <w:bookmarkStart w:id="131" w:name="_Toc12209666"/>
      <w:r>
        <w:rPr>
          <w:rFonts w:hint="eastAsia" w:ascii="仿宋" w:hAnsi="仿宋" w:eastAsia="仿宋" w:cs="仿宋"/>
          <w:color w:val="000000"/>
          <w:kern w:val="0"/>
          <w:sz w:val="31"/>
          <w:szCs w:val="31"/>
          <w:lang w:val="en-US" w:eastAsia="zh-CN" w:bidi="ar-SA"/>
        </w:rPr>
        <w:t>三是提高耕地质量</w:t>
      </w:r>
      <w:bookmarkEnd w:id="129"/>
      <w:bookmarkEnd w:id="130"/>
      <w:bookmarkEnd w:id="131"/>
      <w:r>
        <w:rPr>
          <w:rFonts w:hint="eastAsia" w:ascii="仿宋" w:hAnsi="仿宋" w:eastAsia="仿宋" w:cs="仿宋"/>
          <w:color w:val="000000"/>
          <w:kern w:val="0"/>
          <w:sz w:val="31"/>
          <w:szCs w:val="31"/>
          <w:lang w:val="en-US" w:eastAsia="zh-CN" w:bidi="ar-SA"/>
        </w:rPr>
        <w:t>。通过高标准农田建设项目的实施，可使耕地质量得到提高，有效加强耕地保护，提高土地和水资源利用率，综合治理的生态效益将长期显现，农业可持续化发展能力得到提高，经实地测算，通过土地平整工程、灌溉与排水工程以及田间道路工程后，区域内耕地质量等别预计提升0.2等，达到昭化区较高水平。</w:t>
      </w:r>
    </w:p>
    <w:p w14:paraId="6427C67C">
      <w:pPr>
        <w:pStyle w:val="2"/>
        <w:ind w:left="0" w:leftChars="0" w:firstLine="406" w:firstLineChars="131"/>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通过对项目区群众的调查，满意度达到98%，超过服务对象满意度指标≥90%的绩效申报目标。</w:t>
      </w:r>
    </w:p>
    <w:p w14:paraId="3C884477">
      <w:pPr>
        <w:ind w:left="0" w:leftChars="0" w:firstLine="598" w:firstLineChars="187"/>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五、评价结论及建议</w:t>
      </w:r>
    </w:p>
    <w:p w14:paraId="13CE53A6">
      <w:pPr>
        <w:pStyle w:val="2"/>
        <w:ind w:left="0" w:leftChars="0" w:firstLine="622" w:firstLineChars="200"/>
        <w:rPr>
          <w:rFonts w:hint="eastAsia"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（一）评价结论</w:t>
      </w:r>
    </w:p>
    <w:p w14:paraId="592A43D9">
      <w:pPr>
        <w:pStyle w:val="2"/>
        <w:ind w:left="0" w:leftChars="0"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通过绩效自评，对其产出、效益、满意度进行自评后，自评得分100分。</w:t>
      </w:r>
    </w:p>
    <w:p w14:paraId="541003B2">
      <w:pPr>
        <w:pStyle w:val="2"/>
        <w:ind w:left="0" w:leftChars="0" w:firstLine="622" w:firstLineChars="200"/>
        <w:rPr>
          <w:rFonts w:hint="eastAsia"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（二）存在的问题</w:t>
      </w:r>
    </w:p>
    <w:p w14:paraId="06978207">
      <w:pPr>
        <w:pStyle w:val="2"/>
        <w:ind w:left="0" w:leftChars="0"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一是由于脱贫攻坚的需要，高标准农田建设项目向特色产业倾斜的较多，向粮油产业倾斜的较少。二是因聚焦扶贫产业发展，资金整合后的高标准农田建设任务落实区域相对较为分散，集中联片建设的规模不大。三是由于脱贫产业向短期见效的产业集中的多，建设的高标准农田标准不高，对后续产业发展有不利影响。</w:t>
      </w:r>
    </w:p>
    <w:p w14:paraId="5DC968DD">
      <w:pPr>
        <w:pStyle w:val="2"/>
        <w:ind w:left="0" w:leftChars="0" w:firstLine="622" w:firstLineChars="200"/>
        <w:rPr>
          <w:rFonts w:hint="eastAsia"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（三）相关建议</w:t>
      </w:r>
    </w:p>
    <w:p w14:paraId="5B3C9EF1">
      <w:pPr>
        <w:spacing w:line="620" w:lineRule="exact"/>
        <w:ind w:firstLine="620" w:firstLineChars="200"/>
        <w:rPr>
          <w:rFonts w:hint="default"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一是在2021年及以后年度高标准农田建设项目中重点向粮油产业倾斜。二是在项目安排上实行整村连片集中规划。三是大力推广优质粮油产业，充分发挥高标准农田效益。</w:t>
      </w:r>
    </w:p>
    <w:p w14:paraId="0ACD5B28">
      <w:pPr>
        <w:ind w:firstLine="640" w:firstLineChars="200"/>
        <w:jc w:val="left"/>
        <w:rPr>
          <w:rFonts w:ascii="仿宋_GB2312" w:hAnsi="仿宋_GB2312" w:eastAsia="仿宋_GB2312" w:cs="仿宋_GB2312"/>
          <w:sz w:val="32"/>
          <w:szCs w:val="32"/>
          <w:lang w:val="zh-CN"/>
        </w:rPr>
      </w:pPr>
    </w:p>
    <w:p w14:paraId="38DCE318">
      <w:pPr>
        <w:spacing w:line="600" w:lineRule="exact"/>
        <w:jc w:val="center"/>
        <w:outlineLvl w:val="0"/>
        <w:rPr>
          <w:rFonts w:ascii="黑体" w:hAnsi="黑体" w:eastAsia="黑体"/>
          <w:color w:val="000000"/>
          <w:sz w:val="44"/>
          <w:szCs w:val="44"/>
        </w:rPr>
      </w:pPr>
    </w:p>
    <w:p w14:paraId="4D8EBA65">
      <w:pPr>
        <w:spacing w:line="600" w:lineRule="exact"/>
        <w:jc w:val="center"/>
        <w:outlineLvl w:val="0"/>
        <w:rPr>
          <w:rFonts w:ascii="黑体" w:hAnsi="黑体" w:eastAsia="黑体"/>
          <w:color w:val="000000"/>
          <w:sz w:val="44"/>
          <w:szCs w:val="44"/>
        </w:rPr>
      </w:pPr>
    </w:p>
    <w:p w14:paraId="3DD7DE1C">
      <w:pPr>
        <w:spacing w:line="600" w:lineRule="exact"/>
        <w:jc w:val="center"/>
        <w:outlineLvl w:val="0"/>
        <w:rPr>
          <w:rFonts w:ascii="黑体" w:hAnsi="黑体" w:eastAsia="黑体"/>
          <w:color w:val="000000"/>
          <w:sz w:val="44"/>
          <w:szCs w:val="44"/>
        </w:rPr>
      </w:pPr>
    </w:p>
    <w:p w14:paraId="364BC446">
      <w:pPr>
        <w:spacing w:line="600" w:lineRule="exact"/>
        <w:jc w:val="center"/>
        <w:outlineLvl w:val="0"/>
        <w:rPr>
          <w:rFonts w:ascii="黑体" w:hAnsi="黑体" w:eastAsia="黑体"/>
          <w:color w:val="000000"/>
          <w:sz w:val="44"/>
          <w:szCs w:val="44"/>
        </w:rPr>
      </w:pPr>
    </w:p>
    <w:p w14:paraId="3D995E28">
      <w:pPr>
        <w:spacing w:line="600" w:lineRule="exact"/>
        <w:jc w:val="center"/>
        <w:outlineLvl w:val="0"/>
        <w:rPr>
          <w:rFonts w:ascii="黑体" w:hAnsi="黑体" w:eastAsia="黑体"/>
          <w:color w:val="000000"/>
          <w:sz w:val="44"/>
          <w:szCs w:val="44"/>
        </w:rPr>
      </w:pPr>
    </w:p>
    <w:p w14:paraId="024DF832">
      <w:pPr>
        <w:spacing w:line="600" w:lineRule="exact"/>
        <w:jc w:val="center"/>
        <w:outlineLvl w:val="0"/>
        <w:rPr>
          <w:rFonts w:ascii="黑体" w:hAnsi="黑体" w:eastAsia="黑体"/>
          <w:color w:val="000000"/>
          <w:sz w:val="44"/>
          <w:szCs w:val="44"/>
        </w:rPr>
      </w:pPr>
    </w:p>
    <w:p w14:paraId="65C7B6EF">
      <w:pPr>
        <w:spacing w:line="600" w:lineRule="exact"/>
        <w:jc w:val="center"/>
        <w:outlineLvl w:val="0"/>
        <w:rPr>
          <w:rFonts w:ascii="黑体" w:hAnsi="黑体" w:eastAsia="黑体"/>
          <w:color w:val="000000"/>
          <w:sz w:val="44"/>
          <w:szCs w:val="44"/>
        </w:rPr>
      </w:pPr>
    </w:p>
    <w:p w14:paraId="2BB1909E">
      <w:pPr>
        <w:pStyle w:val="34"/>
        <w:spacing w:line="576" w:lineRule="exact"/>
        <w:jc w:val="center"/>
        <w:rPr>
          <w:rFonts w:ascii="仿宋_GB2312" w:hAnsi="仿宋_GB2312" w:eastAsia="仿宋_GB2312" w:cs="仿宋_GB2312"/>
          <w:b/>
          <w:bCs/>
          <w:sz w:val="44"/>
          <w:szCs w:val="44"/>
        </w:rPr>
      </w:pPr>
    </w:p>
    <w:p w14:paraId="3B2DD9A4">
      <w:pPr>
        <w:pStyle w:val="34"/>
        <w:spacing w:line="576" w:lineRule="exact"/>
        <w:jc w:val="both"/>
        <w:rPr>
          <w:rFonts w:ascii="仿宋_GB2312" w:hAnsi="仿宋_GB2312" w:eastAsia="仿宋_GB2312" w:cs="仿宋_GB2312"/>
          <w:b/>
          <w:bCs/>
          <w:sz w:val="44"/>
          <w:szCs w:val="44"/>
        </w:rPr>
      </w:pPr>
    </w:p>
    <w:p w14:paraId="11EC2E7C">
      <w:pPr>
        <w:pStyle w:val="34"/>
        <w:spacing w:line="576" w:lineRule="exact"/>
        <w:jc w:val="both"/>
        <w:rPr>
          <w:rFonts w:hint="default" w:ascii="方正小标宋简体" w:eastAsia="方正小标宋简体"/>
          <w:bCs/>
          <w:sz w:val="32"/>
          <w:szCs w:val="32"/>
          <w:lang w:val="en-US" w:eastAsia="zh-CN"/>
        </w:rPr>
      </w:pPr>
      <w:r>
        <w:rPr>
          <w:rFonts w:hint="eastAsia" w:ascii="方正小标宋简体" w:eastAsia="方正小标宋简体"/>
          <w:bCs/>
          <w:sz w:val="32"/>
          <w:szCs w:val="32"/>
          <w:lang w:eastAsia="zh-CN"/>
        </w:rPr>
        <w:t>附件</w:t>
      </w:r>
      <w:r>
        <w:rPr>
          <w:rFonts w:hint="eastAsia" w:ascii="方正小标宋简体" w:eastAsia="方正小标宋简体"/>
          <w:bCs/>
          <w:sz w:val="32"/>
          <w:szCs w:val="32"/>
          <w:lang w:val="en-US" w:eastAsia="zh-CN"/>
        </w:rPr>
        <w:t>2</w:t>
      </w:r>
    </w:p>
    <w:p w14:paraId="70665BC6">
      <w:pPr>
        <w:pStyle w:val="34"/>
        <w:spacing w:line="576" w:lineRule="exact"/>
        <w:jc w:val="center"/>
        <w:rPr>
          <w:rFonts w:ascii="方正小标宋简体" w:eastAsia="方正小标宋简体"/>
          <w:bCs/>
          <w:sz w:val="44"/>
          <w:szCs w:val="44"/>
        </w:rPr>
      </w:pPr>
    </w:p>
    <w:p w14:paraId="7DFF63F2">
      <w:pPr>
        <w:pStyle w:val="34"/>
        <w:spacing w:line="576" w:lineRule="exact"/>
        <w:jc w:val="center"/>
        <w:rPr>
          <w:rFonts w:hint="eastAsia" w:ascii="仿宋_GB2312" w:hAnsi="仿宋_GB2312" w:eastAsia="方正小标宋简体" w:cs="仿宋_GB2312"/>
          <w:b/>
          <w:bCs/>
          <w:w w:val="90"/>
          <w:sz w:val="44"/>
          <w:szCs w:val="44"/>
          <w:lang w:eastAsia="zh-CN"/>
        </w:rPr>
      </w:pPr>
      <w:r>
        <w:rPr>
          <w:rFonts w:ascii="方正小标宋简体" w:eastAsia="方正小标宋简体"/>
          <w:bCs/>
          <w:w w:val="90"/>
          <w:sz w:val="44"/>
          <w:szCs w:val="44"/>
        </w:rPr>
        <w:t>20</w:t>
      </w:r>
      <w:r>
        <w:rPr>
          <w:rFonts w:hint="eastAsia" w:ascii="方正小标宋简体" w:eastAsia="方正小标宋简体"/>
          <w:bCs/>
          <w:w w:val="90"/>
          <w:sz w:val="44"/>
          <w:szCs w:val="44"/>
          <w:lang w:val="en-US" w:eastAsia="zh-CN"/>
        </w:rPr>
        <w:t>20</w:t>
      </w:r>
      <w:r>
        <w:rPr>
          <w:rFonts w:hint="eastAsia" w:ascii="方正小标宋简体" w:eastAsia="方正小标宋简体"/>
          <w:bCs/>
          <w:w w:val="90"/>
          <w:sz w:val="44"/>
          <w:szCs w:val="44"/>
        </w:rPr>
        <w:t>年</w:t>
      </w:r>
      <w:r>
        <w:rPr>
          <w:rFonts w:hint="eastAsia" w:ascii="方正小标宋简体" w:eastAsia="方正小标宋简体"/>
          <w:bCs/>
          <w:w w:val="90"/>
          <w:sz w:val="44"/>
          <w:szCs w:val="44"/>
          <w:lang w:eastAsia="zh-CN"/>
        </w:rPr>
        <w:t>东西部协作剑门土鸡项目</w:t>
      </w:r>
      <w:r>
        <w:rPr>
          <w:rFonts w:hint="eastAsia" w:ascii="方正小标宋简体" w:eastAsia="方正小标宋简体"/>
          <w:bCs/>
          <w:w w:val="90"/>
          <w:sz w:val="44"/>
          <w:szCs w:val="44"/>
        </w:rPr>
        <w:t>绩效评价</w:t>
      </w:r>
      <w:r>
        <w:rPr>
          <w:rFonts w:hint="eastAsia" w:ascii="方正小标宋简体" w:eastAsia="方正小标宋简体"/>
          <w:bCs/>
          <w:w w:val="90"/>
          <w:sz w:val="44"/>
          <w:szCs w:val="44"/>
          <w:lang w:eastAsia="zh-CN"/>
        </w:rPr>
        <w:t>报告</w:t>
      </w:r>
    </w:p>
    <w:p w14:paraId="4DDA7B7F">
      <w:pPr>
        <w:pStyle w:val="34"/>
        <w:spacing w:line="576" w:lineRule="exact"/>
        <w:jc w:val="center"/>
        <w:rPr>
          <w:rFonts w:ascii="仿宋_GB2312" w:hAnsi="仿宋_GB2312" w:eastAsia="仿宋_GB2312" w:cs="仿宋_GB2312"/>
          <w:b/>
          <w:bCs/>
          <w:sz w:val="44"/>
          <w:szCs w:val="44"/>
        </w:rPr>
      </w:pPr>
    </w:p>
    <w:p w14:paraId="3ACE86C4">
      <w:pPr>
        <w:widowControl/>
        <w:spacing w:line="550" w:lineRule="exact"/>
        <w:ind w:firstLine="640" w:firstLineChars="200"/>
        <w:rPr>
          <w:rFonts w:ascii="黑体" w:hAnsi="Times New Roman" w:eastAsia="黑体"/>
          <w:sz w:val="32"/>
          <w:szCs w:val="32"/>
        </w:rPr>
      </w:pPr>
      <w:r>
        <w:rPr>
          <w:rFonts w:hint="eastAsia" w:ascii="黑体" w:hAnsi="Times New Roman" w:eastAsia="黑体"/>
          <w:bCs/>
          <w:sz w:val="32"/>
          <w:szCs w:val="32"/>
        </w:rPr>
        <w:t>一、资金投入情况</w:t>
      </w:r>
    </w:p>
    <w:p w14:paraId="2C0034D2">
      <w:pPr>
        <w:spacing w:line="576" w:lineRule="exact"/>
        <w:ind w:firstLine="640" w:firstLineChars="200"/>
        <w:rPr>
          <w:rFonts w:ascii="Times New Roman" w:hAnsi="Times New Roman" w:eastAsia="仿宋_GB2312"/>
          <w:sz w:val="32"/>
          <w:szCs w:val="32"/>
        </w:rPr>
      </w:pPr>
      <w:r>
        <w:rPr>
          <w:rFonts w:eastAsia="仿宋_GB2312"/>
          <w:color w:val="000000"/>
          <w:sz w:val="32"/>
          <w:szCs w:val="32"/>
        </w:rPr>
        <w:t>项目</w:t>
      </w:r>
      <w:r>
        <w:rPr>
          <w:rFonts w:hint="eastAsia" w:eastAsia="仿宋_GB2312"/>
          <w:color w:val="000000"/>
          <w:sz w:val="32"/>
          <w:szCs w:val="32"/>
        </w:rPr>
        <w:t>计划</w:t>
      </w:r>
      <w:r>
        <w:rPr>
          <w:rFonts w:eastAsia="仿宋_GB2312"/>
          <w:color w:val="000000"/>
          <w:sz w:val="32"/>
          <w:szCs w:val="32"/>
        </w:rPr>
        <w:t>总投资</w:t>
      </w:r>
      <w:r>
        <w:rPr>
          <w:rFonts w:hint="eastAsia" w:eastAsia="仿宋_GB2312"/>
          <w:color w:val="000000"/>
          <w:sz w:val="32"/>
          <w:szCs w:val="32"/>
        </w:rPr>
        <w:t>814</w:t>
      </w:r>
      <w:r>
        <w:rPr>
          <w:rFonts w:eastAsia="仿宋_GB2312"/>
          <w:color w:val="000000"/>
          <w:sz w:val="32"/>
          <w:szCs w:val="32"/>
        </w:rPr>
        <w:t>万元，</w:t>
      </w:r>
      <w:r>
        <w:rPr>
          <w:rFonts w:hint="eastAsia" w:eastAsia="仿宋_GB2312"/>
          <w:color w:val="000000"/>
          <w:sz w:val="32"/>
          <w:szCs w:val="32"/>
        </w:rPr>
        <w:t>2020年东西部扶贫协作甜蜜富民产业项目（三期）安排财政专项资金380万元，各</w:t>
      </w:r>
      <w:r>
        <w:rPr>
          <w:rFonts w:eastAsia="仿宋_GB2312"/>
          <w:color w:val="000000"/>
          <w:sz w:val="32"/>
          <w:szCs w:val="32"/>
        </w:rPr>
        <w:t>项目</w:t>
      </w:r>
      <w:r>
        <w:rPr>
          <w:rFonts w:hint="eastAsia" w:eastAsia="仿宋_GB2312"/>
          <w:color w:val="000000"/>
          <w:sz w:val="32"/>
          <w:szCs w:val="32"/>
        </w:rPr>
        <w:t>村</w:t>
      </w:r>
      <w:r>
        <w:rPr>
          <w:rFonts w:eastAsia="仿宋_GB2312"/>
          <w:color w:val="000000"/>
          <w:sz w:val="32"/>
          <w:szCs w:val="32"/>
        </w:rPr>
        <w:t>自筹</w:t>
      </w:r>
      <w:r>
        <w:rPr>
          <w:rFonts w:hint="eastAsia" w:eastAsia="仿宋_GB2312"/>
          <w:color w:val="000000"/>
          <w:sz w:val="32"/>
          <w:szCs w:val="32"/>
        </w:rPr>
        <w:t>434</w:t>
      </w:r>
      <w:r>
        <w:rPr>
          <w:rFonts w:eastAsia="仿宋_GB2312"/>
          <w:color w:val="000000"/>
          <w:sz w:val="32"/>
          <w:szCs w:val="32"/>
        </w:rPr>
        <w:t>万元</w:t>
      </w:r>
      <w:r>
        <w:rPr>
          <w:rFonts w:hint="eastAsia" w:eastAsia="仿宋_GB2312"/>
          <w:color w:val="000000"/>
          <w:sz w:val="32"/>
          <w:szCs w:val="32"/>
        </w:rPr>
        <w:t>，目前均已全面到位。其中专项资金380万元按项目计划建设内容，分别规划为王家镇安平村90万元、道角村25万元，卫子镇新场村210万元、狮子村55万元。</w:t>
      </w:r>
    </w:p>
    <w:p w14:paraId="01235B60">
      <w:pPr>
        <w:widowControl/>
        <w:spacing w:line="550" w:lineRule="exact"/>
        <w:ind w:firstLine="640" w:firstLineChars="200"/>
        <w:rPr>
          <w:rFonts w:ascii="黑体" w:hAnsi="Times New Roman" w:eastAsia="黑体"/>
          <w:bCs/>
          <w:sz w:val="32"/>
          <w:szCs w:val="32"/>
        </w:rPr>
      </w:pPr>
      <w:r>
        <w:rPr>
          <w:rFonts w:hint="eastAsia" w:ascii="黑体" w:hAnsi="Times New Roman" w:eastAsia="黑体"/>
          <w:bCs/>
          <w:sz w:val="32"/>
          <w:szCs w:val="32"/>
        </w:rPr>
        <w:t>二、资金使用情况</w:t>
      </w:r>
    </w:p>
    <w:p w14:paraId="494A339B">
      <w:pPr>
        <w:spacing w:line="576" w:lineRule="exact"/>
        <w:ind w:firstLine="640" w:firstLineChars="200"/>
        <w:rPr>
          <w:rFonts w:ascii="Times New Roman" w:hAnsi="Times New Roman" w:eastAsia="仿宋_GB2312"/>
          <w:sz w:val="32"/>
          <w:szCs w:val="32"/>
        </w:rPr>
      </w:pPr>
      <w:r>
        <w:rPr>
          <w:rFonts w:hint="eastAsia" w:eastAsia="仿宋_GB2312"/>
          <w:color w:val="000000"/>
          <w:sz w:val="32"/>
          <w:szCs w:val="32"/>
          <w:lang w:eastAsia="zh-CN"/>
        </w:rPr>
        <w:t>截至目前</w:t>
      </w:r>
      <w:r>
        <w:rPr>
          <w:rFonts w:hint="eastAsia" w:eastAsia="仿宋_GB2312"/>
          <w:color w:val="000000"/>
          <w:sz w:val="32"/>
          <w:szCs w:val="32"/>
        </w:rPr>
        <w:t>，已拨付项目资金</w:t>
      </w:r>
      <w:r>
        <w:rPr>
          <w:rFonts w:hint="eastAsia" w:eastAsia="仿宋_GB2312"/>
          <w:color w:val="000000"/>
          <w:sz w:val="32"/>
          <w:szCs w:val="32"/>
          <w:lang w:val="en-US" w:eastAsia="zh-CN"/>
        </w:rPr>
        <w:t>380</w:t>
      </w:r>
      <w:r>
        <w:rPr>
          <w:rFonts w:hint="eastAsia" w:eastAsia="仿宋_GB2312"/>
          <w:color w:val="000000"/>
          <w:sz w:val="32"/>
          <w:szCs w:val="32"/>
        </w:rPr>
        <w:t>万元，其中王家镇安平村90万元、道角村2</w:t>
      </w:r>
      <w:r>
        <w:rPr>
          <w:rFonts w:hint="eastAsia" w:eastAsia="仿宋_GB2312"/>
          <w:color w:val="000000"/>
          <w:sz w:val="32"/>
          <w:szCs w:val="32"/>
          <w:lang w:val="en-US" w:eastAsia="zh-CN"/>
        </w:rPr>
        <w:t>5</w:t>
      </w:r>
      <w:r>
        <w:rPr>
          <w:rFonts w:hint="eastAsia" w:eastAsia="仿宋_GB2312"/>
          <w:color w:val="000000"/>
          <w:sz w:val="32"/>
          <w:szCs w:val="32"/>
        </w:rPr>
        <w:t>万元，卫子镇新场村210万元、狮子村55万元，项目资金拨付比例达</w:t>
      </w:r>
      <w:r>
        <w:rPr>
          <w:rFonts w:hint="eastAsia" w:eastAsia="仿宋_GB2312"/>
          <w:color w:val="000000"/>
          <w:sz w:val="32"/>
          <w:szCs w:val="32"/>
          <w:lang w:val="en-US" w:eastAsia="zh-CN"/>
        </w:rPr>
        <w:t>100</w:t>
      </w:r>
      <w:r>
        <w:rPr>
          <w:rFonts w:hint="eastAsia" w:eastAsia="仿宋_GB2312"/>
          <w:color w:val="000000"/>
          <w:sz w:val="32"/>
          <w:szCs w:val="32"/>
        </w:rPr>
        <w:t>%。项目专项资金在使用中无截留、挤占、挪用和套取行为。</w:t>
      </w:r>
    </w:p>
    <w:p w14:paraId="4FCD080C">
      <w:pPr>
        <w:widowControl/>
        <w:spacing w:line="550" w:lineRule="exact"/>
        <w:ind w:firstLine="640" w:firstLineChars="200"/>
        <w:rPr>
          <w:rFonts w:ascii="黑体" w:hAnsi="Times New Roman" w:eastAsia="黑体"/>
          <w:sz w:val="32"/>
          <w:szCs w:val="32"/>
        </w:rPr>
      </w:pPr>
      <w:r>
        <w:rPr>
          <w:rFonts w:hint="eastAsia" w:ascii="黑体" w:hAnsi="Times New Roman" w:eastAsia="黑体"/>
          <w:sz w:val="32"/>
          <w:szCs w:val="32"/>
        </w:rPr>
        <w:t>三</w:t>
      </w:r>
      <w:r>
        <w:rPr>
          <w:rFonts w:hint="eastAsia" w:ascii="黑体" w:hAnsi="Times New Roman" w:eastAsia="黑体"/>
          <w:bCs/>
          <w:sz w:val="32"/>
          <w:szCs w:val="32"/>
        </w:rPr>
        <w:t>、资金效益情况</w:t>
      </w:r>
    </w:p>
    <w:p w14:paraId="0224B195">
      <w:pPr>
        <w:spacing w:line="550" w:lineRule="exact"/>
        <w:ind w:firstLine="640" w:firstLineChars="200"/>
        <w:rPr>
          <w:rFonts w:ascii="Times New Roman" w:hAnsi="Times New Roman" w:eastAsia="仿宋_GB2312"/>
          <w:sz w:val="32"/>
          <w:szCs w:val="32"/>
        </w:rPr>
      </w:pPr>
      <w:r>
        <w:rPr>
          <w:rFonts w:hint="eastAsia" w:eastAsia="仿宋_GB2312"/>
          <w:color w:val="000000"/>
          <w:kern w:val="0"/>
          <w:sz w:val="32"/>
          <w:szCs w:val="32"/>
        </w:rPr>
        <w:t>本项目新建标准化剑门关土鸡育雏中心13个，每个育雏中心年可提供脱温鸡苗10万羽，合计年可供应脱温鸡苗130万羽，按每只脱温鸡苗实现净利润1元计算，该项目每年可实现养殖纯收益130万元。育雏中心建成后，可以为全区土鸡养殖农户提供健康优质的脱温鸡苗，可提高农户养殖成活率5%以上，帮助农户节约外地鸡苗运费、运输损耗等费用1元/只，有力的促进了全区剑门关土鸡产业发展，经济及社会效益十分显著。</w:t>
      </w:r>
    </w:p>
    <w:p w14:paraId="2DA0B142">
      <w:pPr>
        <w:widowControl/>
        <w:spacing w:line="550" w:lineRule="exact"/>
        <w:ind w:firstLine="640" w:firstLineChars="200"/>
        <w:rPr>
          <w:rFonts w:ascii="黑体" w:hAnsi="Times New Roman" w:eastAsia="黑体"/>
          <w:sz w:val="32"/>
          <w:szCs w:val="32"/>
        </w:rPr>
      </w:pPr>
      <w:r>
        <w:rPr>
          <w:rFonts w:hint="eastAsia" w:ascii="黑体" w:hAnsi="Times New Roman" w:eastAsia="黑体"/>
          <w:sz w:val="32"/>
          <w:szCs w:val="32"/>
        </w:rPr>
        <w:t>四、具体工作措施</w:t>
      </w:r>
    </w:p>
    <w:p w14:paraId="65649311">
      <w:pPr>
        <w:spacing w:line="550" w:lineRule="exact"/>
        <w:ind w:firstLine="640"/>
        <w:rPr>
          <w:rFonts w:ascii="Times New Roman" w:hAnsi="Times New Roman" w:eastAsia="仿宋_GB2312"/>
          <w:sz w:val="32"/>
          <w:szCs w:val="32"/>
        </w:rPr>
      </w:pPr>
      <w:r>
        <w:rPr>
          <w:rFonts w:hint="eastAsia" w:ascii="楷体_GB2312" w:hAnsi="Times New Roman" w:eastAsia="楷体_GB2312"/>
          <w:b/>
          <w:sz w:val="32"/>
          <w:szCs w:val="32"/>
        </w:rPr>
        <w:t>（一）严格制度。</w:t>
      </w:r>
      <w:r>
        <w:rPr>
          <w:rFonts w:hint="eastAsia" w:eastAsia="仿宋_GB2312"/>
          <w:color w:val="000000"/>
          <w:sz w:val="32"/>
          <w:szCs w:val="32"/>
        </w:rPr>
        <w:t>该项目严格按照《广元市昭化区东西部扶贫协作项目管理暂行实施细则》和《广元市昭化区东西部扶贫协作援助资金管理暂行办法》进行管理，资金拨付审批规范，使用合理，财务账目清晰，资料齐全，管理规范。</w:t>
      </w:r>
    </w:p>
    <w:p w14:paraId="2A1B343B">
      <w:pPr>
        <w:spacing w:line="576" w:lineRule="exact"/>
        <w:ind w:firstLine="643" w:firstLineChars="200"/>
        <w:rPr>
          <w:rFonts w:ascii="Times New Roman" w:hAnsi="Times New Roman" w:eastAsia="仿宋_GB2312"/>
          <w:sz w:val="32"/>
          <w:szCs w:val="32"/>
        </w:rPr>
      </w:pPr>
      <w:r>
        <w:rPr>
          <w:rFonts w:hint="eastAsia" w:ascii="楷体_GB2312" w:hAnsi="Times New Roman" w:eastAsia="楷体_GB2312"/>
          <w:b/>
          <w:sz w:val="32"/>
          <w:szCs w:val="32"/>
        </w:rPr>
        <w:t>（二）规范管理。</w:t>
      </w:r>
      <w:r>
        <w:rPr>
          <w:rFonts w:hint="eastAsia" w:eastAsia="仿宋_GB2312"/>
          <w:color w:val="000000"/>
          <w:sz w:val="32"/>
          <w:szCs w:val="32"/>
        </w:rPr>
        <w:t>该项目总实施方案审批通过后，由项目镇根据实际建设内容编制项目子方案报送区农业农村局审核批复后按方案组织实施，</w:t>
      </w:r>
      <w:r>
        <w:rPr>
          <w:rFonts w:hint="eastAsia" w:eastAsia="仿宋"/>
          <w:kern w:val="0"/>
          <w:sz w:val="32"/>
          <w:szCs w:val="32"/>
          <w:lang w:bidi="ar"/>
        </w:rPr>
        <w:t>项目镇、村成立东西部协作项目工作小组，负责项目实施方式、质量监督、施工队伍确定等相关工作</w:t>
      </w:r>
      <w:r>
        <w:rPr>
          <w:rFonts w:hint="eastAsia" w:eastAsia="仿宋_GB2312"/>
          <w:color w:val="000000"/>
          <w:sz w:val="32"/>
          <w:szCs w:val="32"/>
        </w:rPr>
        <w:t>，指导项目村及时收集完善项目建设资料，做好项目验收并按进度组织报账。本项目采取“民办公助，先建后补，以奖代补”方式组织实施，并实行区级报账制，所有项目资金直接支付到第三方。项目实行全程公示制，广泛接受社会各界监督。</w:t>
      </w:r>
    </w:p>
    <w:p w14:paraId="3E622C42">
      <w:pPr>
        <w:widowControl/>
        <w:spacing w:line="550" w:lineRule="exact"/>
        <w:ind w:firstLine="640" w:firstLineChars="200"/>
        <w:rPr>
          <w:rFonts w:ascii="黑体" w:hAnsi="Times New Roman" w:eastAsia="黑体"/>
          <w:sz w:val="32"/>
          <w:szCs w:val="32"/>
        </w:rPr>
      </w:pPr>
      <w:r>
        <w:rPr>
          <w:rFonts w:hint="eastAsia" w:ascii="黑体" w:hAnsi="Times New Roman" w:eastAsia="黑体"/>
          <w:sz w:val="32"/>
          <w:szCs w:val="32"/>
        </w:rPr>
        <w:t>五、发现问题情况</w:t>
      </w:r>
      <w:r>
        <w:rPr>
          <w:rFonts w:ascii="黑体" w:hAnsi="Times New Roman" w:eastAsia="黑体"/>
          <w:sz w:val="32"/>
          <w:szCs w:val="32"/>
        </w:rPr>
        <w:t xml:space="preserve"> </w:t>
      </w:r>
    </w:p>
    <w:p w14:paraId="2DA395DD">
      <w:pPr>
        <w:spacing w:line="576" w:lineRule="exact"/>
        <w:ind w:firstLine="640" w:firstLineChars="200"/>
        <w:rPr>
          <w:rFonts w:ascii="Times New Roman" w:hAnsi="Times New Roman" w:eastAsia="仿宋_GB2312"/>
          <w:b/>
          <w:bCs/>
          <w:sz w:val="32"/>
          <w:szCs w:val="32"/>
        </w:rPr>
      </w:pPr>
      <w:r>
        <w:rPr>
          <w:rFonts w:hint="eastAsia" w:eastAsia="仿宋_GB2312"/>
          <w:kern w:val="0"/>
          <w:sz w:val="32"/>
          <w:szCs w:val="32"/>
          <w:lang w:bidi="ar"/>
        </w:rPr>
        <w:t>虽然全面完成了项目各项建设任务，但在实施过程中还存在部分项目村建设进度相对滞后、资料整理不规范、贫困户利益联结机制单一等问题。</w:t>
      </w:r>
    </w:p>
    <w:p w14:paraId="7142BECA">
      <w:pPr>
        <w:widowControl/>
        <w:spacing w:line="550" w:lineRule="exact"/>
        <w:ind w:firstLine="640" w:firstLineChars="200"/>
        <w:rPr>
          <w:rFonts w:ascii="黑体" w:hAnsi="Times New Roman" w:eastAsia="黑体"/>
          <w:sz w:val="32"/>
          <w:szCs w:val="32"/>
        </w:rPr>
      </w:pPr>
      <w:r>
        <w:rPr>
          <w:rFonts w:hint="eastAsia" w:ascii="黑体" w:hAnsi="Times New Roman" w:eastAsia="黑体"/>
          <w:sz w:val="32"/>
          <w:szCs w:val="32"/>
        </w:rPr>
        <w:t>六、下步措施</w:t>
      </w:r>
    </w:p>
    <w:p w14:paraId="6520F49B">
      <w:pPr>
        <w:spacing w:line="576" w:lineRule="exact"/>
        <w:ind w:firstLine="640" w:firstLineChars="200"/>
        <w:outlineLvl w:val="0"/>
        <w:rPr>
          <w:rFonts w:eastAsia="仿宋_GB2312"/>
          <w:sz w:val="32"/>
          <w:szCs w:val="32"/>
        </w:rPr>
      </w:pPr>
      <w:bookmarkStart w:id="132" w:name="_Toc26487"/>
      <w:bookmarkStart w:id="133" w:name="_Toc798"/>
      <w:r>
        <w:rPr>
          <w:rFonts w:hint="eastAsia" w:eastAsia="仿宋_GB2312"/>
          <w:kern w:val="0"/>
          <w:sz w:val="32"/>
          <w:szCs w:val="32"/>
          <w:lang w:bidi="ar"/>
        </w:rPr>
        <w:t>下一步，我们将以问题为导向，持续推动我区剑门关土鸡产业大力发展。</w:t>
      </w:r>
      <w:r>
        <w:rPr>
          <w:rFonts w:hint="eastAsia" w:eastAsia="仿宋_GB2312"/>
          <w:b/>
          <w:bCs/>
          <w:spacing w:val="9"/>
          <w:sz w:val="32"/>
          <w:szCs w:val="32"/>
        </w:rPr>
        <w:t>一是</w:t>
      </w:r>
      <w:r>
        <w:rPr>
          <w:rFonts w:eastAsia="仿宋_GB2312"/>
          <w:spacing w:val="9"/>
          <w:sz w:val="32"/>
          <w:szCs w:val="32"/>
        </w:rPr>
        <w:t>加强与四川四海三联农业开发有限公司的协调配合，加快</w:t>
      </w:r>
      <w:r>
        <w:rPr>
          <w:rFonts w:hint="eastAsia" w:eastAsia="仿宋_GB2312"/>
          <w:spacing w:val="9"/>
          <w:sz w:val="32"/>
          <w:szCs w:val="32"/>
        </w:rPr>
        <w:t>完善“龙头企业+村集体+专合社+农户”利益机制联结</w:t>
      </w:r>
      <w:r>
        <w:rPr>
          <w:rFonts w:eastAsia="仿宋_GB2312"/>
          <w:spacing w:val="9"/>
          <w:sz w:val="32"/>
          <w:szCs w:val="32"/>
        </w:rPr>
        <w:t>。</w:t>
      </w:r>
      <w:r>
        <w:rPr>
          <w:rFonts w:hint="eastAsia" w:eastAsia="仿宋_GB2312"/>
          <w:b/>
          <w:bCs/>
          <w:spacing w:val="9"/>
          <w:sz w:val="32"/>
          <w:szCs w:val="32"/>
        </w:rPr>
        <w:t>二是</w:t>
      </w:r>
      <w:r>
        <w:rPr>
          <w:rFonts w:eastAsia="仿宋_GB2312"/>
          <w:spacing w:val="9"/>
          <w:sz w:val="32"/>
          <w:szCs w:val="32"/>
        </w:rPr>
        <w:t>对项目软件资料再次清理审查，做到资料齐全、规范有序。</w:t>
      </w:r>
      <w:r>
        <w:rPr>
          <w:rFonts w:hint="eastAsia" w:eastAsia="仿宋_GB2312"/>
          <w:b/>
          <w:bCs/>
          <w:spacing w:val="9"/>
          <w:sz w:val="32"/>
          <w:szCs w:val="32"/>
        </w:rPr>
        <w:t>三是</w:t>
      </w:r>
      <w:r>
        <w:rPr>
          <w:rFonts w:eastAsia="仿宋_GB2312"/>
          <w:spacing w:val="9"/>
          <w:sz w:val="32"/>
          <w:szCs w:val="32"/>
        </w:rPr>
        <w:t>加强对东西部扶贫协作“龙泉·昭化”剑门关土鸡项目的宣传引导，提高项目</w:t>
      </w:r>
      <w:r>
        <w:rPr>
          <w:rFonts w:hint="eastAsia" w:eastAsia="仿宋_GB2312"/>
          <w:spacing w:val="9"/>
          <w:sz w:val="32"/>
          <w:szCs w:val="32"/>
        </w:rPr>
        <w:t>受益对象</w:t>
      </w:r>
      <w:r>
        <w:rPr>
          <w:rFonts w:eastAsia="仿宋_GB2312"/>
          <w:spacing w:val="9"/>
          <w:sz w:val="32"/>
          <w:szCs w:val="32"/>
        </w:rPr>
        <w:t>对项目</w:t>
      </w:r>
      <w:r>
        <w:rPr>
          <w:rFonts w:hint="eastAsia" w:eastAsia="仿宋_GB2312"/>
          <w:spacing w:val="9"/>
          <w:sz w:val="32"/>
          <w:szCs w:val="32"/>
        </w:rPr>
        <w:t>的知晓度</w:t>
      </w:r>
      <w:r>
        <w:rPr>
          <w:rFonts w:eastAsia="仿宋_GB2312"/>
          <w:spacing w:val="9"/>
          <w:sz w:val="32"/>
          <w:szCs w:val="32"/>
        </w:rPr>
        <w:t>。</w:t>
      </w:r>
      <w:bookmarkEnd w:id="132"/>
      <w:bookmarkEnd w:id="133"/>
    </w:p>
    <w:p w14:paraId="2199D171">
      <w:pPr>
        <w:spacing w:line="576" w:lineRule="exact"/>
        <w:ind w:firstLine="676" w:firstLineChars="200"/>
        <w:rPr>
          <w:rFonts w:hint="eastAsia" w:eastAsia="仿宋_GB2312"/>
          <w:spacing w:val="9"/>
          <w:sz w:val="32"/>
          <w:szCs w:val="32"/>
        </w:rPr>
      </w:pPr>
    </w:p>
    <w:p w14:paraId="6B5CBF9B">
      <w:pPr>
        <w:spacing w:line="600" w:lineRule="exact"/>
        <w:jc w:val="center"/>
        <w:outlineLvl w:val="0"/>
        <w:rPr>
          <w:rFonts w:ascii="黑体" w:hAnsi="黑体" w:eastAsia="黑体"/>
          <w:color w:val="000000"/>
          <w:sz w:val="44"/>
          <w:szCs w:val="44"/>
        </w:rPr>
      </w:pPr>
    </w:p>
    <w:p w14:paraId="388BF6D7">
      <w:pPr>
        <w:spacing w:line="600" w:lineRule="exact"/>
        <w:jc w:val="center"/>
        <w:outlineLvl w:val="0"/>
        <w:rPr>
          <w:rFonts w:ascii="黑体" w:hAnsi="黑体" w:eastAsia="黑体"/>
          <w:color w:val="000000"/>
          <w:sz w:val="44"/>
          <w:szCs w:val="44"/>
        </w:rPr>
      </w:pPr>
    </w:p>
    <w:p w14:paraId="285B5B3D">
      <w:pPr>
        <w:spacing w:line="600" w:lineRule="exact"/>
        <w:jc w:val="center"/>
        <w:outlineLvl w:val="0"/>
        <w:rPr>
          <w:rFonts w:ascii="黑体" w:hAnsi="黑体" w:eastAsia="黑体"/>
          <w:color w:val="000000"/>
          <w:sz w:val="44"/>
          <w:szCs w:val="44"/>
        </w:rPr>
      </w:pPr>
    </w:p>
    <w:p w14:paraId="52054808">
      <w:pPr>
        <w:spacing w:line="600" w:lineRule="exact"/>
        <w:jc w:val="center"/>
        <w:outlineLvl w:val="0"/>
        <w:rPr>
          <w:rFonts w:ascii="黑体" w:hAnsi="黑体" w:eastAsia="黑体"/>
          <w:color w:val="000000"/>
          <w:sz w:val="44"/>
          <w:szCs w:val="44"/>
        </w:rPr>
      </w:pPr>
    </w:p>
    <w:p w14:paraId="6FA9F8B8">
      <w:pPr>
        <w:spacing w:line="600" w:lineRule="exact"/>
        <w:jc w:val="center"/>
        <w:outlineLvl w:val="0"/>
        <w:rPr>
          <w:rFonts w:ascii="黑体" w:hAnsi="黑体" w:eastAsia="黑体"/>
          <w:color w:val="000000"/>
          <w:sz w:val="44"/>
          <w:szCs w:val="44"/>
        </w:rPr>
      </w:pPr>
    </w:p>
    <w:p w14:paraId="3C391AA2">
      <w:pPr>
        <w:spacing w:line="600" w:lineRule="exact"/>
        <w:jc w:val="center"/>
        <w:outlineLvl w:val="0"/>
        <w:rPr>
          <w:rFonts w:ascii="黑体" w:hAnsi="黑体" w:eastAsia="黑体"/>
          <w:color w:val="000000"/>
          <w:sz w:val="44"/>
          <w:szCs w:val="44"/>
        </w:rPr>
      </w:pPr>
    </w:p>
    <w:p w14:paraId="545A54F9">
      <w:pPr>
        <w:spacing w:line="600" w:lineRule="exact"/>
        <w:jc w:val="center"/>
        <w:outlineLvl w:val="0"/>
        <w:rPr>
          <w:rFonts w:ascii="黑体" w:hAnsi="黑体" w:eastAsia="黑体"/>
          <w:color w:val="000000"/>
          <w:sz w:val="44"/>
          <w:szCs w:val="44"/>
        </w:rPr>
      </w:pPr>
    </w:p>
    <w:p w14:paraId="0166FEB3">
      <w:pPr>
        <w:spacing w:line="600" w:lineRule="exact"/>
        <w:jc w:val="center"/>
        <w:outlineLvl w:val="0"/>
        <w:rPr>
          <w:rFonts w:ascii="黑体" w:hAnsi="黑体" w:eastAsia="黑体"/>
          <w:color w:val="000000"/>
          <w:sz w:val="44"/>
          <w:szCs w:val="44"/>
        </w:rPr>
      </w:pPr>
    </w:p>
    <w:p w14:paraId="63B69C22">
      <w:pPr>
        <w:spacing w:line="600" w:lineRule="exact"/>
        <w:jc w:val="center"/>
        <w:outlineLvl w:val="0"/>
        <w:rPr>
          <w:rFonts w:ascii="黑体" w:hAnsi="黑体" w:eastAsia="黑体"/>
          <w:color w:val="000000"/>
          <w:sz w:val="44"/>
          <w:szCs w:val="44"/>
        </w:rPr>
      </w:pPr>
    </w:p>
    <w:p w14:paraId="7FCC45EE">
      <w:pPr>
        <w:spacing w:line="600" w:lineRule="exact"/>
        <w:jc w:val="center"/>
        <w:outlineLvl w:val="0"/>
        <w:rPr>
          <w:rFonts w:ascii="黑体" w:hAnsi="黑体" w:eastAsia="黑体"/>
          <w:color w:val="000000"/>
          <w:sz w:val="44"/>
          <w:szCs w:val="44"/>
        </w:rPr>
      </w:pPr>
    </w:p>
    <w:p w14:paraId="18B34FCA">
      <w:pPr>
        <w:spacing w:line="600" w:lineRule="exact"/>
        <w:jc w:val="center"/>
        <w:outlineLvl w:val="0"/>
        <w:rPr>
          <w:rFonts w:ascii="黑体" w:hAnsi="黑体" w:eastAsia="黑体"/>
          <w:color w:val="000000"/>
          <w:sz w:val="44"/>
          <w:szCs w:val="44"/>
        </w:rPr>
      </w:pPr>
    </w:p>
    <w:p w14:paraId="1E5F46E7">
      <w:pPr>
        <w:spacing w:line="600" w:lineRule="exact"/>
        <w:outlineLvl w:val="0"/>
        <w:rPr>
          <w:rFonts w:ascii="黑体" w:hAnsi="黑体" w:eastAsia="黑体"/>
          <w:color w:val="000000"/>
          <w:sz w:val="44"/>
          <w:szCs w:val="44"/>
        </w:rPr>
      </w:pPr>
    </w:p>
    <w:p w14:paraId="5833E613">
      <w:pPr>
        <w:spacing w:line="600" w:lineRule="exact"/>
        <w:jc w:val="center"/>
        <w:outlineLvl w:val="0"/>
        <w:rPr>
          <w:rFonts w:hint="eastAsia" w:ascii="黑体" w:hAnsi="黑体" w:eastAsia="黑体"/>
          <w:color w:val="000000"/>
          <w:sz w:val="44"/>
          <w:szCs w:val="44"/>
        </w:rPr>
      </w:pPr>
    </w:p>
    <w:p w14:paraId="0B69140B">
      <w:pPr>
        <w:spacing w:line="600" w:lineRule="exact"/>
        <w:jc w:val="center"/>
        <w:outlineLvl w:val="0"/>
        <w:rPr>
          <w:rFonts w:hint="eastAsia" w:ascii="黑体" w:hAnsi="黑体" w:eastAsia="黑体"/>
          <w:color w:val="000000"/>
          <w:sz w:val="44"/>
          <w:szCs w:val="44"/>
        </w:rPr>
      </w:pPr>
    </w:p>
    <w:p w14:paraId="0337E4EC">
      <w:pPr>
        <w:spacing w:line="600" w:lineRule="exact"/>
        <w:jc w:val="center"/>
        <w:outlineLvl w:val="0"/>
        <w:rPr>
          <w:rFonts w:hint="eastAsia" w:ascii="黑体" w:hAnsi="黑体" w:eastAsia="黑体"/>
          <w:color w:val="000000"/>
          <w:sz w:val="44"/>
          <w:szCs w:val="44"/>
        </w:rPr>
      </w:pPr>
    </w:p>
    <w:p w14:paraId="66339BBD">
      <w:pPr>
        <w:spacing w:line="600" w:lineRule="exact"/>
        <w:jc w:val="center"/>
        <w:outlineLvl w:val="0"/>
        <w:rPr>
          <w:rFonts w:hint="eastAsia" w:ascii="黑体" w:hAnsi="黑体" w:eastAsia="黑体"/>
          <w:color w:val="000000"/>
          <w:sz w:val="44"/>
          <w:szCs w:val="44"/>
        </w:rPr>
      </w:pPr>
    </w:p>
    <w:p w14:paraId="7D99F643">
      <w:pPr>
        <w:spacing w:line="600" w:lineRule="exact"/>
        <w:jc w:val="center"/>
        <w:outlineLvl w:val="0"/>
        <w:rPr>
          <w:rFonts w:hint="eastAsia" w:ascii="黑体" w:hAnsi="黑体" w:eastAsia="黑体"/>
          <w:color w:val="000000"/>
          <w:sz w:val="44"/>
          <w:szCs w:val="44"/>
        </w:rPr>
      </w:pPr>
    </w:p>
    <w:p w14:paraId="5EF994B0">
      <w:pPr>
        <w:spacing w:line="600" w:lineRule="exact"/>
        <w:jc w:val="center"/>
        <w:outlineLvl w:val="0"/>
        <w:rPr>
          <w:rFonts w:hint="eastAsia" w:ascii="黑体" w:hAnsi="黑体" w:eastAsia="黑体"/>
          <w:color w:val="000000"/>
          <w:sz w:val="44"/>
          <w:szCs w:val="44"/>
        </w:rPr>
      </w:pPr>
    </w:p>
    <w:p w14:paraId="0FA06BFB">
      <w:pPr>
        <w:spacing w:line="600" w:lineRule="exact"/>
        <w:jc w:val="center"/>
        <w:outlineLvl w:val="0"/>
        <w:rPr>
          <w:rFonts w:hint="eastAsia" w:ascii="黑体" w:hAnsi="黑体" w:eastAsia="黑体"/>
          <w:color w:val="000000"/>
          <w:sz w:val="44"/>
          <w:szCs w:val="44"/>
        </w:rPr>
      </w:pPr>
    </w:p>
    <w:p w14:paraId="47840DD5">
      <w:pPr>
        <w:spacing w:line="600" w:lineRule="exact"/>
        <w:jc w:val="both"/>
        <w:outlineLvl w:val="0"/>
        <w:rPr>
          <w:rFonts w:hint="eastAsia" w:ascii="黑体" w:hAnsi="黑体" w:eastAsia="黑体"/>
          <w:color w:val="000000"/>
          <w:sz w:val="44"/>
          <w:szCs w:val="44"/>
        </w:rPr>
      </w:pPr>
    </w:p>
    <w:p w14:paraId="339080F9">
      <w:pPr>
        <w:spacing w:line="600" w:lineRule="exact"/>
        <w:jc w:val="center"/>
        <w:outlineLvl w:val="0"/>
        <w:rPr>
          <w:rStyle w:val="29"/>
          <w:rFonts w:hint="eastAsia" w:ascii="黑体" w:hAnsi="黑体" w:eastAsia="黑体"/>
          <w:b w:val="0"/>
        </w:rPr>
      </w:pPr>
      <w:bookmarkStart w:id="134" w:name="_Toc19994"/>
      <w:bookmarkStart w:id="135" w:name="_Toc30602"/>
      <w:r>
        <w:rPr>
          <w:rFonts w:hint="eastAsia" w:ascii="黑体" w:hAnsi="黑体" w:eastAsia="黑体"/>
          <w:color w:val="000000"/>
          <w:sz w:val="44"/>
          <w:szCs w:val="44"/>
        </w:rPr>
        <w:t>第</w:t>
      </w:r>
      <w:r>
        <w:rPr>
          <w:rStyle w:val="29"/>
          <w:rFonts w:hint="eastAsia" w:ascii="黑体" w:hAnsi="黑体" w:eastAsia="黑体"/>
          <w:b w:val="0"/>
        </w:rPr>
        <w:t>五部分 附表</w:t>
      </w:r>
      <w:bookmarkEnd w:id="112"/>
      <w:bookmarkEnd w:id="122"/>
      <w:bookmarkEnd w:id="134"/>
      <w:bookmarkEnd w:id="135"/>
    </w:p>
    <w:p w14:paraId="3BA12329"/>
    <w:p w14:paraId="43F86418">
      <w:pPr>
        <w:pStyle w:val="4"/>
        <w:rPr>
          <w:rFonts w:ascii="仿宋" w:hAnsi="仿宋" w:eastAsia="仿宋"/>
          <w:color w:val="000000"/>
        </w:rPr>
      </w:pPr>
      <w:bookmarkStart w:id="136" w:name="_Toc15396619"/>
      <w:bookmarkStart w:id="137" w:name="_Toc23117"/>
      <w:bookmarkStart w:id="138" w:name="_Toc17976"/>
      <w:r>
        <w:rPr>
          <w:rFonts w:hint="eastAsia" w:ascii="仿宋" w:hAnsi="仿宋" w:eastAsia="仿宋"/>
          <w:b w:val="0"/>
          <w:color w:val="000000"/>
        </w:rPr>
        <w:t>一、收</w:t>
      </w:r>
      <w:r>
        <w:rPr>
          <w:rStyle w:val="30"/>
          <w:rFonts w:hint="eastAsia" w:ascii="仿宋" w:hAnsi="仿宋" w:eastAsia="仿宋"/>
          <w:b w:val="0"/>
          <w:bCs w:val="0"/>
        </w:rPr>
        <w:t>入支出决算总表</w:t>
      </w:r>
      <w:bookmarkEnd w:id="136"/>
      <w:bookmarkEnd w:id="137"/>
      <w:bookmarkEnd w:id="138"/>
    </w:p>
    <w:p w14:paraId="5061CBF9">
      <w:pPr>
        <w:pStyle w:val="4"/>
        <w:rPr>
          <w:rFonts w:ascii="仿宋" w:hAnsi="仿宋" w:eastAsia="仿宋"/>
          <w:color w:val="000000"/>
        </w:rPr>
      </w:pPr>
      <w:bookmarkStart w:id="139" w:name="_Toc18430"/>
      <w:bookmarkStart w:id="140" w:name="_Toc2532"/>
      <w:bookmarkStart w:id="141" w:name="_Toc15396620"/>
      <w:r>
        <w:rPr>
          <w:rFonts w:hint="eastAsia" w:ascii="仿宋" w:hAnsi="仿宋" w:eastAsia="仿宋"/>
          <w:b w:val="0"/>
          <w:color w:val="000000"/>
        </w:rPr>
        <w:t>二、收</w:t>
      </w:r>
      <w:r>
        <w:rPr>
          <w:rStyle w:val="30"/>
          <w:rFonts w:hint="eastAsia" w:ascii="仿宋" w:hAnsi="仿宋" w:eastAsia="仿宋"/>
          <w:b w:val="0"/>
          <w:bCs w:val="0"/>
        </w:rPr>
        <w:t>入总表</w:t>
      </w:r>
      <w:bookmarkEnd w:id="139"/>
      <w:bookmarkEnd w:id="140"/>
      <w:bookmarkEnd w:id="141"/>
    </w:p>
    <w:p w14:paraId="1F2F8018">
      <w:pPr>
        <w:pStyle w:val="4"/>
        <w:rPr>
          <w:rFonts w:ascii="仿宋" w:hAnsi="仿宋" w:eastAsia="仿宋"/>
          <w:color w:val="000000"/>
        </w:rPr>
      </w:pPr>
      <w:bookmarkStart w:id="142" w:name="_Toc15396621"/>
      <w:bookmarkStart w:id="143" w:name="_Toc31167"/>
      <w:bookmarkStart w:id="144" w:name="_Toc27565"/>
      <w:r>
        <w:rPr>
          <w:rStyle w:val="30"/>
          <w:rFonts w:hint="eastAsia" w:ascii="仿宋" w:hAnsi="仿宋" w:eastAsia="仿宋"/>
          <w:b w:val="0"/>
          <w:bCs w:val="0"/>
        </w:rPr>
        <w:t>三、</w:t>
      </w:r>
      <w:r>
        <w:rPr>
          <w:rFonts w:hint="eastAsia" w:ascii="仿宋" w:hAnsi="仿宋" w:eastAsia="仿宋"/>
          <w:b w:val="0"/>
          <w:color w:val="000000"/>
        </w:rPr>
        <w:t>支</w:t>
      </w:r>
      <w:r>
        <w:rPr>
          <w:rStyle w:val="30"/>
          <w:rFonts w:hint="eastAsia" w:ascii="仿宋" w:hAnsi="仿宋" w:eastAsia="仿宋"/>
          <w:b w:val="0"/>
          <w:bCs w:val="0"/>
        </w:rPr>
        <w:t>出总表</w:t>
      </w:r>
      <w:bookmarkEnd w:id="142"/>
      <w:bookmarkEnd w:id="143"/>
      <w:bookmarkEnd w:id="144"/>
    </w:p>
    <w:p w14:paraId="5B768352">
      <w:pPr>
        <w:pStyle w:val="4"/>
        <w:rPr>
          <w:rFonts w:ascii="仿宋" w:hAnsi="仿宋" w:eastAsia="仿宋"/>
          <w:b w:val="0"/>
          <w:color w:val="000000"/>
        </w:rPr>
      </w:pPr>
      <w:bookmarkStart w:id="145" w:name="_Toc15396622"/>
      <w:bookmarkStart w:id="146" w:name="_Toc7920"/>
      <w:bookmarkStart w:id="147" w:name="_Toc19476"/>
      <w:r>
        <w:rPr>
          <w:rStyle w:val="30"/>
          <w:rFonts w:hint="eastAsia" w:ascii="仿宋" w:hAnsi="仿宋" w:eastAsia="仿宋"/>
          <w:b w:val="0"/>
          <w:bCs w:val="0"/>
        </w:rPr>
        <w:t>四、</w:t>
      </w:r>
      <w:r>
        <w:rPr>
          <w:rFonts w:hint="eastAsia" w:ascii="仿宋" w:hAnsi="仿宋" w:eastAsia="仿宋"/>
          <w:b w:val="0"/>
          <w:color w:val="000000"/>
        </w:rPr>
        <w:t>财</w:t>
      </w:r>
      <w:r>
        <w:rPr>
          <w:rStyle w:val="30"/>
          <w:rFonts w:hint="eastAsia" w:ascii="仿宋" w:hAnsi="仿宋" w:eastAsia="仿宋"/>
          <w:b w:val="0"/>
          <w:bCs w:val="0"/>
        </w:rPr>
        <w:t>政拨款收入支出决算总表</w:t>
      </w:r>
      <w:bookmarkEnd w:id="145"/>
      <w:bookmarkEnd w:id="146"/>
      <w:bookmarkEnd w:id="147"/>
    </w:p>
    <w:p w14:paraId="22E0A2DF">
      <w:pPr>
        <w:pStyle w:val="4"/>
        <w:rPr>
          <w:rFonts w:ascii="仿宋" w:hAnsi="仿宋" w:eastAsia="仿宋"/>
          <w:color w:val="000000"/>
        </w:rPr>
      </w:pPr>
      <w:bookmarkStart w:id="148" w:name="_Toc8433"/>
      <w:bookmarkStart w:id="149" w:name="_Toc15396623"/>
      <w:bookmarkStart w:id="150" w:name="_Toc21320"/>
      <w:r>
        <w:rPr>
          <w:rStyle w:val="30"/>
          <w:rFonts w:hint="eastAsia" w:ascii="仿宋" w:hAnsi="仿宋" w:eastAsia="仿宋"/>
          <w:b w:val="0"/>
          <w:bCs w:val="0"/>
        </w:rPr>
        <w:t>五、</w:t>
      </w:r>
      <w:r>
        <w:rPr>
          <w:rFonts w:hint="eastAsia" w:ascii="仿宋" w:hAnsi="仿宋" w:eastAsia="仿宋"/>
          <w:b w:val="0"/>
          <w:color w:val="000000"/>
        </w:rPr>
        <w:t>财</w:t>
      </w:r>
      <w:r>
        <w:rPr>
          <w:rStyle w:val="30"/>
          <w:rFonts w:hint="eastAsia" w:ascii="仿宋" w:hAnsi="仿宋" w:eastAsia="仿宋"/>
          <w:b w:val="0"/>
          <w:bCs w:val="0"/>
        </w:rPr>
        <w:t>政拨款支出决算明细表（政府经济分类科目）</w:t>
      </w:r>
      <w:bookmarkEnd w:id="148"/>
      <w:bookmarkEnd w:id="149"/>
      <w:bookmarkEnd w:id="150"/>
    </w:p>
    <w:p w14:paraId="497B8C9A">
      <w:pPr>
        <w:pStyle w:val="4"/>
        <w:rPr>
          <w:rFonts w:ascii="仿宋" w:hAnsi="仿宋" w:eastAsia="仿宋"/>
          <w:color w:val="000000"/>
        </w:rPr>
      </w:pPr>
      <w:bookmarkStart w:id="151" w:name="_Toc15396624"/>
      <w:bookmarkStart w:id="152" w:name="_Toc9053"/>
      <w:bookmarkStart w:id="153" w:name="_Toc22372"/>
      <w:r>
        <w:rPr>
          <w:rStyle w:val="30"/>
          <w:rFonts w:hint="eastAsia" w:ascii="仿宋" w:hAnsi="仿宋" w:eastAsia="仿宋"/>
          <w:b w:val="0"/>
          <w:bCs w:val="0"/>
        </w:rPr>
        <w:t>六、</w:t>
      </w:r>
      <w:r>
        <w:rPr>
          <w:rFonts w:hint="eastAsia" w:ascii="仿宋" w:hAnsi="仿宋" w:eastAsia="仿宋"/>
          <w:b w:val="0"/>
          <w:color w:val="000000"/>
        </w:rPr>
        <w:t>一</w:t>
      </w:r>
      <w:r>
        <w:rPr>
          <w:rStyle w:val="30"/>
          <w:rFonts w:hint="eastAsia" w:ascii="仿宋" w:hAnsi="仿宋" w:eastAsia="仿宋"/>
          <w:b w:val="0"/>
          <w:bCs w:val="0"/>
        </w:rPr>
        <w:t>般公共预算财政拨款支出决算表</w:t>
      </w:r>
      <w:bookmarkEnd w:id="151"/>
      <w:bookmarkEnd w:id="152"/>
      <w:bookmarkEnd w:id="153"/>
    </w:p>
    <w:p w14:paraId="548470E4">
      <w:pPr>
        <w:pStyle w:val="4"/>
        <w:rPr>
          <w:rFonts w:ascii="仿宋" w:hAnsi="仿宋" w:eastAsia="仿宋"/>
          <w:color w:val="000000"/>
        </w:rPr>
      </w:pPr>
      <w:bookmarkStart w:id="154" w:name="_Toc15396625"/>
      <w:bookmarkStart w:id="155" w:name="_Toc11068"/>
      <w:bookmarkStart w:id="156" w:name="_Toc1304"/>
      <w:r>
        <w:rPr>
          <w:rStyle w:val="30"/>
          <w:rFonts w:hint="eastAsia" w:ascii="仿宋" w:hAnsi="仿宋" w:eastAsia="仿宋"/>
          <w:b w:val="0"/>
          <w:bCs w:val="0"/>
        </w:rPr>
        <w:t>七、</w:t>
      </w:r>
      <w:r>
        <w:rPr>
          <w:rFonts w:hint="eastAsia" w:ascii="仿宋" w:hAnsi="仿宋" w:eastAsia="仿宋"/>
          <w:b w:val="0"/>
          <w:color w:val="000000"/>
        </w:rPr>
        <w:t>一</w:t>
      </w:r>
      <w:r>
        <w:rPr>
          <w:rStyle w:val="30"/>
          <w:rFonts w:hint="eastAsia" w:ascii="仿宋" w:hAnsi="仿宋" w:eastAsia="仿宋"/>
          <w:b w:val="0"/>
          <w:bCs w:val="0"/>
        </w:rPr>
        <w:t>般公共预算财政拨款支出决算明细表</w:t>
      </w:r>
      <w:bookmarkEnd w:id="154"/>
      <w:bookmarkEnd w:id="155"/>
      <w:bookmarkEnd w:id="156"/>
    </w:p>
    <w:p w14:paraId="3DF54F06">
      <w:pPr>
        <w:pStyle w:val="4"/>
        <w:rPr>
          <w:rFonts w:ascii="仿宋" w:hAnsi="仿宋" w:eastAsia="仿宋"/>
          <w:color w:val="000000"/>
        </w:rPr>
      </w:pPr>
      <w:bookmarkStart w:id="157" w:name="_Toc30803"/>
      <w:bookmarkStart w:id="158" w:name="_Toc11497"/>
      <w:bookmarkStart w:id="159" w:name="_Toc15396626"/>
      <w:r>
        <w:rPr>
          <w:rStyle w:val="30"/>
          <w:rFonts w:hint="eastAsia" w:ascii="仿宋" w:hAnsi="仿宋" w:eastAsia="仿宋"/>
          <w:b w:val="0"/>
          <w:bCs w:val="0"/>
        </w:rPr>
        <w:t>八、</w:t>
      </w:r>
      <w:r>
        <w:rPr>
          <w:rFonts w:hint="eastAsia" w:ascii="仿宋" w:hAnsi="仿宋" w:eastAsia="仿宋"/>
          <w:b w:val="0"/>
          <w:color w:val="000000"/>
        </w:rPr>
        <w:t>一</w:t>
      </w:r>
      <w:r>
        <w:rPr>
          <w:rStyle w:val="30"/>
          <w:rFonts w:hint="eastAsia" w:ascii="仿宋" w:hAnsi="仿宋" w:eastAsia="仿宋"/>
          <w:b w:val="0"/>
          <w:bCs w:val="0"/>
        </w:rPr>
        <w:t>般公共预算财政拨款基本支出决算表</w:t>
      </w:r>
      <w:bookmarkEnd w:id="157"/>
      <w:bookmarkEnd w:id="158"/>
      <w:bookmarkEnd w:id="159"/>
    </w:p>
    <w:p w14:paraId="2DAD082B">
      <w:pPr>
        <w:pStyle w:val="4"/>
        <w:rPr>
          <w:rFonts w:ascii="仿宋" w:hAnsi="仿宋" w:eastAsia="仿宋"/>
          <w:color w:val="000000"/>
        </w:rPr>
      </w:pPr>
      <w:bookmarkStart w:id="160" w:name="_Toc18419"/>
      <w:bookmarkStart w:id="161" w:name="_Toc15396627"/>
      <w:bookmarkStart w:id="162" w:name="_Toc27209"/>
      <w:r>
        <w:rPr>
          <w:rStyle w:val="30"/>
          <w:rFonts w:hint="eastAsia" w:ascii="仿宋" w:hAnsi="仿宋" w:eastAsia="仿宋"/>
          <w:b w:val="0"/>
          <w:bCs w:val="0"/>
        </w:rPr>
        <w:t>九、</w:t>
      </w:r>
      <w:r>
        <w:rPr>
          <w:rFonts w:hint="eastAsia" w:ascii="仿宋" w:hAnsi="仿宋" w:eastAsia="仿宋"/>
          <w:b w:val="0"/>
          <w:color w:val="000000"/>
        </w:rPr>
        <w:t>一</w:t>
      </w:r>
      <w:r>
        <w:rPr>
          <w:rStyle w:val="30"/>
          <w:rFonts w:hint="eastAsia" w:ascii="仿宋" w:hAnsi="仿宋" w:eastAsia="仿宋"/>
          <w:b w:val="0"/>
          <w:bCs w:val="0"/>
        </w:rPr>
        <w:t>般公共预算财政拨款项目支出决算表</w:t>
      </w:r>
      <w:bookmarkEnd w:id="160"/>
      <w:bookmarkEnd w:id="161"/>
      <w:bookmarkEnd w:id="162"/>
    </w:p>
    <w:p w14:paraId="0B3D7BD6">
      <w:pPr>
        <w:pStyle w:val="4"/>
        <w:rPr>
          <w:rFonts w:ascii="仿宋" w:hAnsi="仿宋" w:eastAsia="仿宋"/>
          <w:color w:val="000000"/>
        </w:rPr>
      </w:pPr>
      <w:bookmarkStart w:id="163" w:name="_Toc12131"/>
      <w:bookmarkStart w:id="164" w:name="_Toc4819"/>
      <w:bookmarkStart w:id="165" w:name="_Toc15396628"/>
      <w:r>
        <w:rPr>
          <w:rStyle w:val="30"/>
          <w:rFonts w:hint="eastAsia" w:ascii="仿宋" w:hAnsi="仿宋" w:eastAsia="仿宋"/>
          <w:b w:val="0"/>
          <w:bCs w:val="0"/>
        </w:rPr>
        <w:t>十、</w:t>
      </w:r>
      <w:r>
        <w:rPr>
          <w:rFonts w:hint="eastAsia" w:ascii="仿宋" w:hAnsi="仿宋" w:eastAsia="仿宋"/>
          <w:b w:val="0"/>
          <w:color w:val="000000"/>
        </w:rPr>
        <w:t>一</w:t>
      </w:r>
      <w:r>
        <w:rPr>
          <w:rStyle w:val="30"/>
          <w:rFonts w:hint="eastAsia" w:ascii="仿宋" w:hAnsi="仿宋" w:eastAsia="仿宋"/>
          <w:b w:val="0"/>
          <w:bCs w:val="0"/>
        </w:rPr>
        <w:t>般公共预算财政拨款“三公”经费支出决算表</w:t>
      </w:r>
      <w:bookmarkEnd w:id="163"/>
      <w:bookmarkEnd w:id="164"/>
      <w:bookmarkEnd w:id="165"/>
    </w:p>
    <w:p w14:paraId="7E76004A">
      <w:pPr>
        <w:pStyle w:val="4"/>
        <w:rPr>
          <w:rFonts w:ascii="仿宋" w:hAnsi="仿宋" w:eastAsia="仿宋"/>
          <w:color w:val="000000"/>
        </w:rPr>
      </w:pPr>
      <w:bookmarkStart w:id="166" w:name="_Toc10669"/>
      <w:bookmarkStart w:id="167" w:name="_Toc15396629"/>
      <w:bookmarkStart w:id="168" w:name="_Toc21843"/>
      <w:r>
        <w:rPr>
          <w:rStyle w:val="30"/>
          <w:rFonts w:hint="eastAsia" w:ascii="仿宋" w:hAnsi="仿宋" w:eastAsia="仿宋"/>
          <w:b w:val="0"/>
          <w:bCs w:val="0"/>
        </w:rPr>
        <w:t>十一、</w:t>
      </w:r>
      <w:r>
        <w:rPr>
          <w:rFonts w:hint="eastAsia" w:ascii="仿宋" w:hAnsi="仿宋" w:eastAsia="仿宋"/>
          <w:b w:val="0"/>
          <w:color w:val="000000"/>
        </w:rPr>
        <w:t>政</w:t>
      </w:r>
      <w:r>
        <w:rPr>
          <w:rStyle w:val="30"/>
          <w:rFonts w:hint="eastAsia" w:ascii="仿宋" w:hAnsi="仿宋" w:eastAsia="仿宋"/>
          <w:b w:val="0"/>
          <w:bCs w:val="0"/>
        </w:rPr>
        <w:t>府性基金预算财政拨款收入支出决算表</w:t>
      </w:r>
      <w:bookmarkEnd w:id="166"/>
      <w:bookmarkEnd w:id="167"/>
      <w:bookmarkEnd w:id="168"/>
    </w:p>
    <w:p w14:paraId="50B8F7E0">
      <w:pPr>
        <w:pStyle w:val="4"/>
        <w:rPr>
          <w:rFonts w:ascii="仿宋" w:hAnsi="仿宋" w:eastAsia="仿宋"/>
          <w:color w:val="000000"/>
        </w:rPr>
      </w:pPr>
      <w:bookmarkStart w:id="169" w:name="_Toc23643"/>
      <w:bookmarkStart w:id="170" w:name="_Toc15396630"/>
      <w:bookmarkStart w:id="171" w:name="_Toc28989"/>
      <w:r>
        <w:rPr>
          <w:rStyle w:val="30"/>
          <w:rFonts w:hint="eastAsia" w:ascii="仿宋" w:hAnsi="仿宋" w:eastAsia="仿宋"/>
          <w:b w:val="0"/>
          <w:bCs w:val="0"/>
        </w:rPr>
        <w:t>十二、</w:t>
      </w:r>
      <w:r>
        <w:rPr>
          <w:rFonts w:hint="eastAsia" w:ascii="仿宋" w:hAnsi="仿宋" w:eastAsia="仿宋"/>
          <w:b w:val="0"/>
          <w:color w:val="000000"/>
        </w:rPr>
        <w:t>政</w:t>
      </w:r>
      <w:r>
        <w:rPr>
          <w:rStyle w:val="30"/>
          <w:rFonts w:hint="eastAsia" w:ascii="仿宋" w:hAnsi="仿宋" w:eastAsia="仿宋"/>
          <w:b w:val="0"/>
          <w:bCs w:val="0"/>
        </w:rPr>
        <w:t>府性基金预算财政拨款“三公”经费支出决算表</w:t>
      </w:r>
      <w:bookmarkEnd w:id="169"/>
      <w:bookmarkEnd w:id="170"/>
      <w:bookmarkEnd w:id="171"/>
    </w:p>
    <w:p w14:paraId="26461903">
      <w:pPr>
        <w:pStyle w:val="4"/>
        <w:rPr>
          <w:rStyle w:val="30"/>
          <w:rFonts w:hint="eastAsia" w:ascii="仿宋" w:hAnsi="仿宋" w:eastAsia="仿宋"/>
          <w:b w:val="0"/>
          <w:bCs w:val="0"/>
        </w:rPr>
      </w:pPr>
      <w:bookmarkStart w:id="172" w:name="_Toc1418"/>
      <w:bookmarkStart w:id="173" w:name="_Toc15396631"/>
      <w:bookmarkStart w:id="174" w:name="_Toc27648"/>
      <w:r>
        <w:rPr>
          <w:rStyle w:val="30"/>
          <w:rFonts w:hint="eastAsia" w:ascii="仿宋" w:hAnsi="仿宋" w:eastAsia="仿宋"/>
          <w:b w:val="0"/>
          <w:bCs w:val="0"/>
        </w:rPr>
        <w:t>十三、</w:t>
      </w:r>
      <w:bookmarkEnd w:id="172"/>
      <w:bookmarkEnd w:id="173"/>
      <w:r>
        <w:rPr>
          <w:rFonts w:hint="eastAsia" w:ascii="仿宋" w:hAnsi="仿宋" w:eastAsia="仿宋"/>
          <w:b w:val="0"/>
          <w:color w:val="000000"/>
        </w:rPr>
        <w:t>国有资本经营预算财政拨款收入支出决算表</w:t>
      </w:r>
      <w:bookmarkEnd w:id="174"/>
    </w:p>
    <w:p w14:paraId="692EF352">
      <w:pPr>
        <w:pStyle w:val="4"/>
        <w:rPr>
          <w:rFonts w:ascii="仿宋" w:hAnsi="仿宋" w:eastAsia="仿宋"/>
          <w:color w:val="000000" w:themeColor="text1"/>
          <w14:textFill>
            <w14:solidFill>
              <w14:schemeClr w14:val="tx1"/>
            </w14:solidFill>
          </w14:textFill>
        </w:rPr>
      </w:pPr>
      <w:bookmarkStart w:id="175" w:name="_Toc26916"/>
      <w:r>
        <w:rPr>
          <w:rStyle w:val="30"/>
          <w:rFonts w:hint="eastAsia" w:ascii="仿宋" w:hAnsi="仿宋" w:eastAsia="仿宋"/>
          <w:b w:val="0"/>
          <w:bCs w:val="0"/>
        </w:rPr>
        <w:t>十</w:t>
      </w:r>
      <w:r>
        <w:rPr>
          <w:rStyle w:val="30"/>
          <w:rFonts w:hint="eastAsia" w:ascii="仿宋" w:hAnsi="仿宋" w:eastAsia="仿宋"/>
          <w:b w:val="0"/>
          <w:bCs w:val="0"/>
          <w:lang w:eastAsia="zh-CN"/>
        </w:rPr>
        <w:t>四</w:t>
      </w:r>
      <w:r>
        <w:rPr>
          <w:rStyle w:val="30"/>
          <w:rFonts w:hint="eastAsia" w:ascii="仿宋" w:hAnsi="仿宋" w:eastAsia="仿宋"/>
          <w:b w:val="0"/>
          <w:bCs w:val="0"/>
        </w:rPr>
        <w:t>、</w:t>
      </w:r>
      <w:r>
        <w:rPr>
          <w:rFonts w:hint="eastAsia" w:ascii="仿宋" w:hAnsi="仿宋" w:eastAsia="仿宋"/>
          <w:b w:val="0"/>
          <w:color w:val="000000"/>
        </w:rPr>
        <w:t>国</w:t>
      </w:r>
      <w:r>
        <w:rPr>
          <w:rStyle w:val="30"/>
          <w:rFonts w:hint="eastAsia" w:ascii="仿宋" w:hAnsi="仿宋" w:eastAsia="仿宋"/>
          <w:b w:val="0"/>
          <w:bCs w:val="0"/>
        </w:rPr>
        <w:t>有资本经营预算支出决算表</w:t>
      </w:r>
      <w:bookmarkEnd w:id="175"/>
    </w:p>
    <w:p w14:paraId="642AD05A"/>
    <w:sectPr>
      <w:headerReference r:id="rId4" w:type="first"/>
      <w:footerReference r:id="rId6" w:type="first"/>
      <w:headerReference r:id="rId3" w:type="default"/>
      <w:footerReference r:id="rId5"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D95E70A-7B16-44C7-93C2-D691F37984E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980BBC8-33D8-4D3C-8085-0D193327589D}"/>
  </w:font>
  <w:font w:name="Cambria">
    <w:panose1 w:val="02040503050406030204"/>
    <w:charset w:val="00"/>
    <w:family w:val="roman"/>
    <w:pitch w:val="default"/>
    <w:sig w:usb0="E00006FF" w:usb1="420024FF" w:usb2="02000000" w:usb3="00000000" w:csb0="2000019F" w:csb1="00000000"/>
    <w:embedRegular r:id="rId3" w:fontKey="{6C6B5A1B-56E0-4312-9D98-F69B9B7B09CF}"/>
  </w:font>
  <w:font w:name="仿宋_GB2312">
    <w:altName w:val="仿宋"/>
    <w:panose1 w:val="02010609030101010101"/>
    <w:charset w:val="86"/>
    <w:family w:val="modern"/>
    <w:pitch w:val="default"/>
    <w:sig w:usb0="00000000" w:usb1="00000000" w:usb2="00000000" w:usb3="00000000" w:csb0="00040000" w:csb1="00000000"/>
    <w:embedRegular r:id="rId4" w:fontKey="{844BDDB7-A8AD-4606-9C33-5BA443CA9EB7}"/>
  </w:font>
  <w:font w:name="仿宋">
    <w:panose1 w:val="02010609060101010101"/>
    <w:charset w:val="86"/>
    <w:family w:val="auto"/>
    <w:pitch w:val="default"/>
    <w:sig w:usb0="800002BF" w:usb1="38CF7CFA" w:usb2="00000016" w:usb3="00000000" w:csb0="00040001" w:csb1="00000000"/>
    <w:embedRegular r:id="rId5" w:fontKey="{457353D9-E123-4D7A-92E9-45073ED12711}"/>
  </w:font>
  <w:font w:name="??">
    <w:altName w:val="Times New Roman"/>
    <w:panose1 w:val="00000000000000000000"/>
    <w:charset w:val="00"/>
    <w:family w:val="roman"/>
    <w:pitch w:val="default"/>
    <w:sig w:usb0="00000000" w:usb1="00000000" w:usb2="00000000" w:usb3="00000000" w:csb0="00040001" w:csb1="00000000"/>
  </w:font>
  <w:font w:name="方正小标宋简体">
    <w:panose1 w:val="02000000000000000000"/>
    <w:charset w:val="86"/>
    <w:family w:val="auto"/>
    <w:pitch w:val="default"/>
    <w:sig w:usb0="00000001" w:usb1="08000000" w:usb2="00000000" w:usb3="00000000" w:csb0="00040000" w:csb1="00000000"/>
    <w:embedRegular r:id="rId6" w:fontKey="{96089D16-FD2C-45EC-BB5B-C4138A640901}"/>
  </w:font>
  <w:font w:name="楷体_GB2312">
    <w:panose1 w:val="02010609030101010101"/>
    <w:charset w:val="86"/>
    <w:family w:val="auto"/>
    <w:pitch w:val="default"/>
    <w:sig w:usb0="00000001" w:usb1="080E0000" w:usb2="00000000" w:usb3="00000000" w:csb0="00040000" w:csb1="00000000"/>
    <w:embedRegular r:id="rId7" w:fontKey="{373A9FB8-89C1-41D0-822B-C1AD9E695340}"/>
  </w:font>
  <w:font w:name="微软雅黑">
    <w:panose1 w:val="020B0503020204020204"/>
    <w:charset w:val="86"/>
    <w:family w:val="swiss"/>
    <w:pitch w:val="default"/>
    <w:sig w:usb0="80000287" w:usb1="2ACF3C50" w:usb2="00000016" w:usb3="00000000" w:csb0="0004001F" w:csb1="00000000"/>
    <w:embedRegular r:id="rId8" w:fontKey="{4800F0BA-774A-4310-A987-F0602D2E788A}"/>
  </w:font>
  <w:font w:name="楷体">
    <w:panose1 w:val="02010609060101010101"/>
    <w:charset w:val="86"/>
    <w:family w:val="auto"/>
    <w:pitch w:val="default"/>
    <w:sig w:usb0="800002BF" w:usb1="38CF7CFA" w:usb2="00000016" w:usb3="00000000" w:csb0="00040001" w:csb1="00000000"/>
    <w:embedRegular r:id="rId9" w:fontKey="{81DDC1B2-532E-4D43-9D2A-60FFC1BB17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607FB">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994781956"/>
                          </w:sdtPr>
                          <w:sdtContent>
                            <w:p w14:paraId="1710ADF3">
                              <w:pPr>
                                <w:pStyle w:val="11"/>
                                <w:jc w:val="center"/>
                              </w:pPr>
                              <w:r>
                                <w:fldChar w:fldCharType="begin"/>
                              </w:r>
                              <w:r>
                                <w:instrText xml:space="preserve">PAGE   \* MERGEFORMAT</w:instrText>
                              </w:r>
                              <w:r>
                                <w:fldChar w:fldCharType="separate"/>
                              </w:r>
                              <w:r>
                                <w:rPr>
                                  <w:lang w:val="zh-CN"/>
                                </w:rPr>
                                <w:t>26</w:t>
                              </w:r>
                              <w:r>
                                <w:fldChar w:fldCharType="end"/>
                              </w:r>
                            </w:p>
                          </w:sdtContent>
                        </w:sdt>
                        <w:p w14:paraId="6CE948C2">
                          <w:pPr>
                            <w:pStyle w:val="16"/>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sdt>
                    <w:sdtPr>
                      <w:id w:val="-1994781956"/>
                    </w:sdtPr>
                    <w:sdtContent>
                      <w:p w14:paraId="1710ADF3">
                        <w:pPr>
                          <w:pStyle w:val="11"/>
                          <w:jc w:val="center"/>
                        </w:pPr>
                        <w:r>
                          <w:fldChar w:fldCharType="begin"/>
                        </w:r>
                        <w:r>
                          <w:instrText xml:space="preserve">PAGE   \* MERGEFORMAT</w:instrText>
                        </w:r>
                        <w:r>
                          <w:fldChar w:fldCharType="separate"/>
                        </w:r>
                        <w:r>
                          <w:rPr>
                            <w:lang w:val="zh-CN"/>
                          </w:rPr>
                          <w:t>26</w:t>
                        </w:r>
                        <w:r>
                          <w:fldChar w:fldCharType="end"/>
                        </w:r>
                      </w:p>
                    </w:sdtContent>
                  </w:sdt>
                  <w:p w14:paraId="6CE948C2">
                    <w:pPr>
                      <w:pStyle w:val="16"/>
                    </w:pPr>
                  </w:p>
                </w:txbxContent>
              </v:textbox>
            </v:shape>
          </w:pict>
        </mc:Fallback>
      </mc:AlternateContent>
    </w:r>
  </w:p>
  <w:p w14:paraId="4657546F">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F6B01">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4CEF54">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14CEF54">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7125D">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6A6E1">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2581A7"/>
    <w:multiLevelType w:val="singleLevel"/>
    <w:tmpl w:val="B02581A7"/>
    <w:lvl w:ilvl="0" w:tentative="0">
      <w:start w:val="1"/>
      <w:numFmt w:val="decimal"/>
      <w:lvlText w:val="%1."/>
      <w:lvlJc w:val="left"/>
      <w:pPr>
        <w:tabs>
          <w:tab w:val="left" w:pos="312"/>
        </w:tabs>
      </w:pPr>
    </w:lvl>
  </w:abstractNum>
  <w:abstractNum w:abstractNumId="1">
    <w:nsid w:val="C3D220F2"/>
    <w:multiLevelType w:val="singleLevel"/>
    <w:tmpl w:val="C3D220F2"/>
    <w:lvl w:ilvl="0" w:tentative="0">
      <w:start w:val="11"/>
      <w:numFmt w:val="decimal"/>
      <w:lvlText w:val="%1."/>
      <w:lvlJc w:val="left"/>
      <w:pPr>
        <w:tabs>
          <w:tab w:val="left" w:pos="312"/>
        </w:tabs>
      </w:pPr>
    </w:lvl>
  </w:abstractNum>
  <w:abstractNum w:abstractNumId="2">
    <w:nsid w:val="C4CCE551"/>
    <w:multiLevelType w:val="singleLevel"/>
    <w:tmpl w:val="C4CCE551"/>
    <w:lvl w:ilvl="0" w:tentative="0">
      <w:start w:val="1"/>
      <w:numFmt w:val="decimal"/>
      <w:lvlText w:val="%1."/>
      <w:lvlJc w:val="left"/>
      <w:pPr>
        <w:tabs>
          <w:tab w:val="left" w:pos="312"/>
        </w:tabs>
      </w:pPr>
    </w:lvl>
  </w:abstractNum>
  <w:abstractNum w:abstractNumId="3">
    <w:nsid w:val="CF652CEC"/>
    <w:multiLevelType w:val="singleLevel"/>
    <w:tmpl w:val="CF652CEC"/>
    <w:lvl w:ilvl="0" w:tentative="0">
      <w:start w:val="9"/>
      <w:numFmt w:val="chineseCounting"/>
      <w:suff w:val="nothing"/>
      <w:lvlText w:val="%1、"/>
      <w:lvlJc w:val="left"/>
      <w:rPr>
        <w:rFonts w:hint="eastAsia"/>
      </w:rPr>
    </w:lvl>
  </w:abstractNum>
  <w:abstractNum w:abstractNumId="4">
    <w:nsid w:val="E2FA047D"/>
    <w:multiLevelType w:val="singleLevel"/>
    <w:tmpl w:val="E2FA047D"/>
    <w:lvl w:ilvl="0" w:tentative="0">
      <w:start w:val="3"/>
      <w:numFmt w:val="chineseCounting"/>
      <w:suff w:val="space"/>
      <w:lvlText w:val="第%1部分"/>
      <w:lvlJc w:val="left"/>
      <w:rPr>
        <w:rFonts w:hint="eastAsia"/>
      </w:rPr>
    </w:lvl>
  </w:abstractNum>
  <w:abstractNum w:abstractNumId="5">
    <w:nsid w:val="0F284CFD"/>
    <w:multiLevelType w:val="singleLevel"/>
    <w:tmpl w:val="0F284CFD"/>
    <w:lvl w:ilvl="0" w:tentative="0">
      <w:start w:val="2"/>
      <w:numFmt w:val="chineseCounting"/>
      <w:suff w:val="space"/>
      <w:lvlText w:val="（%1）"/>
      <w:lvlJc w:val="left"/>
      <w:rPr>
        <w:rFonts w:hint="eastAsia"/>
      </w:rPr>
    </w:lvl>
  </w:abstractNum>
  <w:abstractNum w:abstractNumId="6">
    <w:nsid w:val="1272550B"/>
    <w:multiLevelType w:val="multilevel"/>
    <w:tmpl w:val="1272550B"/>
    <w:lvl w:ilvl="0" w:tentative="0">
      <w:start w:val="1"/>
      <w:numFmt w:val="japaneseCounting"/>
      <w:lvlText w:val="%1、"/>
      <w:lvlJc w:val="left"/>
      <w:pPr>
        <w:ind w:left="135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6"/>
  </w:num>
  <w:num w:numId="2">
    <w:abstractNumId w:val="2"/>
  </w:num>
  <w:num w:numId="3">
    <w:abstractNumId w:val="3"/>
  </w:num>
  <w:num w:numId="4">
    <w:abstractNumId w:val="4"/>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6487A"/>
    <w:rsid w:val="00065F8F"/>
    <w:rsid w:val="000768F2"/>
    <w:rsid w:val="0009184B"/>
    <w:rsid w:val="0009593C"/>
    <w:rsid w:val="000B047F"/>
    <w:rsid w:val="000B5923"/>
    <w:rsid w:val="000B5A48"/>
    <w:rsid w:val="000B6FF3"/>
    <w:rsid w:val="000C3467"/>
    <w:rsid w:val="000C3CA6"/>
    <w:rsid w:val="000D1267"/>
    <w:rsid w:val="000D1D50"/>
    <w:rsid w:val="000D5782"/>
    <w:rsid w:val="000E6613"/>
    <w:rsid w:val="000E7119"/>
    <w:rsid w:val="00114E9B"/>
    <w:rsid w:val="0014729F"/>
    <w:rsid w:val="00157BAB"/>
    <w:rsid w:val="001654D1"/>
    <w:rsid w:val="0018106D"/>
    <w:rsid w:val="001877A7"/>
    <w:rsid w:val="00191536"/>
    <w:rsid w:val="00196687"/>
    <w:rsid w:val="001C0962"/>
    <w:rsid w:val="001D7531"/>
    <w:rsid w:val="001E737D"/>
    <w:rsid w:val="001F0592"/>
    <w:rsid w:val="001F7506"/>
    <w:rsid w:val="002006CD"/>
    <w:rsid w:val="00202B36"/>
    <w:rsid w:val="00204B7A"/>
    <w:rsid w:val="0021101A"/>
    <w:rsid w:val="00220536"/>
    <w:rsid w:val="00235629"/>
    <w:rsid w:val="00260C38"/>
    <w:rsid w:val="002616C0"/>
    <w:rsid w:val="002662AA"/>
    <w:rsid w:val="00280496"/>
    <w:rsid w:val="00295495"/>
    <w:rsid w:val="002B2613"/>
    <w:rsid w:val="002F1818"/>
    <w:rsid w:val="002F567B"/>
    <w:rsid w:val="003216A9"/>
    <w:rsid w:val="0037013F"/>
    <w:rsid w:val="00380C92"/>
    <w:rsid w:val="00395578"/>
    <w:rsid w:val="003A484F"/>
    <w:rsid w:val="003B0BE0"/>
    <w:rsid w:val="003B0C1B"/>
    <w:rsid w:val="003B688C"/>
    <w:rsid w:val="003C0291"/>
    <w:rsid w:val="003C39AE"/>
    <w:rsid w:val="003C7B60"/>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26AC2"/>
    <w:rsid w:val="005664BB"/>
    <w:rsid w:val="0057481D"/>
    <w:rsid w:val="0058486E"/>
    <w:rsid w:val="005D1C8B"/>
    <w:rsid w:val="005D5CED"/>
    <w:rsid w:val="005F1A4C"/>
    <w:rsid w:val="00605688"/>
    <w:rsid w:val="006070AF"/>
    <w:rsid w:val="00607E6C"/>
    <w:rsid w:val="006101B1"/>
    <w:rsid w:val="00614E44"/>
    <w:rsid w:val="00622830"/>
    <w:rsid w:val="00630AEF"/>
    <w:rsid w:val="006325F8"/>
    <w:rsid w:val="00634C9A"/>
    <w:rsid w:val="006440E4"/>
    <w:rsid w:val="0066343B"/>
    <w:rsid w:val="00664777"/>
    <w:rsid w:val="006748A4"/>
    <w:rsid w:val="00683E73"/>
    <w:rsid w:val="006A3141"/>
    <w:rsid w:val="006A5E34"/>
    <w:rsid w:val="006B2422"/>
    <w:rsid w:val="006B2B9A"/>
    <w:rsid w:val="006C1937"/>
    <w:rsid w:val="006F020C"/>
    <w:rsid w:val="007127B7"/>
    <w:rsid w:val="007416B6"/>
    <w:rsid w:val="00746F48"/>
    <w:rsid w:val="0075404D"/>
    <w:rsid w:val="0076182A"/>
    <w:rsid w:val="00767B7E"/>
    <w:rsid w:val="007770C3"/>
    <w:rsid w:val="00784D24"/>
    <w:rsid w:val="00785FBA"/>
    <w:rsid w:val="00786E4A"/>
    <w:rsid w:val="007875EB"/>
    <w:rsid w:val="0079426B"/>
    <w:rsid w:val="007D312A"/>
    <w:rsid w:val="007D3F19"/>
    <w:rsid w:val="007E23B0"/>
    <w:rsid w:val="007F1991"/>
    <w:rsid w:val="007F2C2F"/>
    <w:rsid w:val="007F55FC"/>
    <w:rsid w:val="007F5665"/>
    <w:rsid w:val="00800112"/>
    <w:rsid w:val="008253BB"/>
    <w:rsid w:val="0083706E"/>
    <w:rsid w:val="008423A5"/>
    <w:rsid w:val="00850625"/>
    <w:rsid w:val="00853718"/>
    <w:rsid w:val="00855221"/>
    <w:rsid w:val="00860645"/>
    <w:rsid w:val="00871F71"/>
    <w:rsid w:val="00885AF4"/>
    <w:rsid w:val="008939CD"/>
    <w:rsid w:val="008B768C"/>
    <w:rsid w:val="008C4DB1"/>
    <w:rsid w:val="008C4EAF"/>
    <w:rsid w:val="008C5176"/>
    <w:rsid w:val="008C7FD0"/>
    <w:rsid w:val="008E1DE7"/>
    <w:rsid w:val="008E707C"/>
    <w:rsid w:val="00900B08"/>
    <w:rsid w:val="00902155"/>
    <w:rsid w:val="00902FA3"/>
    <w:rsid w:val="0091478C"/>
    <w:rsid w:val="00923564"/>
    <w:rsid w:val="0092392E"/>
    <w:rsid w:val="009315F9"/>
    <w:rsid w:val="00946945"/>
    <w:rsid w:val="00951248"/>
    <w:rsid w:val="0095152F"/>
    <w:rsid w:val="00954C49"/>
    <w:rsid w:val="0097099F"/>
    <w:rsid w:val="00971997"/>
    <w:rsid w:val="00971FFC"/>
    <w:rsid w:val="0098660A"/>
    <w:rsid w:val="009931C3"/>
    <w:rsid w:val="009B2C43"/>
    <w:rsid w:val="009B4EAE"/>
    <w:rsid w:val="009B7573"/>
    <w:rsid w:val="009C22F4"/>
    <w:rsid w:val="009C2E98"/>
    <w:rsid w:val="009D3447"/>
    <w:rsid w:val="009D4711"/>
    <w:rsid w:val="009F1185"/>
    <w:rsid w:val="009F18CD"/>
    <w:rsid w:val="009F2A13"/>
    <w:rsid w:val="00A04EB0"/>
    <w:rsid w:val="00A13CC1"/>
    <w:rsid w:val="00A16847"/>
    <w:rsid w:val="00A237D8"/>
    <w:rsid w:val="00A268C4"/>
    <w:rsid w:val="00A307CD"/>
    <w:rsid w:val="00A40A00"/>
    <w:rsid w:val="00A4142F"/>
    <w:rsid w:val="00A56DF2"/>
    <w:rsid w:val="00A67AB5"/>
    <w:rsid w:val="00A91760"/>
    <w:rsid w:val="00A93B00"/>
    <w:rsid w:val="00A93C21"/>
    <w:rsid w:val="00AC3C6A"/>
    <w:rsid w:val="00AD5620"/>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77EA6"/>
    <w:rsid w:val="00B81598"/>
    <w:rsid w:val="00B841F1"/>
    <w:rsid w:val="00B944D6"/>
    <w:rsid w:val="00BB4DF0"/>
    <w:rsid w:val="00BC289F"/>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91CBB"/>
    <w:rsid w:val="00CA5F5D"/>
    <w:rsid w:val="00CC09B6"/>
    <w:rsid w:val="00CC666F"/>
    <w:rsid w:val="00CD1E3F"/>
    <w:rsid w:val="00CE44F6"/>
    <w:rsid w:val="00CE49DA"/>
    <w:rsid w:val="00CE7B61"/>
    <w:rsid w:val="00D00095"/>
    <w:rsid w:val="00D20620"/>
    <w:rsid w:val="00D26091"/>
    <w:rsid w:val="00D34E7C"/>
    <w:rsid w:val="00D35489"/>
    <w:rsid w:val="00D51276"/>
    <w:rsid w:val="00D7035F"/>
    <w:rsid w:val="00DA65AC"/>
    <w:rsid w:val="00DB1913"/>
    <w:rsid w:val="00DC410D"/>
    <w:rsid w:val="00DC68CA"/>
    <w:rsid w:val="00DC7CBA"/>
    <w:rsid w:val="00DD73B7"/>
    <w:rsid w:val="00DF28BC"/>
    <w:rsid w:val="00DF34B9"/>
    <w:rsid w:val="00E01053"/>
    <w:rsid w:val="00E07ACF"/>
    <w:rsid w:val="00E331A1"/>
    <w:rsid w:val="00E33202"/>
    <w:rsid w:val="00E336A9"/>
    <w:rsid w:val="00E45B3F"/>
    <w:rsid w:val="00E50624"/>
    <w:rsid w:val="00E568DF"/>
    <w:rsid w:val="00E64269"/>
    <w:rsid w:val="00E82267"/>
    <w:rsid w:val="00E908CF"/>
    <w:rsid w:val="00EA010F"/>
    <w:rsid w:val="00ED1B63"/>
    <w:rsid w:val="00ED3C1F"/>
    <w:rsid w:val="00ED4085"/>
    <w:rsid w:val="00ED420E"/>
    <w:rsid w:val="00EE2F57"/>
    <w:rsid w:val="00EF4C34"/>
    <w:rsid w:val="00EF77C6"/>
    <w:rsid w:val="00F05438"/>
    <w:rsid w:val="00F1361C"/>
    <w:rsid w:val="00F160C7"/>
    <w:rsid w:val="00F36D8F"/>
    <w:rsid w:val="00F417B1"/>
    <w:rsid w:val="00F602DF"/>
    <w:rsid w:val="00F81FD9"/>
    <w:rsid w:val="00F841AA"/>
    <w:rsid w:val="00FA23E8"/>
    <w:rsid w:val="00FD3CC1"/>
    <w:rsid w:val="00FF1E02"/>
    <w:rsid w:val="00FF30B4"/>
    <w:rsid w:val="0109689F"/>
    <w:rsid w:val="01196F12"/>
    <w:rsid w:val="012510E0"/>
    <w:rsid w:val="015F6B11"/>
    <w:rsid w:val="0197032B"/>
    <w:rsid w:val="01CF6A3C"/>
    <w:rsid w:val="01EA1EAF"/>
    <w:rsid w:val="01FD5909"/>
    <w:rsid w:val="02341E6F"/>
    <w:rsid w:val="02556F45"/>
    <w:rsid w:val="02A94D1D"/>
    <w:rsid w:val="02B7469C"/>
    <w:rsid w:val="02E9365E"/>
    <w:rsid w:val="02F27D71"/>
    <w:rsid w:val="03196942"/>
    <w:rsid w:val="031E4E74"/>
    <w:rsid w:val="03524FA3"/>
    <w:rsid w:val="03AB1AE2"/>
    <w:rsid w:val="03CB7C71"/>
    <w:rsid w:val="043A7135"/>
    <w:rsid w:val="04447A8F"/>
    <w:rsid w:val="055063DB"/>
    <w:rsid w:val="05AE6E90"/>
    <w:rsid w:val="064340BD"/>
    <w:rsid w:val="06B15858"/>
    <w:rsid w:val="06B6386B"/>
    <w:rsid w:val="06E11AE9"/>
    <w:rsid w:val="06FA2663"/>
    <w:rsid w:val="07315BD6"/>
    <w:rsid w:val="0769511D"/>
    <w:rsid w:val="08030185"/>
    <w:rsid w:val="0811372B"/>
    <w:rsid w:val="08470CA1"/>
    <w:rsid w:val="085909A6"/>
    <w:rsid w:val="086D184F"/>
    <w:rsid w:val="087B1F2E"/>
    <w:rsid w:val="08D939D3"/>
    <w:rsid w:val="08DB3108"/>
    <w:rsid w:val="0904625A"/>
    <w:rsid w:val="093813D0"/>
    <w:rsid w:val="09DC28F6"/>
    <w:rsid w:val="0A6A0564"/>
    <w:rsid w:val="0A9071AB"/>
    <w:rsid w:val="0B1B2439"/>
    <w:rsid w:val="0B72483D"/>
    <w:rsid w:val="0C48672A"/>
    <w:rsid w:val="0C96477D"/>
    <w:rsid w:val="0CDF0EC0"/>
    <w:rsid w:val="0CF55ACD"/>
    <w:rsid w:val="0D246BD4"/>
    <w:rsid w:val="0D631DF2"/>
    <w:rsid w:val="0D8520E1"/>
    <w:rsid w:val="0E4A16EB"/>
    <w:rsid w:val="0E7F1E26"/>
    <w:rsid w:val="0E9F6300"/>
    <w:rsid w:val="0EB3316F"/>
    <w:rsid w:val="0EBB718C"/>
    <w:rsid w:val="0ECB4CB3"/>
    <w:rsid w:val="0EF86AD7"/>
    <w:rsid w:val="0F6400E2"/>
    <w:rsid w:val="0FAD1069"/>
    <w:rsid w:val="0FF12663"/>
    <w:rsid w:val="10030591"/>
    <w:rsid w:val="106823BA"/>
    <w:rsid w:val="109063D3"/>
    <w:rsid w:val="10BE5940"/>
    <w:rsid w:val="10C055FF"/>
    <w:rsid w:val="11012955"/>
    <w:rsid w:val="11380366"/>
    <w:rsid w:val="1152345A"/>
    <w:rsid w:val="1175080D"/>
    <w:rsid w:val="119A61FD"/>
    <w:rsid w:val="12AB0CF8"/>
    <w:rsid w:val="13FA6784"/>
    <w:rsid w:val="14033008"/>
    <w:rsid w:val="14107459"/>
    <w:rsid w:val="149C34F4"/>
    <w:rsid w:val="151414ED"/>
    <w:rsid w:val="152626EF"/>
    <w:rsid w:val="157938AB"/>
    <w:rsid w:val="15BB0542"/>
    <w:rsid w:val="16010B62"/>
    <w:rsid w:val="16461B97"/>
    <w:rsid w:val="167817BB"/>
    <w:rsid w:val="16BB723D"/>
    <w:rsid w:val="16C00B7E"/>
    <w:rsid w:val="16D15B28"/>
    <w:rsid w:val="1719685A"/>
    <w:rsid w:val="17991337"/>
    <w:rsid w:val="184078EB"/>
    <w:rsid w:val="19471A9C"/>
    <w:rsid w:val="196C26C0"/>
    <w:rsid w:val="19C940C3"/>
    <w:rsid w:val="1A0F4E55"/>
    <w:rsid w:val="1A180086"/>
    <w:rsid w:val="1A220CB6"/>
    <w:rsid w:val="1A267D07"/>
    <w:rsid w:val="1A273DAC"/>
    <w:rsid w:val="1A485495"/>
    <w:rsid w:val="1AF91B11"/>
    <w:rsid w:val="1AFF1839"/>
    <w:rsid w:val="1B237AF3"/>
    <w:rsid w:val="1B506DE6"/>
    <w:rsid w:val="1B7772D0"/>
    <w:rsid w:val="1B866489"/>
    <w:rsid w:val="1C9F67AA"/>
    <w:rsid w:val="1D352FAA"/>
    <w:rsid w:val="1D3E4A91"/>
    <w:rsid w:val="1D4D5F00"/>
    <w:rsid w:val="1D9F6575"/>
    <w:rsid w:val="1DFF17C0"/>
    <w:rsid w:val="1E2A28A5"/>
    <w:rsid w:val="1E3B0523"/>
    <w:rsid w:val="1E4767CA"/>
    <w:rsid w:val="1E7361F0"/>
    <w:rsid w:val="1E8079E2"/>
    <w:rsid w:val="1ECA70FD"/>
    <w:rsid w:val="20194BB6"/>
    <w:rsid w:val="201E74B3"/>
    <w:rsid w:val="202810F3"/>
    <w:rsid w:val="21C34870"/>
    <w:rsid w:val="21DB6D92"/>
    <w:rsid w:val="22250FCC"/>
    <w:rsid w:val="225E7AFC"/>
    <w:rsid w:val="23866EA0"/>
    <w:rsid w:val="23A82709"/>
    <w:rsid w:val="23C34ED5"/>
    <w:rsid w:val="23F405EE"/>
    <w:rsid w:val="240371BF"/>
    <w:rsid w:val="2452130C"/>
    <w:rsid w:val="245A6343"/>
    <w:rsid w:val="24D87374"/>
    <w:rsid w:val="25190AB9"/>
    <w:rsid w:val="25EF28AE"/>
    <w:rsid w:val="26017ADA"/>
    <w:rsid w:val="26071F20"/>
    <w:rsid w:val="27334EF4"/>
    <w:rsid w:val="2754129B"/>
    <w:rsid w:val="27907762"/>
    <w:rsid w:val="2797304A"/>
    <w:rsid w:val="27B37631"/>
    <w:rsid w:val="27CF5960"/>
    <w:rsid w:val="2809097E"/>
    <w:rsid w:val="286B34B1"/>
    <w:rsid w:val="2891623E"/>
    <w:rsid w:val="28A013AD"/>
    <w:rsid w:val="28CD0F29"/>
    <w:rsid w:val="293E24EB"/>
    <w:rsid w:val="29591165"/>
    <w:rsid w:val="29687150"/>
    <w:rsid w:val="29711754"/>
    <w:rsid w:val="298F6652"/>
    <w:rsid w:val="29A04AB8"/>
    <w:rsid w:val="29FD04D3"/>
    <w:rsid w:val="2A6B1A17"/>
    <w:rsid w:val="2B0D62F1"/>
    <w:rsid w:val="2B8B3271"/>
    <w:rsid w:val="2BA967CE"/>
    <w:rsid w:val="2C8B2CD7"/>
    <w:rsid w:val="2D5976C3"/>
    <w:rsid w:val="2DD42F1E"/>
    <w:rsid w:val="2DE31FDC"/>
    <w:rsid w:val="2E374EDF"/>
    <w:rsid w:val="2E6350E6"/>
    <w:rsid w:val="2E790812"/>
    <w:rsid w:val="2F234665"/>
    <w:rsid w:val="2FCF7535"/>
    <w:rsid w:val="2FF8163F"/>
    <w:rsid w:val="30BA6D84"/>
    <w:rsid w:val="30DD1D84"/>
    <w:rsid w:val="312F382B"/>
    <w:rsid w:val="313B5873"/>
    <w:rsid w:val="31564403"/>
    <w:rsid w:val="319F7F4E"/>
    <w:rsid w:val="31C76BBC"/>
    <w:rsid w:val="320A605D"/>
    <w:rsid w:val="322B37C3"/>
    <w:rsid w:val="3237238F"/>
    <w:rsid w:val="32841CE8"/>
    <w:rsid w:val="32D109D0"/>
    <w:rsid w:val="32E82769"/>
    <w:rsid w:val="32EA4980"/>
    <w:rsid w:val="32F0247B"/>
    <w:rsid w:val="32F105F1"/>
    <w:rsid w:val="330A292A"/>
    <w:rsid w:val="33882E11"/>
    <w:rsid w:val="342173B9"/>
    <w:rsid w:val="343C6DBA"/>
    <w:rsid w:val="345513B0"/>
    <w:rsid w:val="34E55D5A"/>
    <w:rsid w:val="350A5A6A"/>
    <w:rsid w:val="351E5B81"/>
    <w:rsid w:val="353803DF"/>
    <w:rsid w:val="353E4427"/>
    <w:rsid w:val="35480D50"/>
    <w:rsid w:val="36221945"/>
    <w:rsid w:val="363B49B7"/>
    <w:rsid w:val="36E228F5"/>
    <w:rsid w:val="37255016"/>
    <w:rsid w:val="37377380"/>
    <w:rsid w:val="3788565F"/>
    <w:rsid w:val="379B0975"/>
    <w:rsid w:val="37BF5827"/>
    <w:rsid w:val="37C56B2E"/>
    <w:rsid w:val="381B1ABC"/>
    <w:rsid w:val="38466001"/>
    <w:rsid w:val="38B665FD"/>
    <w:rsid w:val="38CE43DF"/>
    <w:rsid w:val="390E5CB1"/>
    <w:rsid w:val="391E4825"/>
    <w:rsid w:val="395155E9"/>
    <w:rsid w:val="39DD2F24"/>
    <w:rsid w:val="3A08342D"/>
    <w:rsid w:val="3A0A7E96"/>
    <w:rsid w:val="3A1F2052"/>
    <w:rsid w:val="3A380877"/>
    <w:rsid w:val="3A4A0CD0"/>
    <w:rsid w:val="3AC22F01"/>
    <w:rsid w:val="3B381919"/>
    <w:rsid w:val="3BB0230D"/>
    <w:rsid w:val="3BEC625F"/>
    <w:rsid w:val="3C120676"/>
    <w:rsid w:val="3C5E3506"/>
    <w:rsid w:val="3C872392"/>
    <w:rsid w:val="3CDA29D3"/>
    <w:rsid w:val="3D447D8B"/>
    <w:rsid w:val="3D5727E2"/>
    <w:rsid w:val="3D896256"/>
    <w:rsid w:val="3DB35D28"/>
    <w:rsid w:val="3DBF563C"/>
    <w:rsid w:val="3DEB1A15"/>
    <w:rsid w:val="3E022AA0"/>
    <w:rsid w:val="3E5562F1"/>
    <w:rsid w:val="3EBD4BAA"/>
    <w:rsid w:val="3F7452A8"/>
    <w:rsid w:val="3FEE25A6"/>
    <w:rsid w:val="40336F00"/>
    <w:rsid w:val="403C075C"/>
    <w:rsid w:val="40747E7D"/>
    <w:rsid w:val="40933F12"/>
    <w:rsid w:val="412E21A6"/>
    <w:rsid w:val="41AB5DE5"/>
    <w:rsid w:val="41C4155D"/>
    <w:rsid w:val="42071392"/>
    <w:rsid w:val="427221C8"/>
    <w:rsid w:val="427A79B3"/>
    <w:rsid w:val="42B21B75"/>
    <w:rsid w:val="42C83582"/>
    <w:rsid w:val="42DB169F"/>
    <w:rsid w:val="42E57658"/>
    <w:rsid w:val="43A11EEC"/>
    <w:rsid w:val="43E73867"/>
    <w:rsid w:val="44490D14"/>
    <w:rsid w:val="451C115E"/>
    <w:rsid w:val="451E56DB"/>
    <w:rsid w:val="452A7671"/>
    <w:rsid w:val="452F084C"/>
    <w:rsid w:val="457277D5"/>
    <w:rsid w:val="45ED6439"/>
    <w:rsid w:val="462C41DC"/>
    <w:rsid w:val="462C5BD6"/>
    <w:rsid w:val="46F32B98"/>
    <w:rsid w:val="47C83ACE"/>
    <w:rsid w:val="48337C37"/>
    <w:rsid w:val="489B0E76"/>
    <w:rsid w:val="48A346D8"/>
    <w:rsid w:val="48F62726"/>
    <w:rsid w:val="4902352B"/>
    <w:rsid w:val="4907736D"/>
    <w:rsid w:val="494B120D"/>
    <w:rsid w:val="49E00E78"/>
    <w:rsid w:val="4A537604"/>
    <w:rsid w:val="4ACA615E"/>
    <w:rsid w:val="4B074751"/>
    <w:rsid w:val="4B120096"/>
    <w:rsid w:val="4B310A74"/>
    <w:rsid w:val="4B435141"/>
    <w:rsid w:val="4BAA2D56"/>
    <w:rsid w:val="4BC860DB"/>
    <w:rsid w:val="4BF549DC"/>
    <w:rsid w:val="4C9E7C25"/>
    <w:rsid w:val="4CDB2E95"/>
    <w:rsid w:val="4CDD3E16"/>
    <w:rsid w:val="4CEF5C69"/>
    <w:rsid w:val="4D372E18"/>
    <w:rsid w:val="4D5E7540"/>
    <w:rsid w:val="4DAA7B9D"/>
    <w:rsid w:val="4DFB6770"/>
    <w:rsid w:val="4E0D58E3"/>
    <w:rsid w:val="4E290445"/>
    <w:rsid w:val="4EBF4AE2"/>
    <w:rsid w:val="4F1C3836"/>
    <w:rsid w:val="4F7014DC"/>
    <w:rsid w:val="4FCD6C7A"/>
    <w:rsid w:val="4FD94979"/>
    <w:rsid w:val="4FE5656C"/>
    <w:rsid w:val="50A40B59"/>
    <w:rsid w:val="51597D9D"/>
    <w:rsid w:val="51840FBC"/>
    <w:rsid w:val="51BA580F"/>
    <w:rsid w:val="51CF210E"/>
    <w:rsid w:val="52844602"/>
    <w:rsid w:val="528D6395"/>
    <w:rsid w:val="53393285"/>
    <w:rsid w:val="535E26F2"/>
    <w:rsid w:val="535F1989"/>
    <w:rsid w:val="53DF697E"/>
    <w:rsid w:val="543A5B3A"/>
    <w:rsid w:val="544113E6"/>
    <w:rsid w:val="545D5E57"/>
    <w:rsid w:val="54D93EC3"/>
    <w:rsid w:val="550456CC"/>
    <w:rsid w:val="550C7168"/>
    <w:rsid w:val="557A3EA2"/>
    <w:rsid w:val="55985CD6"/>
    <w:rsid w:val="56287FA7"/>
    <w:rsid w:val="56844FA0"/>
    <w:rsid w:val="569B169C"/>
    <w:rsid w:val="571E210A"/>
    <w:rsid w:val="575431DF"/>
    <w:rsid w:val="57946640"/>
    <w:rsid w:val="57C80B78"/>
    <w:rsid w:val="58361297"/>
    <w:rsid w:val="5838028E"/>
    <w:rsid w:val="58494F7D"/>
    <w:rsid w:val="586A2EFF"/>
    <w:rsid w:val="588C74B0"/>
    <w:rsid w:val="591F1865"/>
    <w:rsid w:val="59240B49"/>
    <w:rsid w:val="593C3EDB"/>
    <w:rsid w:val="59CB60B5"/>
    <w:rsid w:val="5A392C5B"/>
    <w:rsid w:val="5A556509"/>
    <w:rsid w:val="5AE702E5"/>
    <w:rsid w:val="5B4D6263"/>
    <w:rsid w:val="5B5B2324"/>
    <w:rsid w:val="5D2708D1"/>
    <w:rsid w:val="5D721015"/>
    <w:rsid w:val="5E125189"/>
    <w:rsid w:val="5E505ABA"/>
    <w:rsid w:val="5E526B48"/>
    <w:rsid w:val="5EA4371D"/>
    <w:rsid w:val="5EF63925"/>
    <w:rsid w:val="5F047298"/>
    <w:rsid w:val="5F2C26D3"/>
    <w:rsid w:val="5F59170D"/>
    <w:rsid w:val="605657C8"/>
    <w:rsid w:val="609D12D0"/>
    <w:rsid w:val="60FE6728"/>
    <w:rsid w:val="61132FFB"/>
    <w:rsid w:val="613F061D"/>
    <w:rsid w:val="615B682D"/>
    <w:rsid w:val="6175580A"/>
    <w:rsid w:val="61831FAE"/>
    <w:rsid w:val="620D621B"/>
    <w:rsid w:val="62277CD7"/>
    <w:rsid w:val="623E5E4F"/>
    <w:rsid w:val="62556334"/>
    <w:rsid w:val="629C552E"/>
    <w:rsid w:val="62A623A3"/>
    <w:rsid w:val="62A9267D"/>
    <w:rsid w:val="62ED64E8"/>
    <w:rsid w:val="62FB72FC"/>
    <w:rsid w:val="63260D59"/>
    <w:rsid w:val="63340E32"/>
    <w:rsid w:val="63411102"/>
    <w:rsid w:val="63496750"/>
    <w:rsid w:val="639D7D03"/>
    <w:rsid w:val="64032363"/>
    <w:rsid w:val="646A4041"/>
    <w:rsid w:val="64A069F2"/>
    <w:rsid w:val="64BA084A"/>
    <w:rsid w:val="65284E68"/>
    <w:rsid w:val="6587416A"/>
    <w:rsid w:val="661F4B5F"/>
    <w:rsid w:val="664A3244"/>
    <w:rsid w:val="67112E9A"/>
    <w:rsid w:val="67EE4B97"/>
    <w:rsid w:val="68096B5C"/>
    <w:rsid w:val="68736AC8"/>
    <w:rsid w:val="68776BE9"/>
    <w:rsid w:val="69056194"/>
    <w:rsid w:val="69502913"/>
    <w:rsid w:val="69A04061"/>
    <w:rsid w:val="69CA77CA"/>
    <w:rsid w:val="6A157C82"/>
    <w:rsid w:val="6A1B440D"/>
    <w:rsid w:val="6A4B3A95"/>
    <w:rsid w:val="6AEF18E4"/>
    <w:rsid w:val="6B443254"/>
    <w:rsid w:val="6B7011B5"/>
    <w:rsid w:val="6B7C3C15"/>
    <w:rsid w:val="6B9E6225"/>
    <w:rsid w:val="6C217BB5"/>
    <w:rsid w:val="6C4F270F"/>
    <w:rsid w:val="6C7B6A14"/>
    <w:rsid w:val="6C952F7C"/>
    <w:rsid w:val="6C9F5CC5"/>
    <w:rsid w:val="6D074F52"/>
    <w:rsid w:val="6D3573D6"/>
    <w:rsid w:val="6D533BEB"/>
    <w:rsid w:val="6DA5332C"/>
    <w:rsid w:val="6E84176C"/>
    <w:rsid w:val="6EA817A4"/>
    <w:rsid w:val="6F122237"/>
    <w:rsid w:val="6F1245EF"/>
    <w:rsid w:val="6FCD17F0"/>
    <w:rsid w:val="6FE64F4A"/>
    <w:rsid w:val="703F1E1D"/>
    <w:rsid w:val="70677FAA"/>
    <w:rsid w:val="70780D3A"/>
    <w:rsid w:val="709949CB"/>
    <w:rsid w:val="70B77BD1"/>
    <w:rsid w:val="70E02869"/>
    <w:rsid w:val="712119D7"/>
    <w:rsid w:val="7159185D"/>
    <w:rsid w:val="71A55C79"/>
    <w:rsid w:val="71B16EE5"/>
    <w:rsid w:val="71D3056C"/>
    <w:rsid w:val="71E33685"/>
    <w:rsid w:val="73047C88"/>
    <w:rsid w:val="730906D0"/>
    <w:rsid w:val="734F099E"/>
    <w:rsid w:val="7377437B"/>
    <w:rsid w:val="73983ECA"/>
    <w:rsid w:val="74783D6F"/>
    <w:rsid w:val="75012A25"/>
    <w:rsid w:val="75660FD6"/>
    <w:rsid w:val="75C46C73"/>
    <w:rsid w:val="767713F3"/>
    <w:rsid w:val="76827B35"/>
    <w:rsid w:val="76937EFA"/>
    <w:rsid w:val="7764716D"/>
    <w:rsid w:val="77A5461E"/>
    <w:rsid w:val="77C47A90"/>
    <w:rsid w:val="77E969E1"/>
    <w:rsid w:val="77F67B50"/>
    <w:rsid w:val="78636858"/>
    <w:rsid w:val="789962FA"/>
    <w:rsid w:val="78F90E40"/>
    <w:rsid w:val="79246A91"/>
    <w:rsid w:val="7931137C"/>
    <w:rsid w:val="793122DD"/>
    <w:rsid w:val="79586707"/>
    <w:rsid w:val="79756206"/>
    <w:rsid w:val="797A27F3"/>
    <w:rsid w:val="798C06D8"/>
    <w:rsid w:val="79CE17CD"/>
    <w:rsid w:val="7A1B601E"/>
    <w:rsid w:val="7AF2472E"/>
    <w:rsid w:val="7B8E0F58"/>
    <w:rsid w:val="7B9258BE"/>
    <w:rsid w:val="7BB01D39"/>
    <w:rsid w:val="7BE21149"/>
    <w:rsid w:val="7CB41FC9"/>
    <w:rsid w:val="7D1C0AA0"/>
    <w:rsid w:val="7D595147"/>
    <w:rsid w:val="7D6F09A2"/>
    <w:rsid w:val="7D9A310E"/>
    <w:rsid w:val="7E284BCB"/>
    <w:rsid w:val="7E3549AC"/>
    <w:rsid w:val="7EEA6053"/>
    <w:rsid w:val="7F3B07B2"/>
    <w:rsid w:val="7F6D458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Salutation"/>
    <w:basedOn w:val="1"/>
    <w:next w:val="1"/>
    <w:qFormat/>
    <w:uiPriority w:val="0"/>
    <w:rPr>
      <w:rFonts w:ascii="Times New Roman" w:hAnsi="Times New Roman"/>
    </w:rPr>
  </w:style>
  <w:style w:type="paragraph" w:styleId="6">
    <w:name w:val="Body Text"/>
    <w:basedOn w:val="1"/>
    <w:link w:val="26"/>
    <w:qFormat/>
    <w:uiPriority w:val="99"/>
    <w:pPr>
      <w:spacing w:beforeLines="30"/>
    </w:pPr>
    <w:rPr>
      <w:rFonts w:ascii="仿宋_GB2312" w:eastAsia="仿宋_GB2312"/>
      <w:kern w:val="0"/>
      <w:sz w:val="30"/>
    </w:rPr>
  </w:style>
  <w:style w:type="paragraph" w:styleId="7">
    <w:name w:val="Body Text Indent"/>
    <w:basedOn w:val="1"/>
    <w:qFormat/>
    <w:uiPriority w:val="99"/>
    <w:pPr>
      <w:ind w:left="420" w:leftChars="200"/>
    </w:pPr>
  </w:style>
  <w:style w:type="paragraph" w:styleId="8">
    <w:name w:val="toc 3"/>
    <w:basedOn w:val="1"/>
    <w:next w:val="1"/>
    <w:unhideWhenUsed/>
    <w:qFormat/>
    <w:uiPriority w:val="39"/>
    <w:pPr>
      <w:tabs>
        <w:tab w:val="right" w:leader="dot" w:pos="8296"/>
      </w:tabs>
      <w:ind w:left="840" w:leftChars="400"/>
    </w:pPr>
  </w:style>
  <w:style w:type="paragraph" w:styleId="9">
    <w:name w:val="Plain Text"/>
    <w:basedOn w:val="1"/>
    <w:qFormat/>
    <w:uiPriority w:val="0"/>
    <w:rPr>
      <w:rFonts w:ascii="宋体" w:hAnsi="Courier New"/>
      <w:szCs w:val="21"/>
    </w:rPr>
  </w:style>
  <w:style w:type="paragraph" w:styleId="10">
    <w:name w:val="Balloon Text"/>
    <w:basedOn w:val="1"/>
    <w:link w:val="32"/>
    <w:semiHidden/>
    <w:unhideWhenUsed/>
    <w:qFormat/>
    <w:uiPriority w:val="99"/>
    <w:rPr>
      <w:sz w:val="18"/>
      <w:szCs w:val="18"/>
    </w:rPr>
  </w:style>
  <w:style w:type="paragraph" w:styleId="11">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toc 2"/>
    <w:basedOn w:val="1"/>
    <w:next w:val="1"/>
    <w:unhideWhenUsed/>
    <w:qFormat/>
    <w:uiPriority w:val="39"/>
    <w:pPr>
      <w:tabs>
        <w:tab w:val="right" w:leader="dot" w:pos="8296"/>
      </w:tabs>
      <w:ind w:left="420" w:leftChars="200"/>
    </w:pPr>
  </w:style>
  <w:style w:type="paragraph" w:styleId="1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6">
    <w:name w:val="Body Text First Indent 2"/>
    <w:basedOn w:val="7"/>
    <w:qFormat/>
    <w:uiPriority w:val="99"/>
    <w:pPr>
      <w:ind w:firstLine="420" w:firstLineChars="200"/>
    </w:pPr>
  </w:style>
  <w:style w:type="character" w:styleId="19">
    <w:name w:val="Strong"/>
    <w:basedOn w:val="18"/>
    <w:qFormat/>
    <w:uiPriority w:val="99"/>
    <w:rPr>
      <w:b/>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character" w:customStyle="1" w:styleId="21">
    <w:name w:val="Header Char"/>
    <w:basedOn w:val="18"/>
    <w:semiHidden/>
    <w:qFormat/>
    <w:uiPriority w:val="99"/>
    <w:rPr>
      <w:rFonts w:ascii="Times New Roman" w:hAnsi="Times New Roman"/>
      <w:sz w:val="18"/>
      <w:szCs w:val="18"/>
    </w:rPr>
  </w:style>
  <w:style w:type="character" w:customStyle="1" w:styleId="22">
    <w:name w:val="页眉 Char"/>
    <w:link w:val="12"/>
    <w:semiHidden/>
    <w:qFormat/>
    <w:locked/>
    <w:uiPriority w:val="99"/>
    <w:rPr>
      <w:sz w:val="18"/>
    </w:rPr>
  </w:style>
  <w:style w:type="character" w:customStyle="1" w:styleId="23">
    <w:name w:val="Footer Char"/>
    <w:basedOn w:val="18"/>
    <w:semiHidden/>
    <w:qFormat/>
    <w:uiPriority w:val="99"/>
    <w:rPr>
      <w:rFonts w:ascii="Times New Roman" w:hAnsi="Times New Roman"/>
      <w:sz w:val="18"/>
      <w:szCs w:val="18"/>
    </w:rPr>
  </w:style>
  <w:style w:type="character" w:customStyle="1" w:styleId="24">
    <w:name w:val="页脚 Char"/>
    <w:link w:val="11"/>
    <w:qFormat/>
    <w:locked/>
    <w:uiPriority w:val="99"/>
    <w:rPr>
      <w:sz w:val="18"/>
    </w:rPr>
  </w:style>
  <w:style w:type="character" w:customStyle="1" w:styleId="25">
    <w:name w:val="Body Text Char"/>
    <w:basedOn w:val="18"/>
    <w:semiHidden/>
    <w:qFormat/>
    <w:uiPriority w:val="99"/>
    <w:rPr>
      <w:rFonts w:ascii="Times New Roman" w:hAnsi="Times New Roman"/>
      <w:szCs w:val="24"/>
    </w:rPr>
  </w:style>
  <w:style w:type="character" w:customStyle="1" w:styleId="26">
    <w:name w:val="正文文本 Char"/>
    <w:link w:val="6"/>
    <w:qFormat/>
    <w:locked/>
    <w:uiPriority w:val="99"/>
    <w:rPr>
      <w:rFonts w:ascii="仿宋_GB2312" w:hAnsi="Times New Roman" w:eastAsia="仿宋_GB2312"/>
      <w:sz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character" w:customStyle="1" w:styleId="29">
    <w:name w:val="标题 1 Char"/>
    <w:basedOn w:val="18"/>
    <w:link w:val="3"/>
    <w:qFormat/>
    <w:uiPriority w:val="9"/>
    <w:rPr>
      <w:rFonts w:ascii="Times New Roman" w:hAnsi="Times New Roman"/>
      <w:b/>
      <w:bCs/>
      <w:kern w:val="44"/>
      <w:sz w:val="44"/>
      <w:szCs w:val="44"/>
    </w:rPr>
  </w:style>
  <w:style w:type="character" w:customStyle="1" w:styleId="30">
    <w:name w:val="标题 2 Char"/>
    <w:basedOn w:val="18"/>
    <w:link w:val="4"/>
    <w:qFormat/>
    <w:uiPriority w:val="9"/>
    <w:rPr>
      <w:rFonts w:asciiTheme="majorHAnsi" w:hAnsiTheme="majorHAnsi" w:eastAsiaTheme="majorEastAsia" w:cstheme="majorBidi"/>
      <w:b/>
      <w:bCs/>
      <w:kern w:val="2"/>
      <w:sz w:val="32"/>
      <w:szCs w:val="32"/>
    </w:rPr>
  </w:style>
  <w:style w:type="paragraph" w:customStyle="1" w:styleId="31">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Char"/>
    <w:basedOn w:val="18"/>
    <w:link w:val="10"/>
    <w:semiHidden/>
    <w:qFormat/>
    <w:uiPriority w:val="99"/>
    <w:rPr>
      <w:rFonts w:ascii="Times New Roman" w:hAnsi="Times New Roman"/>
      <w:kern w:val="2"/>
      <w:sz w:val="18"/>
      <w:szCs w:val="18"/>
    </w:rPr>
  </w:style>
  <w:style w:type="character" w:customStyle="1" w:styleId="33">
    <w:name w:val="标题 3 Char"/>
    <w:basedOn w:val="18"/>
    <w:link w:val="5"/>
    <w:qFormat/>
    <w:uiPriority w:val="9"/>
    <w:rPr>
      <w:rFonts w:ascii="Times New Roman" w:hAnsi="Times New Roman"/>
      <w:b/>
      <w:bCs/>
      <w:kern w:val="2"/>
      <w:sz w:val="32"/>
      <w:szCs w:val="32"/>
    </w:rPr>
  </w:style>
  <w:style w:type="paragraph" w:customStyle="1" w:styleId="34">
    <w:name w:val="四号正文"/>
    <w:basedOn w:val="1"/>
    <w:qFormat/>
    <w:uiPriority w:val="0"/>
    <w:pPr>
      <w:spacing w:line="360" w:lineRule="auto"/>
    </w:pPr>
    <w:rPr>
      <w:rFonts w:ascii="??" w:hAnsi="??"/>
      <w:color w:val="000000"/>
      <w:kern w:val="0"/>
      <w:sz w:val="28"/>
      <w:szCs w:val="21"/>
    </w:rPr>
  </w:style>
  <w:style w:type="character" w:customStyle="1" w:styleId="35">
    <w:name w:val="font31"/>
    <w:basedOn w:val="18"/>
    <w:qFormat/>
    <w:uiPriority w:val="0"/>
    <w:rPr>
      <w:rFonts w:hint="eastAsia" w:ascii="宋体" w:hAnsi="宋体" w:eastAsia="宋体" w:cs="宋体"/>
      <w:color w:val="000000"/>
      <w:sz w:val="20"/>
      <w:szCs w:val="20"/>
      <w:u w:val="none"/>
    </w:rPr>
  </w:style>
  <w:style w:type="character" w:customStyle="1" w:styleId="36">
    <w:name w:val="font101"/>
    <w:basedOn w:val="18"/>
    <w:qFormat/>
    <w:uiPriority w:val="0"/>
    <w:rPr>
      <w:rFonts w:hint="default" w:ascii="Times New Roman" w:hAnsi="Times New Roman" w:cs="Times New Roman"/>
      <w:color w:val="000000"/>
      <w:sz w:val="20"/>
      <w:szCs w:val="20"/>
      <w:u w:val="none"/>
    </w:rPr>
  </w:style>
  <w:style w:type="character" w:customStyle="1" w:styleId="37">
    <w:name w:val="font61"/>
    <w:basedOn w:val="18"/>
    <w:qFormat/>
    <w:uiPriority w:val="0"/>
    <w:rPr>
      <w:rFonts w:hint="eastAsia" w:ascii="宋体" w:hAnsi="宋体" w:eastAsia="宋体" w:cs="宋体"/>
      <w:color w:val="000000"/>
      <w:sz w:val="20"/>
      <w:szCs w:val="20"/>
      <w:u w:val="none"/>
    </w:rPr>
  </w:style>
  <w:style w:type="character" w:customStyle="1" w:styleId="38">
    <w:name w:val="font71"/>
    <w:basedOn w:val="18"/>
    <w:qFormat/>
    <w:uiPriority w:val="0"/>
    <w:rPr>
      <w:rFonts w:hint="default" w:ascii="Times New Roman" w:hAnsi="Times New Roman" w:cs="Times New Roman"/>
      <w:color w:val="000000"/>
      <w:sz w:val="20"/>
      <w:szCs w:val="20"/>
      <w:u w:val="none"/>
    </w:rPr>
  </w:style>
  <w:style w:type="character" w:customStyle="1" w:styleId="39">
    <w:name w:val="font41"/>
    <w:basedOn w:val="18"/>
    <w:qFormat/>
    <w:uiPriority w:val="0"/>
    <w:rPr>
      <w:rFonts w:hint="eastAsia" w:ascii="宋体" w:hAnsi="宋体" w:eastAsia="宋体" w:cs="宋体"/>
      <w:color w:val="000000"/>
      <w:sz w:val="20"/>
      <w:szCs w:val="20"/>
      <w:u w:val="none"/>
    </w:rPr>
  </w:style>
  <w:style w:type="paragraph" w:customStyle="1" w:styleId="40">
    <w:name w:val="Body text|1"/>
    <w:basedOn w:val="1"/>
    <w:qFormat/>
    <w:uiPriority w:val="99"/>
    <w:pPr>
      <w:spacing w:line="415" w:lineRule="auto"/>
      <w:ind w:firstLine="400"/>
      <w:jc w:val="left"/>
    </w:pPr>
    <w:rPr>
      <w:rFonts w:ascii="宋体" w:hAnsi="宋体" w:cs="宋体"/>
      <w:kern w:val="0"/>
      <w:sz w:val="20"/>
      <w:szCs w:val="20"/>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2020&#24180;-2021&#24180;&#39033;&#30446;.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0&#24180;-2021&#24180;&#39033;&#30446;.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0&#24180;-2021&#24180;&#39033;&#30446;.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0&#24180;-2021&#24180;&#39033;&#30446;.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2&#24178;&#37096;&#30005;&#35805;.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20915;&#31639;\2020&#24180;&#20915;&#31639;\2020&#24180;&#20915;&#31639;&#34917;&#20805;&#34920;(12.14&#65289;&#31614;&#23383;.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018&#24180;&#24230;&#20892;&#19994;&#23616;&#20915;&#31639;&#20844;&#24320;\2018&#24180;&#20915;&#31639;&#20844;&#24320;\2018&#24180;&#20915;&#31639;&#20844;&#2432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财政拨款收、支总计</a:t>
            </a:r>
          </a:p>
        </c:rich>
      </c:tx>
      <c:layout/>
      <c:overlay val="0"/>
      <c:spPr>
        <a:noFill/>
        <a:ln>
          <a:noFill/>
        </a:ln>
        <a:effectLst/>
      </c:spPr>
    </c:title>
    <c:autoTitleDeleted val="0"/>
    <c:plotArea>
      <c:layout/>
      <c:barChart>
        <c:barDir val="col"/>
        <c:grouping val="clustered"/>
        <c:varyColors val="0"/>
        <c:ser>
          <c:idx val="0"/>
          <c:order val="0"/>
          <c:tx>
            <c:strRef>
              <c:f>'[2020年-2021年项目.xls]Sheet3'!$B$2</c:f>
              <c:strCache>
                <c:ptCount val="1"/>
                <c:pt idx="0">
                  <c:v>2019年收、支总计</c:v>
                </c:pt>
              </c:strCache>
            </c:strRef>
          </c:tx>
          <c:spPr>
            <a:solidFill>
              <a:schemeClr val="accent1"/>
            </a:solidFill>
            <a:ln>
              <a:noFill/>
            </a:ln>
            <a:effectLst/>
          </c:spPr>
          <c:invertIfNegative val="0"/>
          <c:dLbls>
            <c:delete val="1"/>
          </c:dLbls>
          <c:val>
            <c:numRef>
              <c:f>'[2020年-2021年项目.xls]Sheet3'!$C$2:$D$2</c:f>
              <c:numCache>
                <c:formatCode>General</c:formatCode>
                <c:ptCount val="2"/>
                <c:pt idx="0">
                  <c:v>28135.01</c:v>
                </c:pt>
              </c:numCache>
            </c:numRef>
          </c:val>
        </c:ser>
        <c:ser>
          <c:idx val="1"/>
          <c:order val="1"/>
          <c:tx>
            <c:strRef>
              <c:f>'[2020年-2021年项目.xls]Sheet3'!$B$3</c:f>
              <c:strCache>
                <c:ptCount val="1"/>
                <c:pt idx="0">
                  <c:v>2020年收、支总计</c:v>
                </c:pt>
              </c:strCache>
            </c:strRef>
          </c:tx>
          <c:spPr>
            <a:solidFill>
              <a:schemeClr val="accent2"/>
            </a:solidFill>
            <a:ln>
              <a:noFill/>
            </a:ln>
            <a:effectLst/>
          </c:spPr>
          <c:invertIfNegative val="0"/>
          <c:dLbls>
            <c:delete val="1"/>
          </c:dLbls>
          <c:val>
            <c:numRef>
              <c:f>'[2020年-2021年项目.xls]Sheet3'!$C$3:$D$3</c:f>
              <c:numCache>
                <c:formatCode>General</c:formatCode>
                <c:ptCount val="2"/>
                <c:pt idx="0">
                  <c:v>28468.72</c:v>
                </c:pt>
              </c:numCache>
            </c:numRef>
          </c:val>
        </c:ser>
        <c:dLbls>
          <c:showLegendKey val="0"/>
          <c:showVal val="0"/>
          <c:showCatName val="0"/>
          <c:showSerName val="0"/>
          <c:showPercent val="0"/>
          <c:showBubbleSize val="0"/>
        </c:dLbls>
        <c:gapWidth val="219"/>
        <c:overlap val="-27"/>
        <c:axId val="636176667"/>
        <c:axId val="307953648"/>
      </c:barChart>
      <c:catAx>
        <c:axId val="63617666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7953648"/>
        <c:crosses val="autoZero"/>
        <c:auto val="1"/>
        <c:lblAlgn val="ctr"/>
        <c:lblOffset val="100"/>
        <c:noMultiLvlLbl val="0"/>
      </c:catAx>
      <c:valAx>
        <c:axId val="30795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617666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b76384f-5922-44f0-9256-a88c45404ec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2020年本年收入</a:t>
            </a:r>
          </a:p>
        </c:rich>
      </c:tx>
      <c:layout>
        <c:manualLayout>
          <c:xMode val="edge"/>
          <c:yMode val="edge"/>
          <c:x val="0.414444444444444"/>
          <c:y val="0.03125"/>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'[2020年-2021年项目.xls]Sheet3'!$B$2:$B$3</c:f>
              <c:strCache>
                <c:ptCount val="2"/>
                <c:pt idx="0">
                  <c:v>一般公共预算财政拨款收</c:v>
                </c:pt>
                <c:pt idx="1">
                  <c:v>政府性基金预算财政拨款收入</c:v>
                </c:pt>
              </c:strCache>
            </c:strRef>
          </c:cat>
          <c:val>
            <c:numRef>
              <c:f>'[2020年-2021年项目.xls]Sheet3'!$C$2:$C$3</c:f>
              <c:numCache>
                <c:formatCode>General</c:formatCode>
                <c:ptCount val="2"/>
                <c:pt idx="0">
                  <c:v>19970.52</c:v>
                </c:pt>
                <c:pt idx="1">
                  <c:v>1589.9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ec220f7-c6b4-4d3a-857d-0ce89b50c82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2020年本年支出</a:t>
            </a:r>
          </a:p>
        </c:rich>
      </c:tx>
      <c:layout>
        <c:manualLayout>
          <c:xMode val="edge"/>
          <c:yMode val="edge"/>
          <c:x val="0.414444444444444"/>
          <c:y val="0.03125"/>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'[2020年-2021年项目.xls]Sheet3'!$B$2:$B$3</c:f>
              <c:strCache>
                <c:ptCount val="2"/>
                <c:pt idx="0">
                  <c:v>基本支出</c:v>
                </c:pt>
                <c:pt idx="1">
                  <c:v>项目支出</c:v>
                </c:pt>
              </c:strCache>
            </c:strRef>
          </c:cat>
          <c:val>
            <c:numRef>
              <c:f>'[2020年-2021年项目.xls]Sheet3'!$C$2:$C$3</c:f>
              <c:numCache>
                <c:formatCode>0%</c:formatCode>
                <c:ptCount val="2"/>
                <c:pt idx="0">
                  <c:v>0.07</c:v>
                </c:pt>
                <c:pt idx="1">
                  <c:v>0.93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3262a46-9929-474a-9f6a-4195560fc07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财政拨款收、支总计</a:t>
            </a:r>
          </a:p>
        </c:rich>
      </c:tx>
      <c:layout/>
      <c:overlay val="0"/>
      <c:spPr>
        <a:noFill/>
        <a:ln>
          <a:noFill/>
        </a:ln>
        <a:effectLst/>
      </c:spPr>
    </c:title>
    <c:autoTitleDeleted val="0"/>
    <c:plotArea>
      <c:layout/>
      <c:barChart>
        <c:barDir val="col"/>
        <c:grouping val="clustered"/>
        <c:varyColors val="0"/>
        <c:ser>
          <c:idx val="0"/>
          <c:order val="0"/>
          <c:tx>
            <c:strRef>
              <c:f>'[2020年-2021年项目.xls]Sheet3'!$B$2</c:f>
              <c:strCache>
                <c:ptCount val="1"/>
                <c:pt idx="0">
                  <c:v>2019年收、支总计</c:v>
                </c:pt>
              </c:strCache>
            </c:strRef>
          </c:tx>
          <c:spPr>
            <a:solidFill>
              <a:schemeClr val="accent1"/>
            </a:solidFill>
            <a:ln>
              <a:noFill/>
            </a:ln>
            <a:effectLst/>
          </c:spPr>
          <c:invertIfNegative val="0"/>
          <c:dLbls>
            <c:delete val="1"/>
          </c:dLbls>
          <c:val>
            <c:numRef>
              <c:f>'[2020年-2021年项目.xls]Sheet3'!$C$2:$D$2</c:f>
              <c:numCache>
                <c:formatCode>General</c:formatCode>
                <c:ptCount val="2"/>
                <c:pt idx="0">
                  <c:v>28135.01</c:v>
                </c:pt>
              </c:numCache>
            </c:numRef>
          </c:val>
        </c:ser>
        <c:ser>
          <c:idx val="1"/>
          <c:order val="1"/>
          <c:tx>
            <c:strRef>
              <c:f>'[2020年-2021年项目.xls]Sheet3'!$B$3</c:f>
              <c:strCache>
                <c:ptCount val="1"/>
                <c:pt idx="0">
                  <c:v>2020年收、支总计</c:v>
                </c:pt>
              </c:strCache>
            </c:strRef>
          </c:tx>
          <c:spPr>
            <a:solidFill>
              <a:schemeClr val="accent2"/>
            </a:solidFill>
            <a:ln>
              <a:noFill/>
            </a:ln>
            <a:effectLst/>
          </c:spPr>
          <c:invertIfNegative val="0"/>
          <c:dLbls>
            <c:delete val="1"/>
          </c:dLbls>
          <c:val>
            <c:numRef>
              <c:f>'[2020年-2021年项目.xls]Sheet3'!$C$3:$D$3</c:f>
              <c:numCache>
                <c:formatCode>General</c:formatCode>
                <c:ptCount val="2"/>
                <c:pt idx="0">
                  <c:v>28468.72</c:v>
                </c:pt>
              </c:numCache>
            </c:numRef>
          </c:val>
        </c:ser>
        <c:dLbls>
          <c:showLegendKey val="0"/>
          <c:showVal val="0"/>
          <c:showCatName val="0"/>
          <c:showSerName val="0"/>
          <c:showPercent val="0"/>
          <c:showBubbleSize val="0"/>
        </c:dLbls>
        <c:gapWidth val="219"/>
        <c:overlap val="-27"/>
        <c:axId val="636176667"/>
        <c:axId val="307953648"/>
      </c:barChart>
      <c:catAx>
        <c:axId val="63617666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7953648"/>
        <c:crosses val="autoZero"/>
        <c:auto val="1"/>
        <c:lblAlgn val="ctr"/>
        <c:lblOffset val="100"/>
        <c:noMultiLvlLbl val="0"/>
      </c:catAx>
      <c:valAx>
        <c:axId val="30795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617666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683dcfd-da9a-4151-a38c-4c904859840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一般公共预算财政拨款支出决算变动情况</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[2022干部电话.xls]Sheet2!$A$1:$A$2</c:f>
              <c:strCache>
                <c:ptCount val="2"/>
                <c:pt idx="0">
                  <c:v>2020年一般公共预算财政拨款支出</c:v>
                </c:pt>
                <c:pt idx="1">
                  <c:v>2019年一般公共预算财政拨款支出</c:v>
                </c:pt>
              </c:strCache>
            </c:strRef>
          </c:cat>
          <c:val>
            <c:numRef>
              <c:f>[2022干部电话.xls]Sheet2!$B$1:$B$2</c:f>
              <c:numCache>
                <c:formatCode>General</c:formatCode>
                <c:ptCount val="2"/>
                <c:pt idx="0">
                  <c:v>21134.7</c:v>
                </c:pt>
                <c:pt idx="1">
                  <c:v>21259.18</c:v>
                </c:pt>
              </c:numCache>
            </c:numRef>
          </c:val>
        </c:ser>
        <c:dLbls>
          <c:showLegendKey val="0"/>
          <c:showVal val="0"/>
          <c:showCatName val="0"/>
          <c:showSerName val="0"/>
          <c:showPercent val="0"/>
          <c:showBubbleSize val="0"/>
        </c:dLbls>
        <c:gapWidth val="219"/>
        <c:overlap val="-27"/>
        <c:axId val="501564580"/>
        <c:axId val="800756959"/>
      </c:barChart>
      <c:catAx>
        <c:axId val="5015645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0756959"/>
        <c:crosses val="autoZero"/>
        <c:auto val="1"/>
        <c:lblAlgn val="ctr"/>
        <c:lblOffset val="100"/>
        <c:noMultiLvlLbl val="0"/>
      </c:catAx>
      <c:valAx>
        <c:axId val="800756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1564580"/>
        <c:crosses val="autoZero"/>
        <c:crossBetween val="between"/>
      </c:valAx>
      <c:spPr>
        <a:noFill/>
        <a:ln>
          <a:noFill/>
        </a:ln>
        <a:effectLst/>
      </c:spPr>
    </c:plotArea>
    <c:plotVisOnly val="1"/>
    <c:dispBlanksAs val="gap"/>
    <c:showDLblsOverMax val="0"/>
    <c:extLst>
      <c:ext uri="{0b15fc19-7d7d-44ad-8c2d-2c3a37ce22c3}">
        <chartProps xmlns="https://web.wps.cn/et/2018/main" chartId="{3e485444-5362-4afd-be6c-226bfa25e53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一般公共预算财政拨款支出决算结构</a:t>
            </a:r>
          </a:p>
        </c:rich>
      </c:tx>
      <c:layout/>
      <c:overlay val="0"/>
      <c:spPr>
        <a:noFill/>
        <a:ln>
          <a:noFill/>
        </a:ln>
        <a:effectLst/>
      </c:spPr>
    </c:title>
    <c:autoTitleDeleted val="0"/>
    <c:plotArea>
      <c:layout/>
      <c:pieChart>
        <c:varyColors val="1"/>
        <c:ser>
          <c:idx val="0"/>
          <c:order val="0"/>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Pt>
            <c:idx val="3"/>
            <c:bubble3D val="0"/>
            <c:spPr>
              <a:solidFill>
                <a:schemeClr val="accent4"/>
              </a:solidFill>
              <a:ln w="25400">
                <a:solidFill>
                  <a:schemeClr val="lt1"/>
                </a:solidFill>
              </a:ln>
              <a:effectLst/>
              <a:scene3d>
                <a:camera prst="orthographicFront"/>
                <a:lightRig rig="threePt" dir="t"/>
              </a:scene3d>
              <a:sp3d contourW="25400"/>
            </c:spPr>
          </c:dPt>
          <c:dPt>
            <c:idx val="4"/>
            <c:bubble3D val="0"/>
            <c:spPr>
              <a:solidFill>
                <a:schemeClr val="accent5"/>
              </a:solidFill>
              <a:ln w="25400">
                <a:solidFill>
                  <a:schemeClr val="lt1"/>
                </a:solidFill>
              </a:ln>
              <a:effectLst/>
              <a:scene3d>
                <a:camera prst="orthographicFront"/>
                <a:lightRig rig="threePt" dir="t"/>
              </a:scene3d>
              <a:sp3d contourW="25400"/>
            </c:spPr>
          </c:dPt>
          <c:dPt>
            <c:idx val="5"/>
            <c:bubble3D val="0"/>
            <c:spPr>
              <a:solidFill>
                <a:schemeClr val="accent6"/>
              </a:solidFill>
              <a:ln w="25400">
                <a:solidFill>
                  <a:schemeClr val="lt1"/>
                </a:solidFill>
              </a:ln>
              <a:effectLst/>
              <a:scene3d>
                <a:camera prst="orthographicFront"/>
                <a:lightRig rig="threePt" dir="t"/>
              </a:scene3d>
              <a:sp3d contourW="25400"/>
            </c:spPr>
          </c:dPt>
          <c:dPt>
            <c:idx val="6"/>
            <c:bubble3D val="0"/>
            <c:spPr>
              <a:solidFill>
                <a:schemeClr val="accent1">
                  <a:lumMod val="60000"/>
                </a:schemeClr>
              </a:solidFill>
              <a:ln w="25400">
                <a:solidFill>
                  <a:schemeClr val="lt1"/>
                </a:solidFill>
              </a:ln>
              <a:effectLst/>
              <a:scene3d>
                <a:camera prst="orthographicFront"/>
                <a:lightRig rig="threePt" dir="t"/>
              </a:scene3d>
              <a:sp3d contourW="25400"/>
            </c:spPr>
          </c:dPt>
          <c:dPt>
            <c:idx val="7"/>
            <c:bubble3D val="0"/>
            <c:spPr>
              <a:solidFill>
                <a:schemeClr val="accent2">
                  <a:lumMod val="60000"/>
                </a:schemeClr>
              </a:solidFill>
              <a:ln w="25400">
                <a:solidFill>
                  <a:schemeClr val="lt1"/>
                </a:solidFill>
              </a:ln>
              <a:effectLst/>
              <a:scene3d>
                <a:camera prst="orthographicFront"/>
                <a:lightRig rig="threePt" dir="t"/>
              </a:scene3d>
              <a:sp3d contourW="25400"/>
            </c:spPr>
          </c:dPt>
          <c:dLbls>
            <c:delete val="1"/>
          </c:dLbls>
          <c:cat>
            <c:strRef>
              <c:f>'[2020年决算补充表(12.14）签字.xls]Sheet3'!$A$1:$A$8</c:f>
              <c:strCache>
                <c:ptCount val="8"/>
                <c:pt idx="0">
                  <c:v>社会保障和就业（类）</c:v>
                </c:pt>
                <c:pt idx="1">
                  <c:v>卫生健康（类）</c:v>
                </c:pt>
                <c:pt idx="2">
                  <c:v>城乡社区（类）</c:v>
                </c:pt>
                <c:pt idx="3">
                  <c:v>农林水（类）</c:v>
                </c:pt>
                <c:pt idx="4">
                  <c:v>商业服务业等（类）</c:v>
                </c:pt>
                <c:pt idx="5">
                  <c:v>住房保障（类）</c:v>
                </c:pt>
                <c:pt idx="6">
                  <c:v>其他支出（类）</c:v>
                </c:pt>
                <c:pt idx="7">
                  <c:v>抗疫特别国债安排的支出（类）</c:v>
                </c:pt>
              </c:strCache>
            </c:strRef>
          </c:cat>
          <c:val>
            <c:numRef>
              <c:f>'[2020年决算补充表(12.14）签字.xls]Sheet3'!$B$1:$B$8</c:f>
              <c:numCache>
                <c:formatCode>0.00%</c:formatCode>
                <c:ptCount val="8"/>
                <c:pt idx="0">
                  <c:v>0.0056</c:v>
                </c:pt>
                <c:pt idx="1">
                  <c:v>0.0026</c:v>
                </c:pt>
                <c:pt idx="2">
                  <c:v>0.0147</c:v>
                </c:pt>
                <c:pt idx="3">
                  <c:v>0.8813</c:v>
                </c:pt>
                <c:pt idx="4" c:formatCode="0%">
                  <c:v>0.03</c:v>
                </c:pt>
                <c:pt idx="5">
                  <c:v>0.0052</c:v>
                </c:pt>
                <c:pt idx="6" c:formatCode="General">
                  <c:v>0.01</c:v>
                </c:pt>
                <c:pt idx="7">
                  <c:v>0.0605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22330a5-2bb5-4d90-bafb-62e4ac1138b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“三公”经费财政拨款支出结构</a:t>
            </a:r>
          </a:p>
        </c:rich>
      </c:tx>
      <c:layout>
        <c:manualLayout>
          <c:xMode val="edge"/>
          <c:yMode val="edge"/>
          <c:x val="0.195694444444444"/>
          <c:y val="0.0104166666666667"/>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0625068273350198"/>
                  <c:y val="0.11247916666566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0416598393316469"/>
                  <c:y val="0.3426412036978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[2018年决算公开表.xls]Sheet1!$A$1:$A$3</c:f>
              <c:strCache>
                <c:ptCount val="3"/>
                <c:pt idx="0">
                  <c:v>因公出国（境）经费支出</c:v>
                </c:pt>
                <c:pt idx="1">
                  <c:v>公务用车购置及运行维护费支出</c:v>
                </c:pt>
                <c:pt idx="2">
                  <c:v>公务接待费支出</c:v>
                </c:pt>
              </c:strCache>
            </c:strRef>
          </c:cat>
          <c:val>
            <c:numRef>
              <c:f>[2018年决算公开表.xls]Sheet1!$B$1:$B$3</c:f>
              <c:numCache>
                <c:formatCode>General</c:formatCode>
                <c:ptCount val="3"/>
                <c:pt idx="0">
                  <c:v>0</c:v>
                </c:pt>
                <c:pt idx="1">
                  <c:v>0</c:v>
                </c:pt>
                <c:pt idx="2">
                  <c:v>11.06</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extLst>
      <c:ext uri="{0b15fc19-7d7d-44ad-8c2d-2c3a37ce22c3}">
        <chartProps xmlns="https://web.wps.cn/et/2018/main" chartId="{b127e86e-d4ed-4a8c-8c2f-a1a398587e1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73</Pages>
  <Words>21617</Words>
  <Characters>22557</Characters>
  <Lines>38</Lines>
  <Paragraphs>49</Paragraphs>
  <TotalTime>3</TotalTime>
  <ScaleCrop>false</ScaleCrop>
  <LinksUpToDate>false</LinksUpToDate>
  <CharactersWithSpaces>22654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昭化融媒体</cp:lastModifiedBy>
  <cp:lastPrinted>2019-08-01T00:48:00Z</cp:lastPrinted>
  <dcterms:modified xsi:type="dcterms:W3CDTF">2024-12-19T03:12:59Z</dcterms:modified>
  <dc:title>四川省***</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920E130C1F3F4FFAA96981A3EEA41F37</vt:lpwstr>
  </property>
  <property fmtid="{D5CDD505-2E9C-101B-9397-08002B2CF9AE}" pid="4" name="KSOTemplateDocerSaveRecord">
    <vt:lpwstr>eyJoZGlkIjoiMGVhYTg4NGNkZWJkODFjNzcyZDRjM2M4Y2UzNjI5ZmUiLCJ1c2VySWQiOiI2MTE2MzEwMDYifQ==</vt:lpwstr>
  </property>
</Properties>
</file>