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广元市昭化区公路养护段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一、基本职能及主要工作..............................(2</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（一）单位职能简介..................................(2</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（二）单位2024年重点工作...........................(2</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二、部门预算单位构成................................(2</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三、收支预算情况说明................................(2</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（三）一般公共预算当年拨款具体使用情况..............(4</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六、一般公共预算基本支出情况说明....................(4</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  (6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  (7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养护段</w:t>
      </w:r>
      <w:r>
        <w:rPr>
          <w:rFonts w:hint="eastAsia" w:ascii="楷体_GB2312" w:hAnsi="楷体_GB2312" w:eastAsia="楷体_GB2312" w:cs="楷体_GB2312"/>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区</w:t>
      </w:r>
      <w:r>
        <w:rPr>
          <w:rFonts w:hint="eastAsia" w:eastAsia="仿宋_GB2312" w:cs="Times New Roman"/>
          <w:sz w:val="32"/>
          <w:szCs w:val="32"/>
          <w:highlight w:val="none"/>
          <w:lang w:val="en-US" w:eastAsia="zh-CN"/>
        </w:rPr>
        <w:t>养护段</w:t>
      </w:r>
      <w:r>
        <w:rPr>
          <w:rFonts w:hint="default" w:ascii="Times New Roman" w:hAnsi="Times New Roman" w:eastAsia="仿宋_GB2312" w:cs="Times New Roman"/>
          <w:sz w:val="32"/>
          <w:szCs w:val="32"/>
          <w:highlight w:val="none"/>
        </w:rPr>
        <w:t>共有</w:t>
      </w:r>
      <w:r>
        <w:rPr>
          <w:rFonts w:hint="eastAsia" w:ascii="Times New Roman" w:hAnsi="Times New Roman" w:eastAsia="仿宋_GB2312" w:cs="Times New Roman"/>
          <w:sz w:val="32"/>
          <w:szCs w:val="32"/>
          <w:highlight w:val="none"/>
          <w:lang w:val="en-US" w:eastAsia="zh-CN"/>
        </w:rPr>
        <w:t>编制</w:t>
      </w:r>
      <w:r>
        <w:rPr>
          <w:rFonts w:hint="eastAsia" w:eastAsia="仿宋_GB2312" w:cs="Times New Roman"/>
          <w:sz w:val="32"/>
          <w:szCs w:val="32"/>
          <w:highlight w:val="none"/>
          <w:lang w:val="en-US" w:eastAsia="zh-CN"/>
        </w:rPr>
        <w:t>71</w:t>
      </w:r>
      <w:r>
        <w:rPr>
          <w:rFonts w:hint="eastAsia" w:ascii="Times New Roman" w:hAnsi="Times New Roman" w:eastAsia="仿宋_GB2312" w:cs="Times New Roman"/>
          <w:sz w:val="32"/>
          <w:szCs w:val="32"/>
          <w:highlight w:val="none"/>
          <w:lang w:val="en-US" w:eastAsia="zh-CN"/>
        </w:rPr>
        <w:t>名</w:t>
      </w:r>
      <w:r>
        <w:rPr>
          <w:rFonts w:hint="default" w:ascii="Times New Roman" w:hAnsi="Times New Roman" w:eastAsia="仿宋_GB2312" w:cs="Times New Roman"/>
          <w:sz w:val="32"/>
          <w:szCs w:val="32"/>
          <w:highlight w:val="none"/>
        </w:rPr>
        <w:t>，其中：</w:t>
      </w:r>
      <w:r>
        <w:rPr>
          <w:rFonts w:hint="eastAsia" w:eastAsia="仿宋_GB2312" w:cs="Times New Roman"/>
          <w:sz w:val="32"/>
          <w:szCs w:val="32"/>
          <w:highlight w:val="none"/>
          <w:lang w:val="en-US" w:eastAsia="zh-CN"/>
        </w:rPr>
        <w:t>事业</w:t>
      </w:r>
      <w:r>
        <w:rPr>
          <w:rFonts w:hint="default" w:ascii="Times New Roman" w:hAnsi="Times New Roman" w:eastAsia="仿宋_GB2312" w:cs="Times New Roman"/>
          <w:sz w:val="32"/>
          <w:szCs w:val="32"/>
          <w:highlight w:val="none"/>
        </w:rPr>
        <w:t>编制</w:t>
      </w:r>
      <w:r>
        <w:rPr>
          <w:rFonts w:hint="eastAsia" w:eastAsia="仿宋_GB2312" w:cs="Times New Roman"/>
          <w:sz w:val="32"/>
          <w:szCs w:val="32"/>
          <w:highlight w:val="none"/>
          <w:lang w:val="en-US" w:eastAsia="zh-CN"/>
        </w:rPr>
        <w:t>71</w:t>
      </w:r>
      <w:r>
        <w:rPr>
          <w:rFonts w:hint="eastAsia" w:ascii="Times New Roman" w:hAnsi="Times New Roman" w:eastAsia="仿宋_GB2312" w:cs="Times New Roman"/>
          <w:sz w:val="32"/>
          <w:szCs w:val="32"/>
          <w:highlight w:val="none"/>
          <w:lang w:val="en-US" w:eastAsia="zh-CN"/>
        </w:rPr>
        <w:t>名</w:t>
      </w:r>
      <w:r>
        <w:rPr>
          <w:rFonts w:hint="default" w:ascii="Times New Roman" w:hAnsi="Times New Roman" w:eastAsia="仿宋_GB2312" w:cs="Times New Roman"/>
          <w:sz w:val="32"/>
          <w:szCs w:val="32"/>
          <w:highlight w:val="none"/>
        </w:rPr>
        <w:t>，其他事业编制</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val="en-US" w:eastAsia="zh-CN"/>
        </w:rPr>
        <w:t>名</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年预算实有在职编制内</w:t>
      </w:r>
      <w:r>
        <w:rPr>
          <w:rFonts w:hint="default" w:ascii="Times New Roman" w:hAnsi="Times New Roman" w:eastAsia="仿宋_GB2312" w:cs="Times New Roman"/>
          <w:color w:val="auto"/>
          <w:sz w:val="32"/>
          <w:szCs w:val="32"/>
          <w:highlight w:val="none"/>
        </w:rPr>
        <w:t>人员</w:t>
      </w:r>
      <w:r>
        <w:rPr>
          <w:rFonts w:hint="eastAsia"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rPr>
        <w:t>人，其中：</w:t>
      </w:r>
      <w:r>
        <w:rPr>
          <w:rFonts w:hint="eastAsia" w:eastAsia="仿宋_GB2312" w:cs="Times New Roman"/>
          <w:color w:val="auto"/>
          <w:sz w:val="32"/>
          <w:szCs w:val="32"/>
          <w:highlight w:val="none"/>
          <w:lang w:val="en-US" w:eastAsia="zh-CN"/>
        </w:rPr>
        <w:t>事业</w:t>
      </w:r>
      <w:r>
        <w:rPr>
          <w:rFonts w:hint="default" w:ascii="Times New Roman" w:hAnsi="Times New Roman" w:eastAsia="仿宋_GB2312" w:cs="Times New Roman"/>
          <w:color w:val="auto"/>
          <w:sz w:val="32"/>
          <w:szCs w:val="32"/>
          <w:highlight w:val="none"/>
        </w:rPr>
        <w:t>人员</w:t>
      </w:r>
      <w:r>
        <w:rPr>
          <w:rFonts w:hint="eastAsia"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退休人员</w:t>
      </w:r>
      <w:r>
        <w:rPr>
          <w:rFonts w:hint="eastAsia" w:eastAsia="仿宋_GB2312" w:cs="Times New Roman"/>
          <w:sz w:val="32"/>
          <w:szCs w:val="32"/>
          <w:highlight w:val="none"/>
          <w:lang w:val="en-US" w:eastAsia="zh-CN"/>
        </w:rPr>
        <w:t>116</w:t>
      </w:r>
      <w:r>
        <w:rPr>
          <w:rFonts w:hint="default" w:ascii="Times New Roman" w:hAnsi="Times New Roman" w:eastAsia="仿宋_GB2312" w:cs="Times New Roman"/>
          <w:sz w:val="32"/>
          <w:szCs w:val="32"/>
          <w:highlight w:val="none"/>
          <w:lang w:val="en-US" w:eastAsia="zh-CN"/>
        </w:rPr>
        <w:t>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固定资产总额</w:t>
      </w:r>
      <w:r>
        <w:rPr>
          <w:rFonts w:hint="eastAsia" w:eastAsia="仿宋_GB2312" w:cs="Times New Roman"/>
          <w:sz w:val="32"/>
          <w:szCs w:val="32"/>
          <w:highlight w:val="none"/>
          <w:lang w:val="en-US" w:eastAsia="zh-CN"/>
        </w:rPr>
        <w:t>860</w:t>
      </w:r>
      <w:r>
        <w:rPr>
          <w:rFonts w:hint="eastAsia" w:ascii="Times New Roman" w:hAnsi="Times New Roman" w:eastAsia="仿宋_GB2312" w:cs="Times New Roman"/>
          <w:sz w:val="32"/>
          <w:szCs w:val="32"/>
          <w:highlight w:val="none"/>
          <w:lang w:val="en-US" w:eastAsia="zh-CN"/>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养护段</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pStyle w:val="6"/>
        <w:widowControl/>
        <w:shd w:val="clear" w:color="auto" w:fill="FFFFFF"/>
        <w:spacing w:before="0" w:beforeAutospacing="0" w:after="0" w:afterAutospacing="0"/>
        <w:ind w:firstLine="480" w:firstLineChars="200"/>
        <w:jc w:val="both"/>
        <w:rPr>
          <w:rFonts w:ascii="仿宋" w:hAnsi="仿宋" w:eastAsia="仿宋" w:cs="仿宋"/>
          <w:color w:val="000000"/>
          <w:sz w:val="32"/>
          <w:szCs w:val="32"/>
        </w:rPr>
      </w:pPr>
      <w:r>
        <w:rPr>
          <w:rFonts w:hint="eastAsia"/>
          <w:lang w:val="en-US" w:eastAsia="zh-CN"/>
        </w:rPr>
        <w:t xml:space="preserve">  </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.国道</w:t>
      </w:r>
      <w:r>
        <w:rPr>
          <w:rFonts w:ascii="仿宋" w:hAnsi="仿宋" w:eastAsia="仿宋" w:cs="仿宋"/>
          <w:color w:val="000000"/>
          <w:sz w:val="32"/>
          <w:szCs w:val="32"/>
          <w:shd w:val="clear" w:color="auto" w:fill="FFFFFF"/>
        </w:rPr>
        <w:t>212</w:t>
      </w:r>
      <w:r>
        <w:rPr>
          <w:rFonts w:hint="eastAsia" w:ascii="仿宋" w:hAnsi="仿宋" w:eastAsia="仿宋" w:cs="仿宋"/>
          <w:color w:val="000000"/>
          <w:sz w:val="32"/>
          <w:szCs w:val="32"/>
          <w:shd w:val="clear" w:color="auto" w:fill="FFFFFF"/>
        </w:rPr>
        <w:t>线、</w:t>
      </w:r>
      <w:r>
        <w:rPr>
          <w:rFonts w:ascii="仿宋" w:hAnsi="仿宋" w:eastAsia="仿宋" w:cs="仿宋"/>
          <w:color w:val="000000"/>
          <w:sz w:val="32"/>
          <w:szCs w:val="32"/>
          <w:shd w:val="clear" w:color="auto" w:fill="FFFFFF"/>
        </w:rPr>
        <w:t>542</w:t>
      </w:r>
      <w:r>
        <w:rPr>
          <w:rFonts w:hint="eastAsia" w:ascii="仿宋" w:hAnsi="仿宋" w:eastAsia="仿宋" w:cs="仿宋"/>
          <w:color w:val="000000"/>
          <w:sz w:val="32"/>
          <w:szCs w:val="32"/>
          <w:shd w:val="clear" w:color="auto" w:fill="FFFFFF"/>
        </w:rPr>
        <w:t>线省道</w:t>
      </w:r>
      <w:r>
        <w:rPr>
          <w:rFonts w:ascii="仿宋" w:hAnsi="仿宋" w:eastAsia="仿宋" w:cs="仿宋"/>
          <w:color w:val="000000"/>
          <w:sz w:val="32"/>
          <w:szCs w:val="32"/>
          <w:shd w:val="clear" w:color="auto" w:fill="FFFFFF"/>
        </w:rPr>
        <w:t>205</w:t>
      </w:r>
      <w:r>
        <w:rPr>
          <w:rFonts w:hint="eastAsia" w:ascii="仿宋" w:hAnsi="仿宋" w:eastAsia="仿宋" w:cs="仿宋"/>
          <w:color w:val="000000"/>
          <w:sz w:val="32"/>
          <w:szCs w:val="32"/>
          <w:shd w:val="clear" w:color="auto" w:fill="FFFFFF"/>
        </w:rPr>
        <w:t>线的日常养护及大、中、小修、水毁修复。</w:t>
      </w:r>
    </w:p>
    <w:p>
      <w:pPr>
        <w:pStyle w:val="6"/>
        <w:widowControl/>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.全区所有县、乡道路</w:t>
      </w:r>
      <w:r>
        <w:rPr>
          <w:rFonts w:ascii="仿宋" w:hAnsi="仿宋" w:eastAsia="仿宋" w:cs="仿宋"/>
          <w:color w:val="000000"/>
          <w:sz w:val="32"/>
          <w:szCs w:val="32"/>
          <w:shd w:val="clear" w:color="auto" w:fill="FFFFFF"/>
        </w:rPr>
        <w:t>729.4</w:t>
      </w:r>
      <w:r>
        <w:rPr>
          <w:rFonts w:hint="eastAsia" w:ascii="仿宋" w:hAnsi="仿宋" w:eastAsia="仿宋" w:cs="仿宋"/>
          <w:color w:val="000000"/>
          <w:sz w:val="32"/>
          <w:szCs w:val="32"/>
          <w:shd w:val="clear" w:color="auto" w:fill="FFFFFF"/>
        </w:rPr>
        <w:t>公里日常养护及大、中、小修、水毁修复。</w:t>
      </w:r>
    </w:p>
    <w:p>
      <w:pPr>
        <w:pStyle w:val="6"/>
        <w:widowControl/>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.全区通村公路</w:t>
      </w:r>
      <w:r>
        <w:rPr>
          <w:rFonts w:ascii="仿宋" w:hAnsi="仿宋" w:eastAsia="仿宋" w:cs="仿宋"/>
          <w:color w:val="000000"/>
          <w:sz w:val="32"/>
          <w:szCs w:val="32"/>
          <w:shd w:val="clear" w:color="auto" w:fill="FFFFFF"/>
        </w:rPr>
        <w:t>1800</w:t>
      </w:r>
      <w:r>
        <w:rPr>
          <w:rFonts w:hint="eastAsia" w:ascii="仿宋" w:hAnsi="仿宋" w:eastAsia="仿宋" w:cs="仿宋"/>
          <w:color w:val="000000"/>
          <w:sz w:val="32"/>
          <w:szCs w:val="32"/>
          <w:shd w:val="clear" w:color="auto" w:fill="FFFFFF"/>
        </w:rPr>
        <w:t>公里养护管理和技术指导。</w:t>
      </w:r>
    </w:p>
    <w:p>
      <w:pPr>
        <w:snapToGrid w:val="0"/>
        <w:spacing w:line="520" w:lineRule="exact"/>
        <w:ind w:firstLine="640" w:firstLineChars="200"/>
        <w:rPr>
          <w:rFonts w:ascii="仿宋_GB2312" w:hAnsi="仿宋" w:eastAsia="仿宋_GB2312"/>
          <w:sz w:val="32"/>
          <w:szCs w:val="32"/>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.负责全区国，省，县，乡道路的抢险保通。</w:t>
      </w:r>
    </w:p>
    <w:p>
      <w:pPr>
        <w:pStyle w:val="11"/>
        <w:numPr>
          <w:ilvl w:val="0"/>
          <w:numId w:val="0"/>
        </w:numPr>
        <w:rPr>
          <w:rFonts w:hint="default" w:eastAsia="仿宋"/>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我单位一级预算单位，本单位无下属机构，设有内设机构1个。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养护段所有收入和支出均纳入部门预算管理。收入包括：一般公共预算拨款收入、政府性基金预算拨款收入、事业收入、其他收入、上年结转支出包括：一般公共服务支出、教育支出、社会保障和就业支出、卫生健康支出、住房保障支出养护段2024年收支预算总数1599.79万元,比2023年收支预算总数增加52.15万元，主要原因是增加了临聘人员工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0000FF"/>
          <w:sz w:val="32"/>
          <w:szCs w:val="32"/>
          <w:lang w:val="en-US" w:eastAsia="zh-CN"/>
        </w:rPr>
      </w:pPr>
      <w:r>
        <w:rPr>
          <w:rFonts w:hint="eastAsia" w:ascii="仿宋_GB2312" w:hAnsi="仿宋_GB2312" w:eastAsia="仿宋_GB2312" w:cs="仿宋_GB2312"/>
          <w:sz w:val="32"/>
          <w:szCs w:val="32"/>
          <w:lang w:val="en-US" w:eastAsia="zh-CN"/>
        </w:rPr>
        <w:t>养护段2024年收入预算1599.79万元，其中：一般公共预算拨款收入1599.79万元，</w:t>
      </w:r>
      <w:r>
        <w:rPr>
          <w:rFonts w:hint="eastAsia" w:ascii="仿宋_GB2312" w:hAnsi="仿宋_GB2312" w:eastAsia="仿宋_GB2312" w:cs="仿宋_GB2312"/>
          <w:color w:val="auto"/>
          <w:sz w:val="32"/>
          <w:szCs w:val="32"/>
          <w:lang w:val="en-US" w:eastAsia="zh-CN"/>
        </w:rPr>
        <w:t>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养护段2024年支出预算1599.79万元，其中：基本支出1077.28万元，占68%；项目支出522.51万元，占32%</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养护段2024年财政拨款收支预算总数1599.79万元,比2023年财政拨款收支预算总数增加52.15万元，主要原因是增加了临聘人员工资。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收入包括：本年一般公共预算拨款收入1599.79万元；支出包括：交通运输支出1180.29万元、社会保障和就业支出320.82万元、卫生健康支出31.42万元、住房保障支出67.26万元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养护段2024年一般公共预算当年拨款1599.79万元，比2023年预算数增加52.15万元，主要原因是增加了临聘人员工资。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交通运输支出1180.29万元，占73%；社会保障和就业支出320.82万元，占20%；卫生健康支出31.42万元，占2%；住房保障支出67.26万元，占5%。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社会保障和就业（类）行政事业单位养老支出（款）机关事业单位基本养老保险缴费支出（项）2024年预算数为89.68万元，主要用于：实施养老保险制度由单位缴纳的基本养老保险支出。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2卫生健康（类）行政事业单位医疗（款）事业单位医疗（项）2024年预算数为31.42万元，主要用于：事业单位按规定由单位缴纳的基本医疗保险支出。</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住房保障（类）住房改革支出（款）住房公积金（项）2024年预算数为67.26万元，主要用于：部门按规定为职工缴纳的住房公积金支出。</w:t>
      </w:r>
    </w:p>
    <w:p>
      <w:pPr>
        <w:pStyle w:val="11"/>
        <w:numPr>
          <w:ilvl w:val="0"/>
          <w:numId w:val="2"/>
        </w:numPr>
        <w:ind w:left="0" w:leftChars="0" w:firstLine="640" w:firstLineChars="200"/>
        <w:rPr>
          <w:rFonts w:hint="eastAsia" w:ascii="仿宋_GB2312" w:hAnsi="仿宋_GB2312" w:eastAsia="仿宋_GB2312" w:cs="仿宋_GB2312"/>
          <w:sz w:val="32"/>
          <w:szCs w:val="32"/>
          <w:lang w:val="en-US" w:eastAsia="zh-CN"/>
        </w:rPr>
      </w:pPr>
      <w:r>
        <w:rPr>
          <w:rFonts w:hint="eastAsia"/>
          <w:sz w:val="32"/>
          <w:szCs w:val="32"/>
          <w:lang w:val="en-US" w:eastAsia="zh-CN"/>
        </w:rPr>
        <w:t>交通运输支出</w:t>
      </w:r>
      <w:r>
        <w:rPr>
          <w:rFonts w:hint="eastAsia" w:ascii="仿宋_GB2312" w:hAnsi="仿宋_GB2312" w:eastAsia="仿宋_GB2312" w:cs="仿宋_GB2312"/>
          <w:sz w:val="32"/>
          <w:szCs w:val="32"/>
          <w:lang w:val="en-US" w:eastAsia="zh-CN"/>
        </w:rPr>
        <w:t>2024年预算数为1180.29万元，主要用于：部门按规定支出其他运转类项目及工资。</w:t>
      </w:r>
    </w:p>
    <w:p>
      <w:pPr>
        <w:pStyle w:val="11"/>
        <w:numPr>
          <w:ilvl w:val="0"/>
          <w:numId w:val="2"/>
        </w:num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社会保障和就业（类）行政事业单位养老支出（款）事业单位离退休（项）2024年预算数为228万元，主要用于：事业单位离退休人员经费支出。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6.社会保障和就业（类）行政事业单位失业，工伤保险（款）机关事业单位失业，工伤保险缴费支出（项）2024年预算数为3.14万元，主要用于：实施失业，工伤保险制度由单位缴纳的失业，工伤保险支出。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养护段2024年一般公共预算基本支出1599.79万元，其中：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人员经费993.29万元，主要包括：</w:t>
      </w:r>
      <w:r>
        <w:rPr>
          <w:rFonts w:hint="eastAsia" w:ascii="仿宋_GB2312" w:hAnsi="仿宋_GB2312" w:eastAsia="仿宋_GB2312" w:cs="仿宋_GB2312"/>
          <w:color w:val="auto"/>
          <w:sz w:val="32"/>
          <w:szCs w:val="32"/>
          <w:lang w:val="en-US" w:eastAsia="zh-CN"/>
        </w:rPr>
        <w:t>基本工资、津贴补贴、其他地方性补贴、绩效工资、基础绩效奖、机关失业单位基本养老保险、职工基本医疗保险、其他社会保障缴费、失业保险、工伤保险、住房公积金、离退休人员目标奖、抚恤金支出。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公用经费84万元，主要包括：办公费、印刷费、水费、电费、邮电费、差旅费、培训费、公务接待费、工会经费、公务用车运行维护费、其他商品和服务支出。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养护段2024年“三公”经费财政拨款预算数1599.79万元，其中：公务接待费0.5万元，公务用车购置及运行维护费10万元，因公出国（境）经费0万元。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公务接待费与2023年预算相比持平，2024年公务接待费计划用于执行接待考察调研、检查指导等公务活动开支的交通费、住宿费、用餐费等。</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公务用车购置及运行维护费与2023年预算下降1万，主要原因是厉行节约。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单位现有公务用车1辆。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2024年安排公务用车运行维护费10万元，用于1辆公务用车燃油、过路（桥）、维修、保险等方面支出，主要保障日常工作的路况巡查等工作。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因公出国（境）经费与2022年预算相比持平。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养护段2024年无政府性基金预算拨款安排的支出。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养护段2024年无国有资本经营预算拨款安排的支出。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2024年，养护段事业单位的机关运行经费财政拨款预算为0万元，比2023年预算增加（减少）0万元，增长（下降）0%。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2024年，本单位安排政府采购预算716万元，其中：政府采购货物预算716万元。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截至2023年底，养护段共有车辆1辆，其中，保障用车1辆。</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单位价值200万元以上大型设备1台（套））。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安排车辆购置经费0万元。其中，财政拨款预算安排0万元，非财政拨款安排0万元。拟购置定向保障用车0车辆、执法执勤用车0辆。安排大型设备购置经费0万元（或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2024年养护段开展绩效目标管理的项目4个，涉及预算522万元。其中：人员类项目2个，涉及预算38.16万元；运转类项目4个，涉及预算522万元；特定目标类项目0个，涉及预算0万元。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lang w:val="en-US" w:eastAsia="zh-CN"/>
        </w:rPr>
        <w:t>（二）事业收入：</w:t>
      </w:r>
      <w:r>
        <w:rPr>
          <w:rFonts w:hint="eastAsia" w:ascii="仿宋_GB2312" w:hAnsi="仿宋_GB2312" w:eastAsia="仿宋_GB2312" w:cs="仿宋_GB2312"/>
          <w:sz w:val="32"/>
          <w:szCs w:val="32"/>
          <w:lang w:val="en-US" w:eastAsia="zh-CN"/>
        </w:rPr>
        <w:t>指事业单位开展专业业务活动及辅助活动所取得的收入。主要为学校根据国家有关部门批准的项目和标准收取的学费、住宿费等（或医院收取的医疗收入）。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（三）其他收入：</w:t>
      </w:r>
      <w:r>
        <w:rPr>
          <w:rFonts w:hint="eastAsia" w:ascii="仿宋_GB2312" w:hAnsi="仿宋_GB2312" w:eastAsia="仿宋_GB2312" w:cs="仿宋_GB2312"/>
          <w:sz w:val="32"/>
          <w:szCs w:val="32"/>
          <w:lang w:val="en-US" w:eastAsia="zh-CN"/>
        </w:rPr>
        <w:t>指除上述“一般公共预算拨款收入” “事业收入”等以外的收入。如银行存款利息收入、社会考试服务收入、校企合作收入、课时收入等。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（四）上年结转：</w:t>
      </w:r>
      <w:r>
        <w:rPr>
          <w:rFonts w:hint="eastAsia" w:ascii="仿宋_GB2312" w:hAnsi="仿宋_GB2312" w:eastAsia="仿宋_GB2312" w:cs="仿宋_GB2312"/>
          <w:sz w:val="32"/>
          <w:szCs w:val="32"/>
          <w:lang w:val="en-US" w:eastAsia="zh-CN"/>
        </w:rPr>
        <w:t>指以前年度尚未完成，结转到本年仍按原规定用途继续使用的资金。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（六）卫生健康（类）行政事业单位医疗（款）行政单位医疗（项）：</w:t>
      </w:r>
      <w:r>
        <w:rPr>
          <w:rFonts w:hint="eastAsia" w:ascii="仿宋_GB2312" w:hAnsi="仿宋_GB2312" w:eastAsia="仿宋_GB2312" w:cs="仿宋_GB2312"/>
          <w:sz w:val="32"/>
          <w:szCs w:val="32"/>
          <w:lang w:val="en-US" w:eastAsia="zh-CN"/>
        </w:rPr>
        <w:t>指机关单位用于单位应缴纳基本医疗保险支出。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（八）住房保障（类）住房改革支出（款）住房公积金（项）：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（十一）“三公”经费：</w:t>
      </w:r>
      <w:r>
        <w:rPr>
          <w:rFonts w:hint="eastAsia" w:ascii="仿宋_GB2312" w:hAnsi="仿宋_GB2312" w:eastAsia="仿宋_GB2312" w:cs="仿宋_GB2312"/>
          <w:sz w:val="32"/>
          <w:szCs w:val="32"/>
          <w:lang w:val="en-US" w:eastAsia="zh-CN"/>
        </w:rPr>
        <w:t>纳入区级财政预算管理的“三公”经费，是指部门用财政拨款安排的公务接待费。公务接待费反映单位按规定开支的各类公务接待（含外宾接待）支出。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（十二）交通运输支出：</w:t>
      </w:r>
      <w:r>
        <w:rPr>
          <w:rFonts w:hint="eastAsia" w:ascii="仿宋_GB2312" w:hAnsi="仿宋_GB2312" w:eastAsia="仿宋_GB2312" w:cs="仿宋_GB2312"/>
          <w:sz w:val="32"/>
          <w:szCs w:val="32"/>
          <w:lang w:val="en-US" w:eastAsia="zh-CN"/>
        </w:rPr>
        <w:t>为保障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802A43"/>
    <w:multiLevelType w:val="singleLevel"/>
    <w:tmpl w:val="9A802A43"/>
    <w:lvl w:ilvl="0" w:tentative="0">
      <w:start w:val="3"/>
      <w:numFmt w:val="decimal"/>
      <w:lvlText w:val="%1."/>
      <w:lvlJc w:val="left"/>
      <w:pPr>
        <w:tabs>
          <w:tab w:val="left" w:pos="312"/>
        </w:tabs>
      </w:pPr>
    </w:lvl>
  </w:abstractNum>
  <w:abstractNum w:abstractNumId="1">
    <w:nsid w:val="0FFFFC42"/>
    <w:multiLevelType w:val="singleLevel"/>
    <w:tmpl w:val="0FFFFC42"/>
    <w:lvl w:ilvl="0" w:tentative="0">
      <w:start w:val="2"/>
      <w:numFmt w:val="chineseCounting"/>
      <w:suff w:val="nothing"/>
      <w:lvlText w:val="（%1）"/>
      <w:lvlJc w:val="left"/>
      <w:rPr>
        <w:rFonts w:hint="eastAsia"/>
      </w:rPr>
    </w:lvl>
  </w:abstractNum>
  <w:abstractNum w:abstractNumId="2">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3">
    <w:nsid w:val="5BFCE1D6"/>
    <w:multiLevelType w:val="singleLevel"/>
    <w:tmpl w:val="5BFCE1D6"/>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MjhjNDMxMTM1Y2ZkZGVkNzVlYzhiMjczNzIzNDIifQ=="/>
  </w:docVars>
  <w:rsids>
    <w:rsidRoot w:val="31695B2D"/>
    <w:rsid w:val="08F30676"/>
    <w:rsid w:val="0CBB4B8B"/>
    <w:rsid w:val="0DA23133"/>
    <w:rsid w:val="0E0934BF"/>
    <w:rsid w:val="10D467A4"/>
    <w:rsid w:val="170B4D43"/>
    <w:rsid w:val="17306175"/>
    <w:rsid w:val="17C42948"/>
    <w:rsid w:val="193F08F1"/>
    <w:rsid w:val="2B9B5E5B"/>
    <w:rsid w:val="2F686E4D"/>
    <w:rsid w:val="31695B2D"/>
    <w:rsid w:val="34835C10"/>
    <w:rsid w:val="36343134"/>
    <w:rsid w:val="37E46F2B"/>
    <w:rsid w:val="3CA803D8"/>
    <w:rsid w:val="43BA2B37"/>
    <w:rsid w:val="45246C20"/>
    <w:rsid w:val="48670115"/>
    <w:rsid w:val="4AA85A47"/>
    <w:rsid w:val="4E1F4272"/>
    <w:rsid w:val="51B03B5F"/>
    <w:rsid w:val="53966D85"/>
    <w:rsid w:val="54CC677E"/>
    <w:rsid w:val="56272D9A"/>
    <w:rsid w:val="5BB57FC4"/>
    <w:rsid w:val="603D6742"/>
    <w:rsid w:val="64E81E4D"/>
    <w:rsid w:val="66356F3C"/>
    <w:rsid w:val="78B1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jc w:val="center"/>
      <w:outlineLvl w:val="0"/>
    </w:pPr>
    <w:rPr>
      <w:rFonts w:ascii="Times New Roman" w:hAnsi="Times New Roman" w:eastAsia="宋体" w:cs="Times New Roman"/>
      <w:b/>
      <w:bCs/>
      <w:kern w:val="44"/>
      <w:sz w:val="44"/>
      <w:szCs w:val="44"/>
    </w:rPr>
  </w:style>
  <w:style w:type="paragraph" w:styleId="3">
    <w:name w:val="heading 2"/>
    <w:basedOn w:val="1"/>
    <w:next w:val="1"/>
    <w:link w:val="10"/>
    <w:unhideWhenUsed/>
    <w:qFormat/>
    <w:uiPriority w:val="0"/>
    <w:pPr>
      <w:keepNext/>
      <w:keepLines/>
      <w:spacing w:before="260" w:after="260" w:line="416" w:lineRule="auto"/>
      <w:jc w:val="left"/>
      <w:outlineLvl w:val="1"/>
    </w:pPr>
    <w:rPr>
      <w:rFonts w:eastAsia="黑体" w:asciiTheme="majorAscii" w:hAnsiTheme="majorAscii" w:cstheme="majorBidi"/>
      <w:b/>
      <w:bCs/>
      <w:sz w:val="32"/>
      <w:szCs w:val="32"/>
    </w:rPr>
  </w:style>
  <w:style w:type="character" w:default="1" w:styleId="7">
    <w:name w:val="Default Paragraph Font"/>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qFormat/>
    <w:uiPriority w:val="0"/>
    <w:rPr>
      <w:rFonts w:ascii="宋体"/>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rPr>
      <w:sz w:val="24"/>
    </w:rPr>
  </w:style>
  <w:style w:type="character" w:customStyle="1" w:styleId="9">
    <w:name w:val="标题 1 Char"/>
    <w:basedOn w:val="7"/>
    <w:link w:val="2"/>
    <w:qFormat/>
    <w:uiPriority w:val="9"/>
    <w:rPr>
      <w:rFonts w:ascii="Times New Roman" w:hAnsi="Times New Roman" w:eastAsia="宋体" w:cs="Times New Roman"/>
      <w:b/>
      <w:bCs/>
      <w:kern w:val="44"/>
      <w:sz w:val="44"/>
      <w:szCs w:val="44"/>
    </w:rPr>
  </w:style>
  <w:style w:type="character" w:customStyle="1" w:styleId="10">
    <w:name w:val=" Char Char5"/>
    <w:basedOn w:val="7"/>
    <w:link w:val="3"/>
    <w:qFormat/>
    <w:locked/>
    <w:uiPriority w:val="9"/>
    <w:rPr>
      <w:rFonts w:eastAsia="黑体" w:cs="宋体" w:asciiTheme="majorAscii" w:hAnsiTheme="majorAscii"/>
      <w:b/>
      <w:bCs/>
      <w:kern w:val="2"/>
      <w:sz w:val="32"/>
      <w:szCs w:val="32"/>
    </w:rPr>
  </w:style>
  <w:style w:type="paragraph" w:customStyle="1" w:styleId="1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2">
    <w:name w:val="font21"/>
    <w:basedOn w:val="7"/>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2024-03-14T03:00:00Z</dcterms:created>
  <dc:creator>Administrator</dc:creator>
  <cp:lastModifiedBy>区级部门:区交通运输局</cp:lastModifiedBy>
  <dcterms:modified xsi:type="dcterms:W3CDTF">2024-04-09T07:44:03Z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ICV">
    <vt:lpwstr>7516AB3689CA435CBCF8C63A8D9B5E08_13</vt:lpwstr>
  </property>
</Properties>
</file>