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20" w:line="740" w:lineRule="exact"/>
        <w:jc w:val="both"/>
        <w:rPr>
          <w:rFonts w:hint="eastAsia" w:ascii="宋体" w:hAnsi="宋体" w:eastAsia="宋体"/>
          <w:color w:val="000000"/>
          <w:sz w:val="56"/>
        </w:rPr>
      </w:pPr>
    </w:p>
    <w:p>
      <w:pPr>
        <w:spacing w:after="720" w:line="740" w:lineRule="exact"/>
        <w:jc w:val="center"/>
        <w:rPr>
          <w:rFonts w:hint="eastAsia" w:ascii="宋体" w:hAnsi="宋体" w:eastAsia="宋体"/>
          <w:color w:val="000000"/>
          <w:sz w:val="56"/>
        </w:rPr>
      </w:pPr>
    </w:p>
    <w:p>
      <w:pPr>
        <w:spacing w:after="720" w:line="740" w:lineRule="exact"/>
        <w:jc w:val="center"/>
        <w:rPr>
          <w:sz w:val="66"/>
          <w:szCs w:val="66"/>
        </w:rPr>
      </w:pPr>
      <w:r>
        <w:rPr>
          <w:rFonts w:hint="eastAsia" w:ascii="宋体" w:hAnsi="宋体" w:eastAsia="宋体"/>
          <w:color w:val="000000"/>
          <w:sz w:val="66"/>
          <w:szCs w:val="66"/>
        </w:rPr>
        <w:t>2020年度</w:t>
      </w:r>
    </w:p>
    <w:p>
      <w:pPr>
        <w:spacing w:after="160" w:line="920" w:lineRule="exact"/>
        <w:ind w:firstLine="0"/>
        <w:jc w:val="both"/>
        <w:rPr>
          <w:sz w:val="66"/>
          <w:szCs w:val="66"/>
        </w:rPr>
      </w:pPr>
      <w:r>
        <w:rPr>
          <w:rFonts w:hint="eastAsia" w:ascii="宋体" w:hAnsi="宋体" w:eastAsia="宋体"/>
          <w:color w:val="000000"/>
          <w:sz w:val="66"/>
          <w:szCs w:val="66"/>
        </w:rPr>
        <w:t>广元市昭化区公路运输管理所</w:t>
      </w:r>
    </w:p>
    <w:p>
      <w:pPr>
        <w:spacing w:line="920" w:lineRule="exact"/>
        <w:jc w:val="center"/>
        <w:rPr>
          <w:rFonts w:hint="eastAsia" w:ascii="宋体" w:hAnsi="宋体" w:eastAsia="宋体"/>
          <w:color w:val="000000"/>
          <w:sz w:val="66"/>
          <w:szCs w:val="66"/>
        </w:rPr>
      </w:pPr>
      <w:r>
        <w:rPr>
          <w:rFonts w:hint="eastAsia" w:ascii="宋体" w:hAnsi="宋体" w:eastAsia="宋体"/>
          <w:color w:val="000000"/>
          <w:sz w:val="66"/>
          <w:szCs w:val="66"/>
        </w:rPr>
        <w:t>部门决算</w:t>
      </w:r>
    </w:p>
    <w:p>
      <w:pPr>
        <w:spacing w:line="920" w:lineRule="exact"/>
        <w:jc w:val="center"/>
        <w:rPr>
          <w:rFonts w:hint="eastAsia" w:ascii="宋体" w:hAnsi="宋体" w:eastAsia="宋体"/>
          <w:color w:val="000000"/>
          <w:sz w:val="70"/>
        </w:rPr>
      </w:pPr>
    </w:p>
    <w:p>
      <w:pPr>
        <w:spacing w:line="920" w:lineRule="exact"/>
        <w:jc w:val="center"/>
        <w:rPr>
          <w:rFonts w:hint="eastAsia" w:ascii="宋体" w:hAnsi="宋体" w:eastAsia="宋体"/>
          <w:color w:val="000000"/>
          <w:sz w:val="70"/>
        </w:rPr>
      </w:pPr>
    </w:p>
    <w:p>
      <w:pPr>
        <w:spacing w:line="920" w:lineRule="exact"/>
        <w:jc w:val="center"/>
        <w:rPr>
          <w:rFonts w:hint="eastAsia" w:ascii="宋体" w:hAnsi="宋体" w:eastAsia="宋体"/>
          <w:color w:val="000000"/>
          <w:sz w:val="70"/>
        </w:rPr>
      </w:pPr>
    </w:p>
    <w:p>
      <w:pPr>
        <w:spacing w:line="920" w:lineRule="exact"/>
        <w:jc w:val="center"/>
        <w:rPr>
          <w:rFonts w:hint="eastAsia" w:ascii="宋体" w:hAnsi="宋体" w:eastAsia="宋体"/>
          <w:color w:val="000000"/>
          <w:sz w:val="70"/>
        </w:rPr>
      </w:pPr>
    </w:p>
    <w:p>
      <w:pPr>
        <w:spacing w:line="920" w:lineRule="exact"/>
        <w:jc w:val="center"/>
        <w:rPr>
          <w:rFonts w:hint="eastAsia" w:ascii="宋体" w:hAnsi="宋体" w:eastAsia="宋体"/>
          <w:color w:val="000000"/>
          <w:sz w:val="70"/>
        </w:rPr>
      </w:pPr>
    </w:p>
    <w:p>
      <w:pPr>
        <w:spacing w:line="920" w:lineRule="exact"/>
        <w:jc w:val="both"/>
        <w:rPr>
          <w:rFonts w:hint="eastAsia" w:ascii="宋体" w:hAnsi="宋体" w:eastAsia="宋体"/>
          <w:color w:val="000000"/>
          <w:sz w:val="70"/>
        </w:rPr>
        <w:sectPr>
          <w:footerReference r:id="rId4" w:type="first"/>
          <w:footerReference r:id="rId3" w:type="default"/>
          <w:type w:val="continuous"/>
          <w:pgSz w:w="11900" w:h="16840"/>
          <w:pgMar w:top="2098" w:right="1417" w:bottom="1984" w:left="1587" w:header="850" w:footer="1417" w:gutter="0"/>
          <w:cols w:space="0" w:num="1"/>
          <w:titlePg/>
          <w:rtlGutter w:val="0"/>
          <w:docGrid w:type="linesAndChars" w:linePitch="579" w:charSpace="-639"/>
        </w:sectPr>
      </w:pPr>
    </w:p>
    <w:p>
      <w:pPr>
        <w:spacing w:line="560" w:lineRule="exact"/>
        <w:ind w:firstLine="3520" w:firstLineChars="800"/>
        <w:jc w:val="both"/>
        <w:rPr>
          <w:sz w:val="44"/>
          <w:szCs w:val="44"/>
        </w:rPr>
        <w:sectPr>
          <w:footerReference r:id="rId5" w:type="default"/>
          <w:pgSz w:w="11900" w:h="16840"/>
          <w:pgMar w:top="1420" w:right="1640" w:bottom="1420" w:left="1640" w:header="0" w:footer="1420" w:gutter="0"/>
          <w:pgNumType w:start="1"/>
          <w:cols w:equalWidth="0" w:num="2">
            <w:col w:w="7320" w:space="100"/>
            <w:col w:w="1120"/>
          </w:cols>
          <w:docGrid w:type="lines" w:linePitch="312" w:charSpace="0"/>
        </w:sectPr>
      </w:pPr>
      <w:r>
        <w:rPr>
          <w:rFonts w:hint="eastAsia" w:ascii="宋体" w:hAnsi="宋体" w:eastAsia="宋体"/>
          <w:color w:val="000000"/>
          <w:sz w:val="44"/>
          <w:szCs w:val="44"/>
          <w:lang w:eastAsia="zh-CN"/>
        </w:rPr>
        <w:t>目</w:t>
      </w:r>
      <w:r>
        <w:rPr>
          <w:rFonts w:hint="eastAsia" w:ascii="宋体" w:hAnsi="宋体" w:eastAsia="宋体"/>
          <w:color w:val="000000"/>
          <w:sz w:val="44"/>
          <w:szCs w:val="44"/>
          <w:lang w:val="en-US" w:eastAsia="zh-CN"/>
        </w:rPr>
        <w:t xml:space="preserve">     </w:t>
      </w:r>
      <w:r>
        <w:rPr>
          <w:rFonts w:hint="eastAsia" w:ascii="宋体" w:hAnsi="宋体" w:eastAsia="宋体"/>
          <w:color w:val="000000"/>
          <w:sz w:val="44"/>
          <w:szCs w:val="44"/>
          <w:lang w:eastAsia="zh-CN"/>
        </w:rPr>
        <w:t>录</w:t>
      </w:r>
    </w:p>
    <w:p>
      <w:pPr>
        <w:spacing w:before="880" w:after="320" w:line="520" w:lineRule="exact"/>
        <w:jc w:val="center"/>
        <w:rPr>
          <w:sz w:val="30"/>
          <w:szCs w:val="30"/>
        </w:rPr>
      </w:pPr>
      <w:r>
        <w:rPr>
          <w:rFonts w:hint="eastAsia" w:ascii="宋体" w:hAnsi="宋体" w:eastAsia="宋体"/>
          <w:color w:val="000000"/>
          <w:sz w:val="30"/>
          <w:szCs w:val="30"/>
        </w:rPr>
        <w:t>公开时间：2021年</w:t>
      </w:r>
      <w:r>
        <w:rPr>
          <w:rFonts w:hint="eastAsia" w:ascii="宋体" w:hAnsi="宋体" w:eastAsia="宋体"/>
          <w:color w:val="000000"/>
          <w:sz w:val="30"/>
          <w:szCs w:val="30"/>
          <w:lang w:val="en-US" w:eastAsia="zh-CN"/>
        </w:rPr>
        <w:t>9</w:t>
      </w:r>
      <w:r>
        <w:rPr>
          <w:rFonts w:hint="eastAsia" w:ascii="宋体" w:hAnsi="宋体" w:eastAsia="宋体"/>
          <w:color w:val="000000"/>
          <w:sz w:val="30"/>
          <w:szCs w:val="30"/>
        </w:rPr>
        <w:t>月15日</w:t>
      </w:r>
    </w:p>
    <w:p>
      <w:pPr>
        <w:spacing w:line="600" w:lineRule="exact"/>
        <w:ind w:firstLine="0"/>
        <w:jc w:val="left"/>
        <w:rPr>
          <w:rFonts w:hint="default" w:eastAsia="宋体"/>
          <w:lang w:val="en-US" w:eastAsia="zh-CN"/>
        </w:rPr>
      </w:pPr>
      <w:r>
        <w:rPr>
          <w:rFonts w:hint="eastAsia" w:ascii="宋体" w:hAnsi="宋体" w:eastAsia="宋体"/>
          <w:color w:val="000000"/>
          <w:sz w:val="30"/>
        </w:rPr>
        <w:t>第一部分 部门概况</w:t>
      </w:r>
      <w:r>
        <w:rPr>
          <w:rFonts w:hint="eastAsia" w:ascii="宋体" w:hAnsi="宋体" w:eastAsia="宋体"/>
          <w:color w:val="000000"/>
          <w:sz w:val="30"/>
          <w:lang w:eastAsia="zh-CN"/>
        </w:rPr>
        <w:t>…………………………………………………</w:t>
      </w:r>
      <w:r>
        <w:rPr>
          <w:rFonts w:hint="eastAsia" w:ascii="宋体" w:hAnsi="宋体" w:eastAsia="宋体"/>
          <w:color w:val="000000"/>
          <w:sz w:val="30"/>
          <w:lang w:val="en-US" w:eastAsia="zh-CN"/>
        </w:rPr>
        <w:t>1</w:t>
      </w:r>
    </w:p>
    <w:p>
      <w:pPr>
        <w:spacing w:line="540" w:lineRule="exact"/>
        <w:ind w:firstLine="0"/>
        <w:jc w:val="left"/>
        <w:rPr>
          <w:rFonts w:hint="default" w:eastAsia="宋体"/>
          <w:lang w:val="en-US" w:eastAsia="zh-CN"/>
        </w:rPr>
      </w:pPr>
      <w:r>
        <w:rPr>
          <w:rFonts w:hint="eastAsia" w:ascii="宋体" w:hAnsi="宋体" w:eastAsia="宋体"/>
          <w:color w:val="000000"/>
          <w:sz w:val="30"/>
        </w:rPr>
        <w:t>一、基本职能及主要工作</w:t>
      </w:r>
      <w:r>
        <w:rPr>
          <w:rFonts w:hint="eastAsia" w:ascii="宋体" w:hAnsi="宋体" w:eastAsia="宋体"/>
          <w:color w:val="000000"/>
          <w:sz w:val="30"/>
          <w:lang w:eastAsia="zh-CN"/>
        </w:rPr>
        <w:t>………</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ascii="宋体" w:hAnsi="宋体" w:eastAsia="宋体"/>
          <w:color w:val="000000"/>
          <w:sz w:val="30"/>
          <w:lang w:val="en-US" w:eastAsia="zh-CN"/>
        </w:rPr>
        <w:t>1</w:t>
      </w:r>
    </w:p>
    <w:p>
      <w:pPr>
        <w:spacing w:line="540" w:lineRule="exact"/>
        <w:ind w:firstLine="0"/>
        <w:jc w:val="left"/>
        <w:rPr>
          <w:rFonts w:hint="default"/>
          <w:lang w:val="en-US"/>
        </w:rPr>
      </w:pPr>
      <w:r>
        <w:rPr>
          <w:rFonts w:hint="eastAsia" w:ascii="宋体" w:hAnsi="宋体" w:eastAsia="宋体"/>
          <w:color w:val="000000"/>
          <w:sz w:val="30"/>
        </w:rPr>
        <w:t>二、机构设置</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ascii="宋体" w:hAnsi="宋体" w:eastAsia="宋体"/>
          <w:color w:val="000000"/>
          <w:sz w:val="30"/>
          <w:lang w:val="en-US" w:eastAsia="zh-CN"/>
        </w:rPr>
        <w:t>8</w:t>
      </w:r>
    </w:p>
    <w:p>
      <w:pPr>
        <w:spacing w:line="600" w:lineRule="exact"/>
        <w:ind w:firstLine="0"/>
        <w:jc w:val="left"/>
        <w:rPr>
          <w:rFonts w:hint="default" w:eastAsia="宋体"/>
          <w:lang w:val="en-US" w:eastAsia="zh-CN"/>
        </w:rPr>
      </w:pPr>
      <w:r>
        <w:rPr>
          <w:rFonts w:hint="eastAsia" w:ascii="宋体" w:hAnsi="宋体" w:eastAsia="宋体"/>
          <w:color w:val="000000"/>
          <w:sz w:val="30"/>
        </w:rPr>
        <w:t>第二部分度部门决算情况说明</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ascii="宋体" w:hAnsi="宋体" w:eastAsia="宋体"/>
          <w:color w:val="000000"/>
          <w:sz w:val="30"/>
          <w:lang w:val="en-US" w:eastAsia="zh-CN"/>
        </w:rPr>
        <w:t>8</w:t>
      </w:r>
    </w:p>
    <w:p>
      <w:pPr>
        <w:spacing w:line="600" w:lineRule="exact"/>
        <w:ind w:firstLine="0"/>
        <w:jc w:val="left"/>
        <w:rPr>
          <w:rFonts w:hint="default" w:eastAsia="宋体"/>
          <w:lang w:val="en-US" w:eastAsia="zh-CN"/>
        </w:rPr>
      </w:pPr>
      <w:r>
        <w:rPr>
          <w:rFonts w:hint="eastAsia" w:ascii="宋体" w:hAnsi="宋体" w:eastAsia="宋体"/>
          <w:color w:val="000000"/>
          <w:sz w:val="30"/>
        </w:rPr>
        <w:t>一、收入支出决算总体情况说明</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ascii="宋体" w:hAnsi="宋体" w:eastAsia="宋体"/>
          <w:color w:val="000000"/>
          <w:sz w:val="30"/>
          <w:lang w:val="en-US" w:eastAsia="zh-CN"/>
        </w:rPr>
        <w:t>8</w:t>
      </w:r>
    </w:p>
    <w:p>
      <w:pPr>
        <w:spacing w:line="600" w:lineRule="exact"/>
        <w:ind w:firstLine="0"/>
        <w:jc w:val="left"/>
        <w:rPr>
          <w:rFonts w:hint="default"/>
          <w:lang w:val="en-US"/>
        </w:rPr>
      </w:pPr>
      <w:r>
        <w:rPr>
          <w:rFonts w:hint="eastAsia" w:ascii="宋体" w:hAnsi="宋体" w:eastAsia="宋体"/>
          <w:color w:val="000000"/>
          <w:sz w:val="30"/>
        </w:rPr>
        <w:t>二、收入决算情况说明</w:t>
      </w:r>
      <w:r>
        <w:rPr>
          <w:rFonts w:hint="eastAsia" w:ascii="宋体" w:hAnsi="宋体" w:eastAsia="宋体"/>
          <w:color w:val="000000"/>
          <w:sz w:val="30"/>
          <w:lang w:eastAsia="zh-CN"/>
        </w:rPr>
        <w:t>……………………………………</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ascii="宋体" w:hAnsi="宋体" w:eastAsia="宋体"/>
          <w:color w:val="000000"/>
          <w:sz w:val="30"/>
          <w:lang w:val="en-US" w:eastAsia="zh-CN"/>
        </w:rPr>
        <w:t>8</w:t>
      </w:r>
    </w:p>
    <w:p>
      <w:pPr>
        <w:spacing w:line="600" w:lineRule="exact"/>
        <w:ind w:firstLine="0"/>
        <w:jc w:val="left"/>
        <w:rPr>
          <w:rFonts w:hint="eastAsia" w:eastAsia="宋体"/>
          <w:lang w:val="en-US" w:eastAsia="zh-CN"/>
        </w:rPr>
      </w:pPr>
      <w:r>
        <w:rPr>
          <w:rFonts w:hint="eastAsia" w:ascii="宋体" w:hAnsi="宋体" w:eastAsia="宋体"/>
          <w:color w:val="000000"/>
          <w:sz w:val="30"/>
        </w:rPr>
        <w:t>三、支出决算情况说明</w:t>
      </w:r>
      <w:r>
        <w:rPr>
          <w:rFonts w:hint="eastAsia" w:ascii="宋体" w:hAnsi="宋体" w:eastAsia="宋体"/>
          <w:color w:val="000000"/>
          <w:sz w:val="30"/>
          <w:lang w:eastAsia="zh-CN"/>
        </w:rPr>
        <w:t>…………………………………</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eastAsia="宋体"/>
          <w:sz w:val="30"/>
          <w:szCs w:val="30"/>
          <w:lang w:val="en-US" w:eastAsia="zh-CN"/>
        </w:rPr>
        <w:t>9</w:t>
      </w:r>
    </w:p>
    <w:p>
      <w:pPr>
        <w:spacing w:line="600" w:lineRule="exact"/>
        <w:ind w:firstLine="0"/>
        <w:jc w:val="left"/>
        <w:rPr>
          <w:rFonts w:hint="default"/>
          <w:lang w:val="en-US"/>
        </w:rPr>
      </w:pPr>
      <w:r>
        <w:rPr>
          <w:rFonts w:hint="eastAsia" w:ascii="宋体" w:hAnsi="宋体" w:eastAsia="宋体"/>
          <w:color w:val="000000"/>
          <w:sz w:val="30"/>
        </w:rPr>
        <w:t>四、财政拨款收入支出决算总体情况说明</w:t>
      </w:r>
      <w:r>
        <w:rPr>
          <w:rFonts w:hint="eastAsia" w:ascii="宋体" w:hAnsi="宋体" w:eastAsia="宋体"/>
          <w:color w:val="000000"/>
          <w:sz w:val="30"/>
          <w:lang w:eastAsia="zh-CN"/>
        </w:rPr>
        <w:t>……………………</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ascii="宋体" w:hAnsi="宋体" w:eastAsia="宋体"/>
          <w:color w:val="000000"/>
          <w:sz w:val="30"/>
          <w:lang w:val="en-US" w:eastAsia="zh-CN"/>
        </w:rPr>
        <w:t>9</w:t>
      </w:r>
    </w:p>
    <w:p>
      <w:pPr>
        <w:spacing w:line="600" w:lineRule="exact"/>
        <w:ind w:firstLine="0"/>
        <w:jc w:val="left"/>
        <w:rPr>
          <w:rFonts w:hint="default"/>
          <w:lang w:val="en-US"/>
        </w:rPr>
      </w:pPr>
      <w:r>
        <w:rPr>
          <w:rFonts w:hint="eastAsia" w:ascii="宋体" w:hAnsi="宋体" w:eastAsia="宋体"/>
          <w:color w:val="000000"/>
          <w:sz w:val="30"/>
        </w:rPr>
        <w:t>五、一般公共预算财政拨款支出决算情况说明</w:t>
      </w:r>
      <w:r>
        <w:rPr>
          <w:rFonts w:hint="eastAsia" w:ascii="宋体" w:hAnsi="宋体" w:eastAsia="宋体"/>
          <w:color w:val="000000"/>
          <w:sz w:val="30"/>
          <w:lang w:eastAsia="zh-CN"/>
        </w:rPr>
        <w:t>……………</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ascii="宋体" w:hAnsi="宋体" w:eastAsia="宋体"/>
          <w:color w:val="000000"/>
          <w:sz w:val="30"/>
          <w:lang w:val="en-US" w:eastAsia="zh-CN"/>
        </w:rPr>
        <w:t>9</w:t>
      </w:r>
    </w:p>
    <w:p>
      <w:pPr>
        <w:spacing w:line="600" w:lineRule="exact"/>
        <w:ind w:firstLine="0"/>
        <w:jc w:val="left"/>
        <w:rPr>
          <w:rFonts w:hint="default"/>
          <w:lang w:val="en-US"/>
        </w:rPr>
      </w:pPr>
      <w:r>
        <w:rPr>
          <w:rFonts w:hint="eastAsia" w:ascii="宋体" w:hAnsi="宋体" w:eastAsia="宋体"/>
          <w:color w:val="000000"/>
          <w:sz w:val="30"/>
        </w:rPr>
        <w:t>六、一般公共预算财政拨款基本支出决算情况说明</w:t>
      </w:r>
      <w:r>
        <w:rPr>
          <w:rFonts w:hint="eastAsia" w:ascii="宋体" w:hAnsi="宋体" w:eastAsia="宋体"/>
          <w:color w:val="000000"/>
          <w:sz w:val="30"/>
          <w:lang w:eastAsia="zh-CN"/>
        </w:rPr>
        <w:t>……………</w:t>
      </w:r>
      <w:r>
        <w:rPr>
          <w:rFonts w:hint="eastAsia" w:ascii="宋体" w:hAnsi="宋体" w:eastAsia="宋体"/>
          <w:color w:val="000000"/>
          <w:sz w:val="30"/>
          <w:lang w:val="en-US" w:eastAsia="zh-CN"/>
        </w:rPr>
        <w:t>10</w:t>
      </w:r>
    </w:p>
    <w:p>
      <w:pPr>
        <w:spacing w:line="600" w:lineRule="exact"/>
        <w:ind w:firstLine="0"/>
        <w:jc w:val="left"/>
        <w:rPr>
          <w:rFonts w:hint="default"/>
          <w:lang w:val="en-US"/>
        </w:rPr>
      </w:pPr>
      <w:r>
        <w:rPr>
          <w:rFonts w:hint="eastAsia" w:ascii="宋体" w:hAnsi="宋体" w:eastAsia="宋体"/>
          <w:color w:val="000000"/>
          <w:sz w:val="30"/>
        </w:rPr>
        <w:t>七、“三公”经费财政拨款支出决算情况说明</w:t>
      </w:r>
      <w:r>
        <w:rPr>
          <w:rFonts w:hint="eastAsia" w:ascii="宋体" w:hAnsi="宋体" w:eastAsia="宋体"/>
          <w:color w:val="000000"/>
          <w:sz w:val="30"/>
          <w:lang w:eastAsia="zh-CN"/>
        </w:rPr>
        <w:t>…………………</w:t>
      </w:r>
      <w:r>
        <w:rPr>
          <w:rFonts w:hint="eastAsia" w:ascii="宋体" w:hAnsi="宋体" w:eastAsia="宋体"/>
          <w:color w:val="000000"/>
          <w:sz w:val="30"/>
          <w:lang w:val="en-US" w:eastAsia="zh-CN"/>
        </w:rPr>
        <w:t>10</w:t>
      </w:r>
    </w:p>
    <w:p>
      <w:pPr>
        <w:spacing w:line="600" w:lineRule="exact"/>
        <w:ind w:firstLine="0"/>
        <w:jc w:val="left"/>
        <w:rPr>
          <w:rFonts w:hint="default"/>
          <w:lang w:val="en-US"/>
        </w:rPr>
      </w:pPr>
      <w:r>
        <w:rPr>
          <w:rFonts w:hint="eastAsia" w:ascii="宋体" w:hAnsi="宋体" w:eastAsia="宋体"/>
          <w:color w:val="000000"/>
          <w:sz w:val="30"/>
        </w:rPr>
        <w:t>八、政府性基金预算支出决算情况说明</w:t>
      </w:r>
      <w:r>
        <w:rPr>
          <w:rFonts w:hint="eastAsia" w:ascii="宋体" w:hAnsi="宋体" w:eastAsia="宋体"/>
          <w:color w:val="000000"/>
          <w:sz w:val="30"/>
          <w:lang w:eastAsia="zh-CN"/>
        </w:rPr>
        <w:t>…………………………</w:t>
      </w:r>
      <w:r>
        <w:rPr>
          <w:rFonts w:hint="eastAsia" w:ascii="宋体" w:hAnsi="宋体" w:eastAsia="宋体"/>
          <w:color w:val="000000"/>
          <w:sz w:val="30"/>
          <w:lang w:val="en-US" w:eastAsia="zh-CN"/>
        </w:rPr>
        <w:t>12</w:t>
      </w:r>
    </w:p>
    <w:p>
      <w:pPr>
        <w:spacing w:line="600" w:lineRule="exact"/>
        <w:ind w:firstLine="0"/>
        <w:jc w:val="left"/>
        <w:rPr>
          <w:rFonts w:hint="default"/>
          <w:lang w:val="en-US"/>
        </w:rPr>
      </w:pPr>
      <w:r>
        <w:rPr>
          <w:rFonts w:hint="eastAsia" w:ascii="宋体" w:hAnsi="宋体" w:eastAsia="宋体"/>
          <w:color w:val="000000"/>
          <w:sz w:val="30"/>
        </w:rPr>
        <w:t>九、国有资本经营预算支出决算情况说明</w:t>
      </w:r>
      <w:r>
        <w:rPr>
          <w:rFonts w:hint="eastAsia" w:ascii="宋体" w:hAnsi="宋体" w:eastAsia="宋体"/>
          <w:color w:val="000000"/>
          <w:sz w:val="30"/>
          <w:lang w:eastAsia="zh-CN"/>
        </w:rPr>
        <w:t>………………………</w:t>
      </w:r>
      <w:r>
        <w:rPr>
          <w:rFonts w:hint="eastAsia" w:ascii="宋体" w:hAnsi="宋体" w:eastAsia="宋体"/>
          <w:color w:val="000000"/>
          <w:sz w:val="30"/>
          <w:lang w:val="en-US" w:eastAsia="zh-CN"/>
        </w:rPr>
        <w:t>12</w:t>
      </w:r>
    </w:p>
    <w:p>
      <w:pPr>
        <w:spacing w:line="600" w:lineRule="exact"/>
        <w:ind w:firstLine="0"/>
        <w:jc w:val="left"/>
        <w:rPr>
          <w:rFonts w:hint="eastAsia" w:eastAsia="宋体"/>
          <w:lang w:val="en-US" w:eastAsia="zh-CN"/>
        </w:rPr>
      </w:pPr>
      <w:r>
        <w:rPr>
          <w:rFonts w:hint="eastAsia" w:ascii="宋体" w:hAnsi="宋体" w:eastAsia="宋体"/>
          <w:color w:val="000000"/>
          <w:sz w:val="30"/>
        </w:rPr>
        <w:t>十、其他重要事项的情况说明</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eastAsia="宋体"/>
          <w:sz w:val="30"/>
          <w:szCs w:val="30"/>
          <w:lang w:val="en-US" w:eastAsia="zh-CN"/>
        </w:rPr>
        <w:t>12</w:t>
      </w:r>
    </w:p>
    <w:p>
      <w:pPr>
        <w:spacing w:line="600" w:lineRule="exact"/>
        <w:ind w:firstLine="0"/>
        <w:jc w:val="left"/>
        <w:rPr>
          <w:rFonts w:hint="default"/>
          <w:lang w:val="en-US"/>
        </w:rPr>
      </w:pPr>
      <w:r>
        <w:rPr>
          <w:rFonts w:hint="eastAsia" w:ascii="宋体" w:hAnsi="宋体" w:eastAsia="宋体"/>
          <w:color w:val="000000"/>
          <w:sz w:val="30"/>
        </w:rPr>
        <w:t>第三部分 名词解释</w:t>
      </w:r>
      <w:r>
        <w:rPr>
          <w:rFonts w:hint="eastAsia" w:ascii="宋体" w:hAnsi="宋体" w:eastAsia="宋体"/>
          <w:color w:val="000000"/>
          <w:sz w:val="30"/>
          <w:lang w:eastAsia="zh-CN"/>
        </w:rPr>
        <w:t>………………………</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ascii="宋体" w:hAnsi="宋体" w:eastAsia="宋体"/>
          <w:color w:val="000000"/>
          <w:sz w:val="30"/>
          <w:lang w:val="en-US" w:eastAsia="zh-CN"/>
        </w:rPr>
        <w:t>14</w:t>
      </w:r>
    </w:p>
    <w:p>
      <w:pPr>
        <w:spacing w:line="600" w:lineRule="exact"/>
        <w:ind w:firstLine="0"/>
        <w:jc w:val="left"/>
        <w:rPr>
          <w:rFonts w:hint="default"/>
          <w:lang w:val="en-US"/>
        </w:rPr>
      </w:pPr>
      <w:r>
        <w:rPr>
          <w:rFonts w:hint="eastAsia" w:ascii="宋体" w:hAnsi="宋体" w:eastAsia="宋体"/>
          <w:color w:val="000000"/>
          <w:sz w:val="30"/>
        </w:rPr>
        <w:t>第四部分 附件</w:t>
      </w:r>
      <w:r>
        <w:rPr>
          <w:rFonts w:hint="eastAsia" w:ascii="宋体" w:hAnsi="宋体" w:eastAsia="宋体"/>
          <w:color w:val="000000"/>
          <w:sz w:val="30"/>
          <w:lang w:eastAsia="zh-CN"/>
        </w:rPr>
        <w:t>……………………………</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ascii="宋体" w:hAnsi="宋体" w:eastAsia="宋体"/>
          <w:color w:val="000000"/>
          <w:sz w:val="30"/>
          <w:lang w:val="en-US" w:eastAsia="zh-CN"/>
        </w:rPr>
        <w:t>16</w:t>
      </w:r>
    </w:p>
    <w:p>
      <w:pPr>
        <w:spacing w:line="600" w:lineRule="exact"/>
        <w:ind w:firstLine="0"/>
        <w:jc w:val="left"/>
        <w:rPr>
          <w:rFonts w:hint="default"/>
          <w:lang w:val="en-US"/>
        </w:rPr>
      </w:pPr>
      <w:r>
        <w:rPr>
          <w:rFonts w:hint="eastAsia" w:ascii="宋体" w:hAnsi="宋体" w:eastAsia="宋体"/>
          <w:color w:val="000000"/>
          <w:sz w:val="30"/>
        </w:rPr>
        <w:t>附件1</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ascii="宋体" w:hAnsi="宋体" w:eastAsia="宋体"/>
          <w:color w:val="000000"/>
          <w:sz w:val="30"/>
          <w:lang w:val="en-US" w:eastAsia="zh-CN"/>
        </w:rPr>
        <w:t>16</w:t>
      </w:r>
    </w:p>
    <w:p>
      <w:pPr>
        <w:spacing w:line="600" w:lineRule="exact"/>
        <w:ind w:firstLine="0"/>
        <w:jc w:val="left"/>
        <w:rPr>
          <w:rFonts w:hint="default"/>
          <w:lang w:val="en-US"/>
        </w:rPr>
        <w:sectPr>
          <w:type w:val="continuous"/>
          <w:pgSz w:w="11900" w:h="16840"/>
          <w:pgMar w:top="1420" w:right="1640" w:bottom="1420" w:left="1640" w:header="0" w:footer="1420" w:gutter="0"/>
          <w:cols w:space="720" w:num="1"/>
          <w:titlePg/>
          <w:docGrid w:type="lines" w:linePitch="312" w:charSpace="0"/>
        </w:sectPr>
      </w:pPr>
      <w:r>
        <w:rPr>
          <w:rFonts w:hint="eastAsia" w:ascii="宋体" w:hAnsi="宋体" w:eastAsia="宋体"/>
          <w:color w:val="000000"/>
          <w:sz w:val="30"/>
        </w:rPr>
        <w:t>附件2</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ascii="宋体" w:hAnsi="宋体" w:eastAsia="宋体"/>
          <w:color w:val="000000"/>
          <w:sz w:val="30"/>
          <w:lang w:val="en-US" w:eastAsia="zh-CN"/>
        </w:rPr>
        <w:t>19</w:t>
      </w:r>
    </w:p>
    <w:p>
      <w:pPr>
        <w:spacing w:line="600" w:lineRule="exact"/>
        <w:ind w:firstLine="0"/>
        <w:jc w:val="left"/>
        <w:rPr>
          <w:rFonts w:hint="default"/>
          <w:lang w:val="en-US"/>
        </w:rPr>
      </w:pPr>
      <w:r>
        <w:rPr>
          <w:rFonts w:hint="eastAsia" w:ascii="宋体" w:hAnsi="宋体" w:eastAsia="宋体"/>
          <w:color w:val="000000"/>
          <w:sz w:val="30"/>
        </w:rPr>
        <w:t>第五部分 附表</w:t>
      </w:r>
      <w:r>
        <w:rPr>
          <w:rFonts w:hint="eastAsia" w:ascii="宋体" w:hAnsi="宋体" w:eastAsia="宋体"/>
          <w:color w:val="000000"/>
          <w:sz w:val="30"/>
          <w:lang w:val="en-US" w:eastAsia="zh-CN"/>
        </w:rPr>
        <w:t xml:space="preserve"> </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rPr>
        <w:t>一、收入支出决算表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rPr>
        <w:t>二、收入决算表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rPr>
        <w:t>三、支出决算表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rPr>
        <w:t>四、财政拨款收入支出决算总表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rPr>
        <w:t>五、财政拨款支出决算明细表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rPr>
        <w:t>六、一般公共预算财政拨款支出决算表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rPr>
        <w:t>七、一般公共预算财政拨款支出决算明细表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rPr>
        <w:t>八、一般公共预算财政拨款基本支出决算表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rPr>
        <w:t>九、一般公共预算财政拨款项目支出决算表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rPr>
        <w:t>十、一般公共预算财政拨款“三公”经费支出决算表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rPr>
        <w:t>十一、政府性基金预算财政拨款收入支出决算表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rPr>
        <w:t>十二、政府性基金预算财政拨款“三公”经费支出决算表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rPr>
          <w:rFonts w:hint="eastAsia" w:ascii="宋体" w:hAnsi="宋体" w:eastAsia="宋体"/>
          <w:color w:val="000000"/>
          <w:sz w:val="30"/>
        </w:rPr>
      </w:pPr>
      <w:r>
        <w:rPr>
          <w:rFonts w:hint="eastAsia" w:ascii="宋体" w:hAnsi="宋体" w:eastAsia="宋体"/>
          <w:color w:val="000000"/>
          <w:sz w:val="30"/>
        </w:rPr>
        <w:t>十三、国有资本经营预算财政拨款收入支出决算表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pPr>
      <w:r>
        <w:rPr>
          <w:rFonts w:hint="eastAsia" w:ascii="宋体" w:hAnsi="宋体" w:eastAsia="宋体"/>
          <w:color w:val="000000"/>
          <w:sz w:val="30"/>
          <w:lang w:val="en-US" w:eastAsia="zh-CN"/>
        </w:rPr>
        <w:t>十四、</w:t>
      </w:r>
      <w:r>
        <w:rPr>
          <w:rFonts w:hint="eastAsia" w:ascii="宋体" w:hAnsi="宋体" w:eastAsia="宋体"/>
          <w:color w:val="000000"/>
          <w:sz w:val="30"/>
        </w:rPr>
        <w:t>国有资本经营预算财政拨款支出决算表</w:t>
      </w:r>
      <w:r>
        <w:rPr>
          <w:rFonts w:hint="eastAsia" w:ascii="宋体" w:hAnsi="宋体" w:eastAsia="宋体"/>
          <w:color w:val="000000"/>
          <w:sz w:val="30"/>
          <w:lang w:eastAsia="zh-CN"/>
        </w:rPr>
        <w:t>…………………</w:t>
      </w:r>
      <w:r>
        <w:rPr>
          <w:rFonts w:hint="eastAsia" w:ascii="宋体" w:hAnsi="宋体" w:eastAsia="宋体"/>
          <w:color w:val="000000"/>
          <w:sz w:val="30"/>
          <w:lang w:val="en-US" w:eastAsia="zh-CN"/>
        </w:rPr>
        <w:t>22</w:t>
      </w:r>
    </w:p>
    <w:p>
      <w:pPr>
        <w:spacing w:line="600" w:lineRule="exact"/>
        <w:ind w:firstLine="0"/>
        <w:jc w:val="left"/>
        <w:rPr>
          <w:rFonts w:hint="eastAsia" w:ascii="宋体" w:hAnsi="宋体" w:eastAsia="宋体"/>
          <w:color w:val="000000"/>
          <w:sz w:val="30"/>
          <w:lang w:val="en-US" w:eastAsia="zh-CN"/>
        </w:rPr>
        <w:sectPr>
          <w:type w:val="continuous"/>
          <w:pgSz w:w="11900" w:h="16840"/>
          <w:pgMar w:top="1440" w:right="1640" w:bottom="1440" w:left="1640" w:header="0" w:footer="1440" w:gutter="0"/>
          <w:cols w:space="720" w:num="1"/>
          <w:titlePg/>
          <w:docGrid w:type="lines" w:linePitch="312" w:charSpace="0"/>
        </w:sectPr>
      </w:pPr>
    </w:p>
    <w:p>
      <w:pPr>
        <w:spacing w:after="240" w:line="780" w:lineRule="exact"/>
        <w:jc w:val="center"/>
        <w:rPr>
          <w:rFonts w:hint="eastAsia" w:ascii="宋体" w:hAnsi="宋体" w:eastAsia="宋体"/>
          <w:color w:val="000000"/>
          <w:sz w:val="40"/>
        </w:rPr>
      </w:pPr>
    </w:p>
    <w:p>
      <w:pPr>
        <w:spacing w:after="240" w:line="780" w:lineRule="exact"/>
        <w:jc w:val="center"/>
        <w:rPr>
          <w:rFonts w:hint="eastAsia" w:ascii="宋体" w:hAnsi="宋体" w:eastAsia="宋体"/>
          <w:color w:val="000000"/>
          <w:sz w:val="40"/>
        </w:rPr>
      </w:pPr>
    </w:p>
    <w:p>
      <w:pPr>
        <w:spacing w:after="240" w:line="780" w:lineRule="exact"/>
        <w:jc w:val="center"/>
        <w:rPr>
          <w:rFonts w:hint="eastAsia" w:ascii="宋体" w:hAnsi="宋体" w:eastAsia="宋体"/>
          <w:color w:val="000000"/>
          <w:sz w:val="40"/>
        </w:rPr>
      </w:pPr>
    </w:p>
    <w:p>
      <w:pPr>
        <w:spacing w:after="240" w:line="780" w:lineRule="exact"/>
        <w:jc w:val="center"/>
        <w:rPr>
          <w:rFonts w:hint="eastAsia" w:ascii="宋体" w:hAnsi="宋体" w:eastAsia="宋体"/>
          <w:color w:val="000000"/>
          <w:sz w:val="40"/>
        </w:rPr>
      </w:pPr>
    </w:p>
    <w:p>
      <w:pPr>
        <w:spacing w:after="240" w:line="780" w:lineRule="exact"/>
        <w:jc w:val="center"/>
        <w:rPr>
          <w:rFonts w:hint="eastAsia" w:ascii="宋体" w:hAnsi="宋体" w:eastAsia="宋体"/>
          <w:color w:val="000000"/>
          <w:sz w:val="40"/>
        </w:rPr>
      </w:pPr>
    </w:p>
    <w:p>
      <w:pPr>
        <w:spacing w:after="240" w:line="780" w:lineRule="exact"/>
        <w:jc w:val="center"/>
        <w:rPr>
          <w:rFonts w:hint="eastAsia" w:ascii="宋体" w:hAnsi="宋体" w:eastAsia="宋体"/>
          <w:color w:val="000000"/>
          <w:sz w:val="40"/>
        </w:rPr>
      </w:pPr>
    </w:p>
    <w:p>
      <w:pPr>
        <w:spacing w:after="240" w:line="780" w:lineRule="exact"/>
        <w:jc w:val="center"/>
        <w:rPr>
          <w:rFonts w:hint="eastAsia" w:ascii="宋体" w:hAnsi="宋体" w:eastAsia="宋体"/>
          <w:color w:val="000000"/>
          <w:sz w:val="40"/>
        </w:rPr>
        <w:sectPr>
          <w:type w:val="continuous"/>
          <w:pgSz w:w="11900" w:h="16840"/>
          <w:pgMar w:top="1440" w:right="1400" w:bottom="1440" w:left="1400" w:header="0" w:footer="1440" w:gutter="0"/>
          <w:cols w:space="720" w:num="1"/>
          <w:titlePg/>
          <w:docGrid w:type="lines" w:linePitch="312" w:charSpace="0"/>
        </w:sectPr>
      </w:pPr>
    </w:p>
    <w:p>
      <w:pPr>
        <w:spacing w:after="240" w:line="780" w:lineRule="exact"/>
        <w:jc w:val="center"/>
      </w:pPr>
      <w:r>
        <w:rPr>
          <w:rFonts w:hint="eastAsia" w:ascii="宋体" w:hAnsi="宋体" w:eastAsia="宋体"/>
          <w:color w:val="000000"/>
          <w:sz w:val="40"/>
        </w:rPr>
        <w:t>第一部分 部门概况</w:t>
      </w:r>
    </w:p>
    <w:p>
      <w:pPr>
        <w:spacing w:after="240" w:line="580" w:lineRule="exact"/>
        <w:ind w:firstLine="580"/>
        <w:jc w:val="left"/>
      </w:pPr>
      <w:r>
        <w:rPr>
          <w:rFonts w:hint="eastAsia" w:ascii="宋体" w:hAnsi="宋体" w:eastAsia="宋体"/>
          <w:color w:val="000000"/>
          <w:sz w:val="30"/>
        </w:rPr>
        <w:t>一、基本职能及主要工作</w:t>
      </w:r>
    </w:p>
    <w:p>
      <w:pPr>
        <w:spacing w:line="580" w:lineRule="exact"/>
        <w:ind w:firstLine="580"/>
        <w:jc w:val="left"/>
      </w:pPr>
      <w:r>
        <w:rPr>
          <w:rFonts w:hint="eastAsia" w:ascii="宋体" w:hAnsi="宋体" w:eastAsia="宋体"/>
          <w:color w:val="000000"/>
          <w:sz w:val="30"/>
        </w:rPr>
        <w:t>（一）主要职能</w:t>
      </w:r>
    </w:p>
    <w:p>
      <w:pPr>
        <w:spacing w:line="580" w:lineRule="exact"/>
        <w:ind w:firstLine="580"/>
        <w:jc w:val="both"/>
      </w:pPr>
      <w:r>
        <w:rPr>
          <w:rFonts w:hint="eastAsia" w:ascii="宋体" w:hAnsi="宋体" w:eastAsia="宋体"/>
          <w:color w:val="000000"/>
          <w:sz w:val="30"/>
        </w:rPr>
        <w:t>根据《中华人民共和国道路运输条例》、《四川省道路运输条例》授权，负责本行政区域内对从事道路旅客运输经营、道路货物运输经营、道路运输相关业务包括站（场）经营、机动车维修经营、机动车驾驶员培训的依法许可并实施监管。维护道路运输市场秩序，保障道路运输安全，保护道路运输有关各方当事人合法权益，促进道路运输业健康发展。</w:t>
      </w:r>
    </w:p>
    <w:p>
      <w:pPr>
        <w:spacing w:line="580" w:lineRule="exact"/>
        <w:ind w:firstLine="580"/>
        <w:jc w:val="both"/>
      </w:pPr>
      <w:r>
        <w:rPr>
          <w:rFonts w:hint="eastAsia" w:ascii="宋体" w:hAnsi="宋体" w:eastAsia="宋体"/>
          <w:color w:val="000000"/>
          <w:sz w:val="30"/>
        </w:rPr>
        <w:t>1、贯彻执行国家、省、市有关道路运输方针、政策、法规，执行交通主管部门及上级道路运输管理机构制定的有关行业管理规章、规范、标准和细则。</w:t>
      </w:r>
    </w:p>
    <w:p>
      <w:pPr>
        <w:spacing w:line="580" w:lineRule="exact"/>
        <w:ind w:firstLine="580"/>
        <w:jc w:val="both"/>
      </w:pPr>
      <w:r>
        <w:rPr>
          <w:rFonts w:hint="eastAsia" w:ascii="宋体" w:hAnsi="宋体" w:eastAsia="宋体"/>
          <w:color w:val="000000"/>
          <w:sz w:val="30"/>
        </w:rPr>
        <w:t>2、按照许可权限，负责对客运经营、货运经营、站（场）经营、机动车维修经营、机动车驾驶员培训行业的开业审查、许可、备案，并对道路运输市场实施监管。</w:t>
      </w:r>
    </w:p>
    <w:p>
      <w:pPr>
        <w:spacing w:line="580" w:lineRule="exact"/>
        <w:ind w:firstLine="580"/>
        <w:jc w:val="both"/>
      </w:pPr>
      <w:r>
        <w:rPr>
          <w:rFonts w:hint="eastAsia" w:ascii="宋体" w:hAnsi="宋体" w:eastAsia="宋体"/>
          <w:color w:val="000000"/>
          <w:sz w:val="30"/>
        </w:rPr>
        <w:t>3、负责维护道路运输市场经营秩序，落实源头监管。对道路运输经营业户的停、歇业审批及年度审验、资质等级评定。</w:t>
      </w:r>
    </w:p>
    <w:p>
      <w:pPr>
        <w:spacing w:line="580" w:lineRule="exact"/>
        <w:ind w:firstLine="580"/>
        <w:jc w:val="both"/>
      </w:pPr>
      <w:r>
        <w:rPr>
          <w:rFonts w:hint="eastAsia" w:ascii="宋体" w:hAnsi="宋体" w:eastAsia="宋体"/>
          <w:color w:val="000000"/>
          <w:sz w:val="30"/>
        </w:rPr>
        <w:t>4、负责辖区内道路运输从业人员的资质管理及适应性培训；对道路运政管理机构统一制定的证、牌发放、回收和监管。</w:t>
      </w:r>
    </w:p>
    <w:p>
      <w:pPr>
        <w:spacing w:line="580" w:lineRule="exact"/>
        <w:ind w:firstLine="580"/>
        <w:jc w:val="both"/>
        <w:sectPr>
          <w:footerReference r:id="rId7" w:type="first"/>
          <w:footerReference r:id="rId6" w:type="default"/>
          <w:type w:val="continuous"/>
          <w:pgSz w:w="11900" w:h="16840"/>
          <w:pgMar w:top="1984" w:right="1417" w:bottom="1814" w:left="1587" w:header="850" w:footer="1417" w:gutter="0"/>
          <w:pgNumType w:fmt="decimal" w:start="1"/>
          <w:cols w:space="0" w:num="1"/>
          <w:titlePg/>
          <w:rtlGutter w:val="0"/>
          <w:docGrid w:type="linesAndChars" w:linePitch="592" w:charSpace="-639"/>
        </w:sectPr>
      </w:pPr>
      <w:r>
        <w:rPr>
          <w:rFonts w:hint="eastAsia" w:ascii="宋体" w:hAnsi="宋体" w:eastAsia="宋体"/>
          <w:color w:val="000000"/>
          <w:sz w:val="30"/>
        </w:rPr>
        <w:t>5、负责执行对道路运输经营者的运输服务、质量、信誉、经营行为、价格执行及使用的证、牌等进行日常性监督检查，调</w:t>
      </w:r>
    </w:p>
    <w:p>
      <w:pPr>
        <w:spacing w:line="540" w:lineRule="exact"/>
        <w:ind w:firstLine="0"/>
        <w:jc w:val="left"/>
      </w:pPr>
      <w:r>
        <w:rPr>
          <w:rFonts w:hint="eastAsia" w:ascii="宋体" w:hAnsi="宋体" w:eastAsia="宋体"/>
          <w:color w:val="000000"/>
          <w:sz w:val="30"/>
        </w:rPr>
        <w:t>解日常性运输纠纷。依法责令违法经营者停止违法行为，实施行</w:t>
      </w:r>
    </w:p>
    <w:p>
      <w:pPr>
        <w:spacing w:line="540" w:lineRule="exact"/>
        <w:ind w:firstLine="0"/>
        <w:jc w:val="left"/>
      </w:pPr>
      <w:r>
        <w:rPr>
          <w:rFonts w:hint="eastAsia" w:ascii="宋体" w:hAnsi="宋体" w:eastAsia="宋体"/>
          <w:color w:val="000000"/>
          <w:sz w:val="30"/>
        </w:rPr>
        <w:t>政处罚。</w:t>
      </w:r>
    </w:p>
    <w:p>
      <w:pPr>
        <w:spacing w:line="540" w:lineRule="exact"/>
        <w:ind w:firstLine="700"/>
        <w:jc w:val="both"/>
      </w:pPr>
      <w:r>
        <w:rPr>
          <w:rFonts w:hint="eastAsia" w:ascii="宋体" w:hAnsi="宋体" w:eastAsia="宋体"/>
          <w:color w:val="000000"/>
          <w:sz w:val="30"/>
        </w:rPr>
        <w:t>6、负责组织客、货运企业储备运力，在急需情况下实施指令性的抢险、救援、抗灾、战备物资的应急运输。</w:t>
      </w:r>
    </w:p>
    <w:p>
      <w:pPr>
        <w:spacing w:line="540" w:lineRule="exact"/>
        <w:ind w:firstLine="700"/>
        <w:jc w:val="both"/>
      </w:pPr>
      <w:r>
        <w:rPr>
          <w:rFonts w:hint="eastAsia" w:ascii="宋体" w:hAnsi="宋体" w:eastAsia="宋体"/>
          <w:color w:val="000000"/>
          <w:sz w:val="30"/>
        </w:rPr>
        <w:t>7、负责掌握本地运力与运量的结构情况，按时向有关部门和上级交通部门提供需求信息，配合上级运政部门做好车辆结构、车辆投放的调控工作。</w:t>
      </w:r>
    </w:p>
    <w:p>
      <w:pPr>
        <w:spacing w:line="540" w:lineRule="exact"/>
        <w:ind w:firstLine="700"/>
        <w:jc w:val="both"/>
      </w:pPr>
      <w:r>
        <w:rPr>
          <w:rFonts w:hint="eastAsia" w:ascii="宋体" w:hAnsi="宋体" w:eastAsia="宋体"/>
          <w:color w:val="000000"/>
          <w:sz w:val="30"/>
        </w:rPr>
        <w:t>8、负责道路运输行业抽样调查、统计、信息引导工作。建全各类档案，上报收集各种基本信息，开展咨询服务和市场预测。</w:t>
      </w:r>
    </w:p>
    <w:p>
      <w:pPr>
        <w:spacing w:line="540" w:lineRule="exact"/>
        <w:ind w:firstLine="700"/>
        <w:jc w:val="both"/>
      </w:pPr>
      <w:r>
        <w:rPr>
          <w:rFonts w:hint="eastAsia" w:ascii="宋体" w:hAnsi="宋体" w:eastAsia="宋体"/>
          <w:color w:val="000000"/>
          <w:sz w:val="30"/>
        </w:rPr>
        <w:t>9、组织本辖区运输行业工作的经验交流与推广，负责对运输业户的工作指导。</w:t>
      </w:r>
    </w:p>
    <w:p>
      <w:pPr>
        <w:spacing w:line="540" w:lineRule="exact"/>
        <w:ind w:firstLine="700"/>
        <w:jc w:val="left"/>
      </w:pPr>
      <w:r>
        <w:rPr>
          <w:rFonts w:hint="eastAsia" w:ascii="宋体" w:hAnsi="宋体" w:eastAsia="宋体"/>
          <w:color w:val="000000"/>
          <w:sz w:val="30"/>
        </w:rPr>
        <w:t>10、完成上级交办的其他事项。</w:t>
      </w:r>
    </w:p>
    <w:p>
      <w:pPr>
        <w:spacing w:line="560" w:lineRule="exact"/>
        <w:ind w:firstLine="700"/>
        <w:jc w:val="left"/>
      </w:pPr>
      <w:r>
        <w:rPr>
          <w:rFonts w:hint="eastAsia" w:ascii="宋体" w:hAnsi="宋体" w:eastAsia="宋体"/>
          <w:color w:val="000000"/>
          <w:sz w:val="30"/>
        </w:rPr>
        <w:t>（二）2020年重点工作完成情况</w:t>
      </w:r>
    </w:p>
    <w:p>
      <w:pPr>
        <w:spacing w:line="560" w:lineRule="exact"/>
        <w:ind w:firstLine="700"/>
        <w:jc w:val="left"/>
      </w:pPr>
      <w:r>
        <w:rPr>
          <w:rFonts w:hint="eastAsia" w:ascii="宋体" w:hAnsi="宋体" w:eastAsia="宋体"/>
          <w:color w:val="000000"/>
          <w:sz w:val="30"/>
        </w:rPr>
        <w:t>1、道路运输市场运作情况</w:t>
      </w:r>
    </w:p>
    <w:p>
      <w:pPr>
        <w:spacing w:line="540" w:lineRule="exact"/>
        <w:ind w:firstLine="700"/>
        <w:jc w:val="both"/>
      </w:pPr>
      <w:r>
        <w:rPr>
          <w:rFonts w:hint="eastAsia" w:ascii="宋体" w:hAnsi="宋体" w:eastAsia="宋体"/>
          <w:color w:val="000000"/>
          <w:sz w:val="30"/>
        </w:rPr>
        <w:t>全区营运车辆拥有量为940辆，其中营运货车805辆，营运客车121辆，客运班线96条，投放公交车8辆，公交线路4条，巡游出租车6辆，全区乡镇通车率100％，行政村通车率100％；辖区内有机动车维修企业114家，其中一类维修企业2家，二类维修企业13家，三类维修企业70家，摩托车维修28家；普通货运公司1家，物流公司5家，货运源头企业2家，驾驶员培训学校2家。</w:t>
      </w:r>
    </w:p>
    <w:p>
      <w:pPr>
        <w:spacing w:line="540" w:lineRule="exact"/>
        <w:ind w:firstLine="594" w:firstLineChars="200"/>
        <w:jc w:val="left"/>
      </w:pPr>
      <w:r>
        <w:rPr>
          <w:rFonts w:hint="eastAsia" w:ascii="宋体" w:hAnsi="宋体" w:eastAsia="宋体"/>
          <w:color w:val="000000"/>
          <w:sz w:val="30"/>
        </w:rPr>
        <w:t>行政许可情况：受理行政许可件82件，办结率100％，更新班线客车9辆，延期班线客车4辆，新增班线客车12辆，许可</w:t>
      </w:r>
      <w:r>
        <w:rPr>
          <w:color w:val="000000"/>
          <w:sz w:val="30"/>
        </w:rPr>
        <w:t>货运车辆57辆。</w:t>
      </w:r>
    </w:p>
    <w:p>
      <w:pPr>
        <w:spacing w:line="540" w:lineRule="exact"/>
        <w:ind w:firstLine="700"/>
        <w:jc w:val="both"/>
        <w:sectPr>
          <w:type w:val="continuous"/>
          <w:pgSz w:w="11900" w:h="16840"/>
          <w:pgMar w:top="1984" w:right="1417" w:bottom="1814" w:left="1587" w:header="850" w:footer="1417" w:gutter="0"/>
          <w:pgNumType w:fmt="decimal"/>
          <w:cols w:space="0" w:num="1"/>
          <w:titlePg/>
          <w:rtlGutter w:val="0"/>
          <w:docGrid w:type="linesAndChars" w:linePitch="592" w:charSpace="-639"/>
        </w:sectPr>
      </w:pPr>
    </w:p>
    <w:p>
      <w:pPr>
        <w:spacing w:line="540" w:lineRule="exact"/>
        <w:ind w:firstLine="620"/>
        <w:jc w:val="both"/>
      </w:pPr>
      <w:r>
        <w:rPr>
          <w:color w:val="000000"/>
          <w:sz w:val="30"/>
        </w:rPr>
        <w:t>行政处罚情况：全年来出动执法人员1327人次，检查车辆2175台次，组织较大规模的打非治违专项整治行动6次，查处各类道路运输违法违规经营行为72起，其中，查扣涉嫌非法营运车辆22台次，纠正其他违规经营行为50起，收缴罚款4.5万余元。</w:t>
      </w:r>
    </w:p>
    <w:p>
      <w:pPr>
        <w:spacing w:line="520" w:lineRule="exact"/>
        <w:ind w:firstLine="620"/>
        <w:jc w:val="both"/>
      </w:pPr>
      <w:r>
        <w:rPr>
          <w:color w:val="000000"/>
          <w:sz w:val="28"/>
        </w:rPr>
        <w:t>行政检查情况：每月不定期对辖区道路旅客运输企业、普通货物运输企业、货运源头企业、机动车维修企业及业户、客运站、机动车驾驶培训学校、寄递物流企业等开展综合督查和专项督查，全年来开展检查工作16次，排查出安全隐患13起，已按要求整改完毕，实现了隐患清零。</w:t>
      </w:r>
    </w:p>
    <w:p>
      <w:pPr>
        <w:spacing w:line="540" w:lineRule="exact"/>
        <w:ind w:firstLine="620"/>
        <w:jc w:val="both"/>
      </w:pPr>
      <w:r>
        <w:rPr>
          <w:color w:val="000000"/>
          <w:sz w:val="30"/>
        </w:rPr>
        <w:t>从业人员继续教育培训情况：组织召开重大节假日及特殊时期道路运输行业从业人员专题培训会议4次，参加驾驶员继续教育培训的人数为1430人，合格人数为1430人，合格率达100％。</w:t>
      </w:r>
    </w:p>
    <w:p>
      <w:pPr>
        <w:spacing w:line="540" w:lineRule="exact"/>
        <w:ind w:firstLine="620"/>
        <w:jc w:val="both"/>
      </w:pPr>
      <w:r>
        <w:rPr>
          <w:color w:val="000000"/>
          <w:sz w:val="30"/>
        </w:rPr>
        <w:t>营运车辆信息化管理情况：全区营运车辆累计安装GPS监控系统372辆，其中客运车辆121辆，公交车8辆，出租车6辆，重型货车201辆，教练车36辆，客运站、客运企业及一、二类维修企业均已安装监控视频。</w:t>
      </w:r>
    </w:p>
    <w:p>
      <w:pPr>
        <w:spacing w:line="240" w:lineRule="auto"/>
        <w:ind w:firstLine="0" w:firstLineChars="0"/>
        <w:jc w:val="both"/>
        <w:rPr>
          <w:rFonts w:hint="eastAsia" w:eastAsiaTheme="minorEastAsia"/>
          <w:lang w:eastAsia="zh-CN"/>
        </w:rPr>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春运及重大节假日道路运输情况：春运期间，发放各类宣传资料1000余份，悬挂标语20余幅，日均投放客车114辆，共开行4257班次，安全运送旅客6.06万余人次；为加强春运工作的安全有序，共出动执法人员275人次，执法车辆40台次，检查车辆1428台次，共查处非法营运车辆1台次，纠正违规经营行为18台次，并派出工作人员200余人次，在元坝汽车站开展疫情防控工作，无群众投诉上访事件</w:t>
      </w:r>
      <w:r>
        <w:rPr>
          <w:rFonts w:hint="eastAsia"/>
          <w:color w:val="000000"/>
          <w:sz w:val="30"/>
          <w:lang w:eastAsia="zh-CN"/>
        </w:rPr>
        <w:t>。春</w:t>
      </w:r>
    </w:p>
    <w:p>
      <w:pPr>
        <w:spacing w:line="240" w:lineRule="auto"/>
        <w:ind w:firstLine="0"/>
        <w:jc w:val="both"/>
      </w:pPr>
      <w:r>
        <w:rPr>
          <w:color w:val="000000"/>
          <w:sz w:val="30"/>
        </w:rPr>
        <w:t>运期间我区未发生因运政管理而导致的任何大小旅客运输安全事故，未出现过旅客滞留现象，圆满完成了春运期间旅客运输工作任务。</w:t>
      </w:r>
    </w:p>
    <w:p>
      <w:pPr>
        <w:spacing w:line="540" w:lineRule="exact"/>
        <w:ind w:firstLine="640"/>
        <w:jc w:val="both"/>
      </w:pPr>
      <w:r>
        <w:rPr>
          <w:color w:val="000000"/>
          <w:sz w:val="30"/>
        </w:rPr>
        <w:t>元旦、春节、清明、五一、中秋国庆等节假日期间，我所认真按照上级部门工作安排，严格执行24小时值班制，每日8点交接班，并按要求做好了当日值班记录，期间道路运输秩序良好。</w:t>
      </w:r>
    </w:p>
    <w:p>
      <w:pPr>
        <w:spacing w:line="540" w:lineRule="exact"/>
        <w:ind w:firstLine="640"/>
        <w:jc w:val="both"/>
      </w:pPr>
      <w:r>
        <w:rPr>
          <w:color w:val="000000"/>
          <w:sz w:val="30"/>
        </w:rPr>
        <w:t>12328、12345及其他渠道投诉处理情况：进一步完善信访投诉工作机制，落实专人负责道路运输监督投诉电话“12328”、“12345”的受理、查处、回复、转办等各个运行环节。坚持对重大投诉事件“立即查，现场查、不过夜”的原则，对道路运输行业的监管起到了直接、高效的作用。全年来共受理信访投诉、咨询128起，处理回复率达100％，提高了运管部门的社会公信度，切实保障了广大乘客和道路运输经营业户的合法权益。</w:t>
      </w:r>
    </w:p>
    <w:p>
      <w:pPr>
        <w:spacing w:line="540" w:lineRule="exact"/>
        <w:ind w:firstLine="640"/>
        <w:jc w:val="both"/>
      </w:pPr>
      <w:r>
        <w:rPr>
          <w:color w:val="000000"/>
          <w:sz w:val="30"/>
        </w:rPr>
        <w:t>省市补助资金兑付情况：因区财力紧张，今年足额向公司兑付了去年未支付的2018年、2019年度农村道路客运车辆燃油补贴614.11万元；2019年第四批交通建设省级补助资金（2019年度道路营运车辆主动安全智能防空系统）13万元；2019年度农村客运省级补助资金100万元；城市公交2018年度清算补贴42.84万元；农村客运购置补贴10万元。</w:t>
      </w:r>
    </w:p>
    <w:p>
      <w:pPr>
        <w:spacing w:line="540" w:lineRule="exact"/>
        <w:ind w:firstLine="640"/>
        <w:jc w:val="both"/>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疫情防控工作：为持续高效打好新冠肺炎疫情防控攻坚战，坚决阻断疫情在道路运输行业领域蔓延扩散，区运管所全员参战，在辖区各高速公路收费站、汽车站、渡口与公安、医务、民兵、镇工作人员一起投入到疫情防控工作中，严格按照“四查、三转、一登记”原则，对车辆人员进行严格排查，坚决做到不漏</w:t>
      </w:r>
    </w:p>
    <w:p>
      <w:pPr>
        <w:spacing w:line="540" w:lineRule="exact"/>
        <w:ind w:firstLine="0"/>
        <w:jc w:val="left"/>
      </w:pPr>
      <w:r>
        <w:rPr>
          <w:color w:val="000000"/>
          <w:sz w:val="30"/>
        </w:rPr>
        <w:t>一车一人，经过月余奋战，累计检查车辆 104882台次、排查人员245970人次，有效保障了辖区人民群众生命健康安全。</w:t>
      </w:r>
    </w:p>
    <w:p>
      <w:pPr>
        <w:spacing w:line="540" w:lineRule="exact"/>
        <w:ind w:firstLine="820"/>
        <w:jc w:val="both"/>
      </w:pPr>
      <w:r>
        <w:rPr>
          <w:color w:val="000000"/>
          <w:sz w:val="30"/>
        </w:rPr>
        <w:t>“春风行动”：为统筹做好农民工安全有序返岗运输服务保障工作，严格按照省交通运输厅、市委市政府、区委区政府的统一安排部署，根据区应急指挥部《关于成立农民工服务保障工作组的通知》（昭防指办发［2020］56号）任务分工，迅速启动农民工安全有序返岗“春风行动”，认真筹划前期宣传发动、市场管控、优质服务等各个环节，按照“一车（机）一方案、一车（机）一车长、一车（机）一医护”原则，协调专车、专列、专机一站式直达，累计完成6批“春风行动”农民工返岗运输任务，共运送1460余名农民工前往浙江、北京等地务工，有效解决了疫情期间农民工出行需求，实现了农民工返岗就业时间最短、风险最小、保障最有力的目标。</w:t>
      </w:r>
    </w:p>
    <w:p>
      <w:pPr>
        <w:spacing w:line="540" w:lineRule="exact"/>
        <w:ind w:firstLine="620"/>
        <w:jc w:val="left"/>
      </w:pPr>
      <w:r>
        <w:rPr>
          <w:color w:val="000000"/>
          <w:sz w:val="30"/>
        </w:rPr>
        <w:t>2、道路运输市场安全监管工作开展情况</w:t>
      </w:r>
    </w:p>
    <w:p>
      <w:pPr>
        <w:spacing w:line="540" w:lineRule="exact"/>
        <w:ind w:firstLine="660"/>
        <w:jc w:val="both"/>
      </w:pPr>
      <w:r>
        <w:rPr>
          <w:color w:val="000000"/>
          <w:sz w:val="30"/>
        </w:rPr>
        <w:t>为加强对道路运输安全工作的领导，成立以所长任组长、副所长为副组长，各股室负责人及部分运输企业法人代表为成员的领导小组，制定工作方案，签订目标责任书，明确责任，细化工作措施。</w:t>
      </w:r>
    </w:p>
    <w:p>
      <w:pPr>
        <w:spacing w:line="540" w:lineRule="exact"/>
        <w:ind w:firstLine="640"/>
        <w:jc w:val="both"/>
      </w:pPr>
      <w:r>
        <w:rPr>
          <w:color w:val="000000"/>
          <w:sz w:val="30"/>
        </w:rPr>
        <w:t>一是组织客货运、维修、驾培等运输企业召开安全生产专题培训会议，传达学习上级部门安全管理文件精神及行业法律法规；组织召开安全生产工作领导小组会议，分析当前道路运输安全生产形势，安排部署季度安全生产工作。</w:t>
      </w:r>
    </w:p>
    <w:p>
      <w:pPr>
        <w:spacing w:line="540" w:lineRule="exact"/>
        <w:ind w:firstLine="640"/>
        <w:jc w:val="both"/>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二是与各道路运输企业签订安全目标责任书。并督促各运输企业法人代表与分管负责人和从业人员层层签订安全生产责任</w:t>
      </w:r>
    </w:p>
    <w:p>
      <w:pPr>
        <w:spacing w:line="600" w:lineRule="exact"/>
        <w:ind w:firstLine="0"/>
        <w:jc w:val="both"/>
      </w:pPr>
      <w:r>
        <w:rPr>
          <w:color w:val="000000"/>
          <w:sz w:val="30"/>
        </w:rPr>
        <w:t>书，建立法人代表全面负责，分管安全负责人具体负责的安全生产责任体系，强化安全生产主体责任，确保安全生产责任落实。</w:t>
      </w:r>
    </w:p>
    <w:p>
      <w:pPr>
        <w:spacing w:line="580" w:lineRule="exact"/>
        <w:ind w:firstLine="640"/>
        <w:jc w:val="left"/>
      </w:pPr>
      <w:r>
        <w:rPr>
          <w:color w:val="000000"/>
          <w:sz w:val="30"/>
        </w:rPr>
        <w:t>3、脱贫攻坚工作开展情况</w:t>
      </w:r>
    </w:p>
    <w:p>
      <w:pPr>
        <w:spacing w:line="560" w:lineRule="exact"/>
        <w:ind w:firstLine="640"/>
        <w:jc w:val="both"/>
      </w:pPr>
      <w:r>
        <w:rPr>
          <w:color w:val="000000"/>
          <w:sz w:val="28"/>
        </w:rPr>
        <w:t>行业扶贫达标建设：根据广元市脱贫攻坚指挥部（领导小组）关于印发《建制村通客车工作推进方案》的通知（广脱贫指发（2020）10号）文件精神，一是提升改造客运站10个，维修村级招呼站84个，新建村级招呼站、牌161个；二是整合现有农村客运车辆资源，以班线客运、预约响应、公交运行等方式优化农村客运线路，同时鼓励开通“上学班”“赶集班”“节日班”等班线，不断向村一级延伸，落实农村客运油补、保险、亏损补贴等项优惠、补贴政策，确保了我区212个建制村全覆盖；三是抓好“金通工程”试点工作，研究制定我区“金通工程”实施方案，积极督促企业按照“五统一”要求 加快我区农村客运发展。</w:t>
      </w:r>
    </w:p>
    <w:p>
      <w:pPr>
        <w:spacing w:line="520" w:lineRule="exact"/>
        <w:ind w:firstLine="640"/>
        <w:jc w:val="both"/>
      </w:pPr>
      <w:r>
        <w:rPr>
          <w:color w:val="000000"/>
          <w:sz w:val="30"/>
        </w:rPr>
        <w:t>积极动员社会力量，以购代帮拓销路，及时为贫困户解决农产品销路难问题，累计销售中华村各类水果580斤、跑山鸡300余只、土鸭180余只、鸡蛋3800余枚、皮蛋1100余枚，农特产品总价值约40000余元。</w:t>
      </w:r>
    </w:p>
    <w:p>
      <w:pPr>
        <w:spacing w:line="580" w:lineRule="exact"/>
        <w:ind w:firstLine="640"/>
        <w:jc w:val="left"/>
      </w:pPr>
      <w:r>
        <w:rPr>
          <w:color w:val="000000"/>
          <w:sz w:val="30"/>
        </w:rPr>
        <w:t>4、运政队伍建设情况</w:t>
      </w:r>
    </w:p>
    <w:p>
      <w:pPr>
        <w:spacing w:line="540" w:lineRule="exact"/>
        <w:ind w:firstLine="640"/>
        <w:jc w:val="both"/>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一是始终坚持热情周到服务。区政务中心设立的运政服务窗口，为方便前来办事的业户，以延长工作时间、利用午休时间给予办理，做到了业户随到随办，及时办理。进一步创新服务模式，鼓励群众采取登录四川省政务服务网实行在线申请、在线办结运政业务的网上办理模式，或电话预约模式，错峰出行提高办事效</w:t>
      </w:r>
    </w:p>
    <w:p>
      <w:pPr>
        <w:spacing w:line="560" w:lineRule="exact"/>
        <w:ind w:firstLine="0"/>
        <w:jc w:val="both"/>
      </w:pPr>
      <w:r>
        <w:rPr>
          <w:color w:val="000000"/>
          <w:sz w:val="30"/>
        </w:rPr>
        <w:t>率，减少集聚和逗留时间，防止新冠肺炎交叉感染，确保政务服务在疫情期间不掉线，尽力为群众提供方便，全心全意为群众服务。</w:t>
      </w:r>
    </w:p>
    <w:p>
      <w:pPr>
        <w:spacing w:line="560" w:lineRule="exact"/>
        <w:ind w:firstLine="640"/>
        <w:jc w:val="both"/>
      </w:pPr>
      <w:r>
        <w:rPr>
          <w:color w:val="000000"/>
          <w:sz w:val="30"/>
        </w:rPr>
        <w:t>二是始终坚持公开、公平、公正执法。在“五公开、一监督”的基础上，对运政执法实行了“六个公示”制度，实行阳光执法，增强执法透明度；执法过程中坚持以教育为主，处罚为辅的原则；积极组织执法人员参加各类执法工作教育培训3次，不断提高法纪意识，树立风纪严整、文明执法、热情服务的运政队伍形象。</w:t>
      </w:r>
    </w:p>
    <w:p>
      <w:pPr>
        <w:spacing w:line="560" w:lineRule="exact"/>
        <w:ind w:firstLine="640"/>
        <w:jc w:val="both"/>
      </w:pPr>
      <w:r>
        <w:rPr>
          <w:color w:val="000000"/>
          <w:sz w:val="30"/>
        </w:rPr>
        <w:t>三是扎实开展机关效能建设、政风行风建设工作的组织落实。坚持边学、边查、边改，广泛征求意见和建议，勇于开展批评与自我批评，以群众满意度为标准，提高管理和服务水平为核心，认真落实整改征求到的建议和意见，做到了全心全意为群众服务。</w:t>
      </w:r>
    </w:p>
    <w:p>
      <w:pPr>
        <w:spacing w:line="540" w:lineRule="exact"/>
        <w:ind w:firstLine="640"/>
        <w:jc w:val="left"/>
      </w:pPr>
      <w:r>
        <w:rPr>
          <w:color w:val="000000"/>
          <w:sz w:val="30"/>
        </w:rPr>
        <w:t>5、党建工作开展情况</w:t>
      </w:r>
    </w:p>
    <w:p>
      <w:pPr>
        <w:spacing w:line="560" w:lineRule="exact"/>
        <w:ind w:firstLine="640"/>
        <w:jc w:val="both"/>
      </w:pPr>
      <w:r>
        <w:rPr>
          <w:color w:val="000000"/>
          <w:sz w:val="30"/>
        </w:rPr>
        <w:t>一是全面落实党建工作。严格按照区委、区交通运输局党组党建工作总体部署，强化党建意识。召开党建专题会议，按照年度党建工作思路和工作计划，与各部门股室签订党建目标责任书、党风廉政建设责任书。认真落实“三会一课”制度，全年召开党支部委员会12次，党员大会5次。进一步增强了党员“四个意识”，提升了党组织凝聚力。</w:t>
      </w:r>
    </w:p>
    <w:p>
      <w:pPr>
        <w:spacing w:line="560" w:lineRule="exact"/>
        <w:ind w:firstLine="640"/>
        <w:jc w:val="both"/>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二是加强党风廉政建设。以作风纪律深化年为契机，在全体党员干部中深入开展以案促改，促进各项作风纪律工作的落实，进一步巩固作风纪律建设成果。建立了长效机制，强化效能问责，</w:t>
      </w:r>
    </w:p>
    <w:p>
      <w:pPr>
        <w:spacing w:line="580" w:lineRule="exact"/>
        <w:ind w:firstLine="0"/>
        <w:jc w:val="both"/>
      </w:pPr>
      <w:r>
        <w:rPr>
          <w:color w:val="000000"/>
          <w:sz w:val="30"/>
        </w:rPr>
        <w:t>把工作重心落实到为群众服务上，不断提升工作质量和工作成效。通过法纪教育、警示教育和先进典型教育，增强党员干部的宗旨意识、使命意识和责任意识。</w:t>
      </w:r>
    </w:p>
    <w:p>
      <w:pPr>
        <w:spacing w:after="80" w:line="580" w:lineRule="exact"/>
        <w:ind w:firstLine="640"/>
        <w:jc w:val="both"/>
      </w:pPr>
      <w:r>
        <w:rPr>
          <w:color w:val="000000"/>
          <w:sz w:val="30"/>
        </w:rPr>
        <w:t>三是严格执行中央八项规定、省委省政法十项规定和市委六个带头要求，严防“四风”。广泛开展群众性文化活动，进一步提升党员干部的文化素养，单位无违规违纪现象。党支部聚焦“两不愁”“三保障”“四个好”的目标，认真贯彻落实党建扶贫工作，确保了帮扶的中华村持续稳定增收，贫困户无返贫现象。实现了党建和帮扶工作的有序推进。</w:t>
      </w:r>
    </w:p>
    <w:p>
      <w:pPr>
        <w:spacing w:line="580" w:lineRule="exact"/>
        <w:ind w:firstLine="640"/>
        <w:jc w:val="left"/>
      </w:pPr>
      <w:r>
        <w:rPr>
          <w:color w:val="000000"/>
          <w:sz w:val="30"/>
        </w:rPr>
        <w:t>二、机构设置</w:t>
      </w:r>
    </w:p>
    <w:p>
      <w:pPr>
        <w:spacing w:line="580" w:lineRule="exact"/>
        <w:ind w:firstLine="640"/>
        <w:jc w:val="both"/>
      </w:pPr>
      <w:r>
        <w:rPr>
          <w:color w:val="000000"/>
          <w:sz w:val="30"/>
        </w:rPr>
        <w:t>区运管所成立于1990年，主管部门为区交通运输局，现为参公管理的事业单位，一级预算单位。总编制10人，实有人数17人，其中参公管理7人，事业人员3人，协助执法人员7人。单位设办公室、运政股、车管股、驾培股、安全股、法规股、稽查中队、计财股。下属二级单位0个，其中行政单位0个，参照公务员法管理的事业单位0个，其他事业单位0个。</w:t>
      </w:r>
    </w:p>
    <w:p>
      <w:pPr>
        <w:spacing w:line="580" w:lineRule="exact"/>
        <w:ind w:firstLine="640"/>
        <w:jc w:val="left"/>
      </w:pPr>
      <w:r>
        <w:rPr>
          <w:color w:val="000000"/>
          <w:sz w:val="30"/>
        </w:rPr>
        <w:t>无纳入2020年度部门决算编制范围的二级预算单位。</w:t>
      </w:r>
    </w:p>
    <w:p>
      <w:pPr>
        <w:spacing w:line="800" w:lineRule="exact"/>
        <w:jc w:val="center"/>
        <w:rPr>
          <w:color w:val="000000"/>
          <w:sz w:val="42"/>
        </w:rPr>
      </w:pPr>
    </w:p>
    <w:p>
      <w:pPr>
        <w:spacing w:line="800" w:lineRule="exact"/>
        <w:jc w:val="center"/>
      </w:pPr>
      <w:r>
        <w:rPr>
          <w:color w:val="000000"/>
          <w:sz w:val="42"/>
        </w:rPr>
        <w:t>第二部分 部门决算情况说明</w:t>
      </w:r>
    </w:p>
    <w:p>
      <w:pPr>
        <w:spacing w:line="580" w:lineRule="exact"/>
        <w:ind w:firstLine="640"/>
        <w:jc w:val="left"/>
      </w:pPr>
      <w:r>
        <w:rPr>
          <w:color w:val="000000"/>
          <w:sz w:val="30"/>
        </w:rPr>
        <w:t>一、收入支出决算总体情况说明</w:t>
      </w:r>
    </w:p>
    <w:p>
      <w:pPr>
        <w:spacing w:line="640" w:lineRule="exact"/>
        <w:ind w:firstLine="640"/>
        <w:jc w:val="both"/>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2020年度收入910.69万元，与2019年相比增加148.61万元，增加19.5％。主要变动原因是清算2019年度车辆燃油补贴、上年燃油补贴结转和省级农村客运发展补贴资金。</w:t>
      </w:r>
    </w:p>
    <w:p>
      <w:pPr>
        <w:spacing w:line="560" w:lineRule="exact"/>
        <w:ind w:firstLine="680"/>
        <w:jc w:val="left"/>
      </w:pPr>
      <w:r>
        <w:rPr>
          <w:color w:val="000000"/>
          <w:sz w:val="30"/>
        </w:rPr>
        <w:t>二、收入决算情况说明</w:t>
      </w:r>
    </w:p>
    <w:p>
      <w:pPr>
        <w:spacing w:line="560" w:lineRule="exact"/>
        <w:ind w:firstLine="680"/>
        <w:jc w:val="both"/>
      </w:pPr>
      <w:r>
        <w:rPr>
          <w:color w:val="000000"/>
          <w:sz w:val="30"/>
        </w:rPr>
        <w:t>2020年本年收入合计910.69万元，其中：一般公共服务拨款收入169.83万元，（其中社会保障和就业26.79万元，住房保障支出10.49万元等），占18.65％；项目资金预算拨款740.86万元（燃油补贴614.11万元，其他项目资金126.75万元），占81.35％。政府性基金预算财政拨款收入0万元，占0％；国有资本经营预算财政拨款收入0万元，占0％；事业收入0万元，占0％；经营收入0万元，占0％；附属单位上缴收入0万元，占0％；其他收入0万元，占0％。</w:t>
      </w:r>
    </w:p>
    <w:p>
      <w:pPr>
        <w:spacing w:line="560" w:lineRule="exact"/>
        <w:ind w:firstLine="680"/>
        <w:jc w:val="left"/>
      </w:pPr>
      <w:r>
        <w:rPr>
          <w:color w:val="000000"/>
          <w:sz w:val="30"/>
        </w:rPr>
        <w:t>三、支出决算情况说明</w:t>
      </w:r>
    </w:p>
    <w:p>
      <w:pPr>
        <w:spacing w:line="560" w:lineRule="exact"/>
        <w:ind w:firstLine="680"/>
        <w:jc w:val="both"/>
      </w:pPr>
      <w:r>
        <w:rPr>
          <w:color w:val="000000"/>
          <w:sz w:val="30"/>
        </w:rPr>
        <w:t>2020年本年支出合计910.69万元，其中：基本支出169.83万元，占18.65％；项目支出740.86万元，占81.35％；上缴上级支出0万元，占0％；经营支出0万元，占0％；对附属单位补助支出0万元，占0％。</w:t>
      </w:r>
    </w:p>
    <w:p>
      <w:pPr>
        <w:spacing w:line="560" w:lineRule="exact"/>
        <w:ind w:firstLine="680"/>
        <w:jc w:val="left"/>
      </w:pPr>
      <w:r>
        <w:rPr>
          <w:color w:val="000000"/>
          <w:sz w:val="30"/>
        </w:rPr>
        <w:t>四、财政拨款收入支出决算总体情况说明</w:t>
      </w:r>
    </w:p>
    <w:p>
      <w:pPr>
        <w:spacing w:line="560" w:lineRule="exact"/>
        <w:ind w:firstLine="680"/>
        <w:jc w:val="both"/>
      </w:pPr>
      <w:r>
        <w:rPr>
          <w:color w:val="000000"/>
          <w:sz w:val="30"/>
        </w:rPr>
        <w:t>2020年财政拨款收入910.69万元，与2019年相比增加148.61万元，增加19.5％。主要变动原因是清算2019年度车辆燃油补贴、上年燃油补贴结转和省级农村客运发展补贴资金。</w:t>
      </w:r>
    </w:p>
    <w:p>
      <w:pPr>
        <w:spacing w:line="560" w:lineRule="exact"/>
        <w:ind w:firstLine="680"/>
        <w:jc w:val="left"/>
      </w:pPr>
      <w:r>
        <w:rPr>
          <w:color w:val="000000"/>
          <w:sz w:val="30"/>
        </w:rPr>
        <w:t>五、一般公共预算财政拨款支出决算情况说明</w:t>
      </w:r>
    </w:p>
    <w:p>
      <w:pPr>
        <w:spacing w:line="560" w:lineRule="exact"/>
        <w:ind w:firstLine="680"/>
        <w:jc w:val="left"/>
      </w:pPr>
      <w:r>
        <w:rPr>
          <w:color w:val="000000"/>
          <w:sz w:val="30"/>
        </w:rPr>
        <w:t>（一）一般公共预算财政拨款支出决算总体情况</w:t>
      </w:r>
    </w:p>
    <w:p>
      <w:pPr>
        <w:spacing w:line="560" w:lineRule="exact"/>
        <w:ind w:firstLine="680"/>
        <w:jc w:val="left"/>
        <w:rPr>
          <w:rFonts w:hint="default" w:ascii="宋体" w:hAnsi="宋体" w:eastAsia="宋体" w:cs="宋体"/>
          <w:sz w:val="24"/>
          <w:szCs w:val="24"/>
          <w:lang w:val="en-US"/>
        </w:rPr>
      </w:pPr>
      <w:r>
        <w:rPr>
          <w:color w:val="000000"/>
          <w:sz w:val="30"/>
        </w:rPr>
        <w:t>2020年一般公共预算财政拨款支出169.83万元，占本年支</w:t>
      </w:r>
      <w:r>
        <w:rPr>
          <w:color w:val="000000"/>
          <w:sz w:val="32"/>
        </w:rPr>
        <w:t>出合</w:t>
      </w:r>
      <w:r>
        <w:rPr>
          <w:color w:val="000000"/>
          <w:sz w:val="31"/>
        </w:rPr>
        <w:t>计的18.64％。与2019年相比，一般公共预算财政拨款支出增加69.35万元，增加69％。</w:t>
      </w:r>
      <w:r>
        <w:rPr>
          <w:rFonts w:hint="eastAsia"/>
          <w:color w:val="000000"/>
          <w:sz w:val="31"/>
          <w:lang w:eastAsia="zh-CN"/>
        </w:rPr>
        <w:t>增加原因是农村客运车辆燃油补贴</w:t>
      </w:r>
      <w:r>
        <w:rPr>
          <w:rFonts w:hint="eastAsia"/>
          <w:color w:val="000000"/>
          <w:sz w:val="31"/>
          <w:lang w:val="en-US" w:eastAsia="zh-CN"/>
        </w:rPr>
        <w:t>增加。</w:t>
      </w:r>
    </w:p>
    <w:p>
      <w:pPr>
        <w:spacing w:line="560" w:lineRule="exact"/>
        <w:ind w:firstLine="680"/>
        <w:jc w:val="left"/>
      </w:pPr>
      <w:r>
        <w:rPr>
          <w:color w:val="000000"/>
          <w:sz w:val="30"/>
        </w:rPr>
        <w:t>（二）一般公共预算财政拨款支出决算结构情况</w:t>
      </w:r>
    </w:p>
    <w:p>
      <w:pPr>
        <w:spacing w:line="580" w:lineRule="exact"/>
        <w:ind w:firstLine="680"/>
        <w:jc w:val="both"/>
      </w:pPr>
      <w:r>
        <w:rPr>
          <w:color w:val="000000"/>
          <w:sz w:val="31"/>
        </w:rPr>
        <w:t>2020年一般公共预算财政拨款支出169.83万元，主要用于以下方面：一般公共服务（类）支出148.42万元，占87.39％；教育支出（类）0万元，占0％；科学技术（类）支出0万元，占0％；社会保障和就业（类）支出10.79万元，占6.35％；医疗卫生支出16万元，占9.42％；住房保障支出10.49万元，占6.18％。</w:t>
      </w:r>
    </w:p>
    <w:p>
      <w:pPr>
        <w:spacing w:line="560" w:lineRule="exact"/>
        <w:ind w:firstLine="680"/>
        <w:jc w:val="left"/>
      </w:pPr>
      <w:r>
        <w:rPr>
          <w:color w:val="000000"/>
          <w:sz w:val="30"/>
        </w:rPr>
        <w:t>（三）一般公共预算财政拨款支出决算具体情况</w:t>
      </w:r>
    </w:p>
    <w:p>
      <w:pPr>
        <w:spacing w:line="560" w:lineRule="exact"/>
        <w:ind w:firstLine="680"/>
        <w:jc w:val="both"/>
      </w:pPr>
      <w:r>
        <w:rPr>
          <w:color w:val="000000"/>
          <w:sz w:val="30"/>
        </w:rPr>
        <w:t>2020年般公共预算支出决算数为910.69万元，完成预算100％。其中：</w:t>
      </w:r>
    </w:p>
    <w:p>
      <w:pPr>
        <w:spacing w:line="520" w:lineRule="exact"/>
        <w:ind w:firstLine="680"/>
        <w:jc w:val="both"/>
        <w:rPr>
          <w:rFonts w:hint="default" w:eastAsiaTheme="minorEastAsia"/>
          <w:lang w:val="en-US" w:eastAsia="zh-CN"/>
        </w:rPr>
      </w:pPr>
      <w:r>
        <w:rPr>
          <w:color w:val="000000"/>
          <w:sz w:val="28"/>
        </w:rPr>
        <w:t>1．一般公共服务公路运输管理：支出决算为169.83万元，完成预算18.64％，决算数小于预算数。</w:t>
      </w:r>
      <w:r>
        <w:rPr>
          <w:rFonts w:hint="eastAsia"/>
          <w:color w:val="000000"/>
          <w:sz w:val="28"/>
          <w:lang w:val="en-US" w:eastAsia="zh-CN"/>
        </w:rPr>
        <w:t>原因是年终追减农村客运运行补贴</w:t>
      </w:r>
      <w:r>
        <w:rPr>
          <w:rFonts w:hint="eastAsia" w:ascii="仿宋_GB2312" w:eastAsia="仿宋_GB2312"/>
          <w:color w:val="000000"/>
          <w:sz w:val="32"/>
          <w:szCs w:val="32"/>
        </w:rPr>
        <w:t>。</w:t>
      </w:r>
    </w:p>
    <w:p>
      <w:pPr>
        <w:spacing w:line="520" w:lineRule="exact"/>
        <w:ind w:firstLine="680"/>
        <w:jc w:val="left"/>
      </w:pPr>
      <w:r>
        <w:rPr>
          <w:color w:val="000000"/>
          <w:sz w:val="28"/>
        </w:rPr>
        <w:t>2．教育：支出决算为0万元，完成预算100％。</w:t>
      </w:r>
    </w:p>
    <w:p>
      <w:pPr>
        <w:spacing w:line="520" w:lineRule="exact"/>
        <w:ind w:firstLine="680"/>
        <w:jc w:val="left"/>
      </w:pPr>
      <w:r>
        <w:rPr>
          <w:color w:val="000000"/>
          <w:sz w:val="28"/>
        </w:rPr>
        <w:t>3．科学技术：支出决算为0万元，完成预算100％。</w:t>
      </w:r>
    </w:p>
    <w:p>
      <w:pPr>
        <w:spacing w:line="520" w:lineRule="exact"/>
        <w:ind w:firstLine="680"/>
        <w:jc w:val="left"/>
      </w:pPr>
      <w:r>
        <w:rPr>
          <w:color w:val="000000"/>
          <w:sz w:val="28"/>
        </w:rPr>
        <w:t>4．文化体育与传媒：支出决算为0万元，完成预算100％，。</w:t>
      </w:r>
    </w:p>
    <w:p>
      <w:pPr>
        <w:spacing w:line="520" w:lineRule="exact"/>
        <w:ind w:firstLine="680"/>
        <w:jc w:val="both"/>
        <w:rPr>
          <w:color w:val="000000"/>
          <w:sz w:val="28"/>
        </w:rPr>
      </w:pPr>
      <w:r>
        <w:rPr>
          <w:color w:val="000000"/>
          <w:sz w:val="28"/>
        </w:rPr>
        <w:t>5．机关事业单位基本养老保险缴费支出：支出决算为10.79万元，完成预算100％，决算数等于预算数。</w:t>
      </w:r>
    </w:p>
    <w:p>
      <w:pPr>
        <w:spacing w:line="520" w:lineRule="exact"/>
        <w:ind w:firstLine="680"/>
        <w:jc w:val="both"/>
      </w:pPr>
      <w:r>
        <w:rPr>
          <w:color w:val="000000"/>
          <w:sz w:val="28"/>
        </w:rPr>
        <w:t>6．事业单位医疗：支出决算为16万元，完成预算100％，决算数等于预算数。</w:t>
      </w:r>
    </w:p>
    <w:p>
      <w:pPr>
        <w:spacing w:line="540" w:lineRule="exact"/>
        <w:ind w:left="680" w:firstLine="0"/>
        <w:jc w:val="both"/>
        <w:rPr>
          <w:color w:val="000000"/>
          <w:sz w:val="28"/>
        </w:rPr>
      </w:pPr>
      <w:r>
        <w:rPr>
          <w:color w:val="000000"/>
          <w:sz w:val="28"/>
        </w:rPr>
        <w:t>六、一般公共预算财政拨款基本支出决算情况说明2020年度一般公</w:t>
      </w:r>
    </w:p>
    <w:p>
      <w:pPr>
        <w:spacing w:line="540" w:lineRule="exact"/>
        <w:jc w:val="both"/>
      </w:pPr>
      <w:r>
        <w:rPr>
          <w:color w:val="000000"/>
          <w:sz w:val="28"/>
        </w:rPr>
        <w:t>共预算财政拨款基本支出169.83万元，其中：人员经费148.42万元，主要包括：基本工资、津贴补贴、</w:t>
      </w:r>
      <w:r>
        <w:rPr>
          <w:color w:val="000000"/>
          <w:sz w:val="30"/>
        </w:rPr>
        <w:t>奖金、伙食补助费、绩效工资、机关事业单位基本养老保险缴费、职业年金缴费、其他社会保障缴费、其他工资福利支出、生活补助、医疗费、奖励金、住房公积金、其他对个人和家庭的补助支出等。</w:t>
      </w:r>
    </w:p>
    <w:p>
      <w:pPr>
        <w:spacing w:line="540" w:lineRule="exact"/>
        <w:ind w:firstLine="680"/>
        <w:jc w:val="both"/>
      </w:pPr>
      <w:r>
        <w:rPr>
          <w:color w:val="000000"/>
          <w:sz w:val="28"/>
        </w:rPr>
        <w:t>公用经费21.42万元，主要包括：办公费、印刷费、咨询费、手续费、水费、电费、邮电费、差旅费、因公出国（境）费用、维修（护）费、租赁费、会议费、培训费、公务接待费、劳务费、委托业务费、工会经费、福利费、其他交通费、税金及附加费用、其他商品和服务支出、办公设备购置、专用设备购置、信息网络及软件购置更新、其他资本性支出等。</w:t>
      </w:r>
    </w:p>
    <w:p>
      <w:pPr>
        <w:spacing w:line="560" w:lineRule="exact"/>
        <w:ind w:firstLine="680"/>
        <w:jc w:val="left"/>
      </w:pPr>
      <w:r>
        <w:rPr>
          <w:color w:val="000000"/>
          <w:sz w:val="30"/>
        </w:rPr>
        <w:t>七、“三公”经费财政拨款支出决算情况说明</w:t>
      </w:r>
    </w:p>
    <w:p>
      <w:pPr>
        <w:spacing w:line="580" w:lineRule="exact"/>
        <w:ind w:firstLine="680"/>
        <w:jc w:val="left"/>
      </w:pPr>
      <w:r>
        <w:rPr>
          <w:color w:val="000000"/>
          <w:sz w:val="30"/>
        </w:rPr>
        <w:t>（一）“三公”经费财政拨款支出决算总体情况说明</w:t>
      </w:r>
    </w:p>
    <w:p>
      <w:pPr>
        <w:spacing w:line="580" w:lineRule="exact"/>
        <w:ind w:firstLine="680"/>
        <w:jc w:val="both"/>
      </w:pPr>
      <w:r>
        <w:rPr>
          <w:color w:val="000000"/>
          <w:sz w:val="30"/>
        </w:rPr>
        <w:t>2020年度“三公”经费财政拨款支出决算为1万元，完成预算100％，比预算“三公”经费节约开支44.44％。决算数小于预算数的主要原因是严格控制公务接待和接待标准。</w:t>
      </w:r>
    </w:p>
    <w:p>
      <w:pPr>
        <w:spacing w:line="580" w:lineRule="exact"/>
        <w:ind w:firstLine="680"/>
        <w:jc w:val="left"/>
      </w:pPr>
      <w:r>
        <w:rPr>
          <w:color w:val="000000"/>
          <w:sz w:val="30"/>
        </w:rPr>
        <w:t>（二）“三公”经费财政拨款支出决算具体情况说明</w:t>
      </w:r>
    </w:p>
    <w:p>
      <w:pPr>
        <w:spacing w:line="580" w:lineRule="exact"/>
        <w:ind w:firstLine="680"/>
        <w:jc w:val="both"/>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2020年度“三公”经费财政拨款支出决算中，因公出国（境）费支出决算0万元，占0％；公务用车购置及运行维护费支出决算0万元，占0％；主要用于执行公务、开展业务活动开支的交通费、住宿费、用餐费等。国内公务接待27批次，210人次（不包括陪同人员），共计支出1万元。公务接待费支出决算比2019年少0.2万元，减少0.17％主要是减少工作接洽招待费。具体情况如下：</w:t>
      </w:r>
    </w:p>
    <w:p>
      <w:pPr>
        <w:spacing w:line="560" w:lineRule="exact"/>
        <w:ind w:firstLine="640"/>
        <w:jc w:val="both"/>
      </w:pPr>
      <w:r>
        <w:rPr>
          <w:color w:val="000000"/>
          <w:sz w:val="30"/>
        </w:rPr>
        <w:t>1．</w:t>
      </w:r>
      <w:r>
        <w:rPr>
          <w:rFonts w:hint="eastAsia"/>
          <w:color w:val="000000"/>
          <w:sz w:val="30"/>
        </w:rPr>
        <w:t>因公出国经费支出0万元，年初未安排预算，与上年数无变化</w:t>
      </w:r>
      <w:r>
        <w:rPr>
          <w:color w:val="000000"/>
          <w:sz w:val="30"/>
        </w:rPr>
        <w:t>。</w:t>
      </w:r>
    </w:p>
    <w:p>
      <w:pPr>
        <w:spacing w:line="560" w:lineRule="exact"/>
        <w:ind w:firstLine="640"/>
        <w:jc w:val="both"/>
      </w:pPr>
      <w:r>
        <w:rPr>
          <w:color w:val="000000"/>
          <w:sz w:val="30"/>
        </w:rPr>
        <w:t>2．公务用车购置及运行维护费支出0万元，</w:t>
      </w:r>
      <w:r>
        <w:rPr>
          <w:rFonts w:hint="eastAsia"/>
          <w:color w:val="000000"/>
          <w:sz w:val="30"/>
        </w:rPr>
        <w:t>年初未安排预算</w:t>
      </w:r>
      <w:r>
        <w:rPr>
          <w:color w:val="000000"/>
          <w:sz w:val="30"/>
        </w:rPr>
        <w:t>。公务用车购置及运行维护费支出决算比2019年</w:t>
      </w:r>
      <w:r>
        <w:rPr>
          <w:rFonts w:hint="eastAsia"/>
          <w:color w:val="000000"/>
          <w:sz w:val="30"/>
          <w:lang w:eastAsia="zh-CN"/>
        </w:rPr>
        <w:t>无变化</w:t>
      </w:r>
      <w:r>
        <w:rPr>
          <w:color w:val="000000"/>
          <w:sz w:val="30"/>
        </w:rPr>
        <w:t>。</w:t>
      </w:r>
    </w:p>
    <w:p>
      <w:pPr>
        <w:spacing w:line="560" w:lineRule="exact"/>
        <w:ind w:firstLine="640"/>
        <w:jc w:val="both"/>
      </w:pPr>
      <w:r>
        <w:rPr>
          <w:color w:val="000000"/>
          <w:sz w:val="30"/>
        </w:rPr>
        <w:t>其中：公务用车购置支出0万元</w:t>
      </w:r>
      <w:r>
        <w:rPr>
          <w:rFonts w:hint="eastAsia"/>
          <w:color w:val="000000"/>
          <w:sz w:val="30"/>
          <w:lang w:eastAsia="zh-CN"/>
        </w:rPr>
        <w:t>，</w:t>
      </w:r>
      <w:r>
        <w:rPr>
          <w:color w:val="000000"/>
          <w:sz w:val="30"/>
        </w:rPr>
        <w:t>年初未安排预算。</w:t>
      </w:r>
    </w:p>
    <w:p>
      <w:pPr>
        <w:spacing w:line="560" w:lineRule="exact"/>
        <w:ind w:firstLine="1494" w:firstLineChars="503"/>
        <w:jc w:val="left"/>
      </w:pPr>
      <w:r>
        <w:rPr>
          <w:color w:val="000000"/>
          <w:sz w:val="30"/>
        </w:rPr>
        <w:t>公务用车运行维护费支出0万元</w:t>
      </w:r>
      <w:r>
        <w:rPr>
          <w:rFonts w:hint="eastAsia"/>
          <w:color w:val="000000"/>
          <w:sz w:val="30"/>
          <w:lang w:eastAsia="zh-CN"/>
        </w:rPr>
        <w:t>，</w:t>
      </w:r>
      <w:r>
        <w:rPr>
          <w:color w:val="000000"/>
          <w:sz w:val="30"/>
        </w:rPr>
        <w:t>年初未安排预算。</w:t>
      </w:r>
    </w:p>
    <w:p>
      <w:pPr>
        <w:spacing w:line="560" w:lineRule="exact"/>
        <w:ind w:firstLine="640"/>
        <w:jc w:val="left"/>
      </w:pPr>
      <w:r>
        <w:rPr>
          <w:color w:val="000000"/>
          <w:sz w:val="30"/>
        </w:rPr>
        <w:t>3．公务接待费支出1万元，完成预算55.56％。</w:t>
      </w:r>
    </w:p>
    <w:p>
      <w:pPr>
        <w:spacing w:line="560" w:lineRule="exact"/>
        <w:ind w:firstLine="640"/>
        <w:jc w:val="left"/>
      </w:pPr>
      <w:r>
        <w:rPr>
          <w:color w:val="000000"/>
          <w:sz w:val="30"/>
        </w:rPr>
        <w:t>公务接待费支出决算较2019年减少0.2万元</w:t>
      </w:r>
      <w:r>
        <w:rPr>
          <w:rFonts w:hint="eastAsia"/>
          <w:color w:val="000000"/>
          <w:sz w:val="30"/>
          <w:lang w:eastAsia="zh-CN"/>
        </w:rPr>
        <w:t>，</w:t>
      </w:r>
      <w:r>
        <w:rPr>
          <w:color w:val="000000"/>
          <w:sz w:val="30"/>
        </w:rPr>
        <w:t>减少0.17％</w:t>
      </w:r>
    </w:p>
    <w:p>
      <w:pPr>
        <w:spacing w:line="560" w:lineRule="exact"/>
        <w:ind w:firstLine="640"/>
        <w:jc w:val="both"/>
      </w:pPr>
      <w:r>
        <w:rPr>
          <w:color w:val="000000"/>
          <w:sz w:val="30"/>
        </w:rPr>
        <w:t>主要用于执行公务、开展业务活动开支的交通费、住宿费、用餐费等。国内公务接待27批次，210人次（不包括陪同人员），共计支出1万元，具体内容包括市县级各部门检查等。</w:t>
      </w:r>
    </w:p>
    <w:p>
      <w:pPr>
        <w:spacing w:line="560" w:lineRule="exact"/>
        <w:ind w:firstLine="640"/>
        <w:jc w:val="both"/>
      </w:pPr>
      <w:r>
        <w:rPr>
          <w:color w:val="000000"/>
          <w:sz w:val="30"/>
        </w:rPr>
        <w:t>外事接待支出0万元，外事接待0批次，0人，共计支出0万元。</w:t>
      </w:r>
    </w:p>
    <w:p>
      <w:pPr>
        <w:spacing w:line="560" w:lineRule="exact"/>
        <w:ind w:firstLine="640"/>
        <w:jc w:val="left"/>
      </w:pPr>
      <w:r>
        <w:rPr>
          <w:color w:val="000000"/>
          <w:sz w:val="30"/>
        </w:rPr>
        <w:t>其他国内公务接待支出0万元。</w:t>
      </w:r>
    </w:p>
    <w:p>
      <w:pPr>
        <w:spacing w:line="580" w:lineRule="exact"/>
        <w:ind w:firstLine="640"/>
        <w:jc w:val="left"/>
      </w:pPr>
      <w:r>
        <w:rPr>
          <w:color w:val="000000"/>
          <w:sz w:val="30"/>
        </w:rPr>
        <w:t>八、政府性基金预算支出决算情况说明</w:t>
      </w:r>
    </w:p>
    <w:p>
      <w:pPr>
        <w:spacing w:line="560" w:lineRule="exact"/>
        <w:ind w:firstLine="640"/>
        <w:jc w:val="left"/>
      </w:pPr>
      <w:r>
        <w:rPr>
          <w:color w:val="000000"/>
          <w:sz w:val="30"/>
        </w:rPr>
        <w:t>20</w:t>
      </w:r>
      <w:r>
        <w:rPr>
          <w:rFonts w:hint="eastAsia"/>
          <w:color w:val="000000"/>
          <w:sz w:val="30"/>
          <w:lang w:val="en-US" w:eastAsia="zh-CN"/>
        </w:rPr>
        <w:t>20</w:t>
      </w:r>
      <w:r>
        <w:rPr>
          <w:color w:val="000000"/>
          <w:sz w:val="30"/>
        </w:rPr>
        <w:t>年度政府性基金预算拨款支出0万元。</w:t>
      </w:r>
      <w:r>
        <w:rPr>
          <w:rFonts w:hint="eastAsia"/>
          <w:color w:val="000000"/>
          <w:sz w:val="30"/>
        </w:rPr>
        <w:t>2020年本单位未在政府性基金预算拨款中安排“三公经费”支出。</w:t>
      </w:r>
    </w:p>
    <w:p>
      <w:pPr>
        <w:spacing w:line="580" w:lineRule="exact"/>
        <w:ind w:firstLine="640"/>
        <w:jc w:val="left"/>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九、国有资本经营预算支出决算情况说明</w:t>
      </w:r>
    </w:p>
    <w:p>
      <w:pPr>
        <w:spacing w:line="580" w:lineRule="exact"/>
        <w:ind w:firstLine="680"/>
        <w:jc w:val="left"/>
      </w:pPr>
      <w:r>
        <w:rPr>
          <w:rFonts w:hint="eastAsia"/>
          <w:color w:val="000000"/>
          <w:sz w:val="30"/>
          <w:lang w:val="en-US" w:eastAsia="zh-CN"/>
        </w:rPr>
        <w:t>2020</w:t>
      </w:r>
      <w:r>
        <w:rPr>
          <w:color w:val="000000"/>
          <w:sz w:val="30"/>
        </w:rPr>
        <w:t>年度国有资本经营预算拨款支出0万元。</w:t>
      </w:r>
    </w:p>
    <w:p>
      <w:pPr>
        <w:spacing w:line="580" w:lineRule="exact"/>
        <w:ind w:firstLine="680"/>
        <w:jc w:val="left"/>
      </w:pPr>
      <w:r>
        <w:rPr>
          <w:color w:val="000000"/>
          <w:sz w:val="30"/>
        </w:rPr>
        <w:t>十、其他重要事项的情况说明</w:t>
      </w:r>
    </w:p>
    <w:p>
      <w:pPr>
        <w:spacing w:line="580" w:lineRule="exact"/>
        <w:ind w:firstLine="680"/>
        <w:jc w:val="left"/>
      </w:pPr>
      <w:r>
        <w:rPr>
          <w:color w:val="000000"/>
          <w:sz w:val="30"/>
        </w:rPr>
        <w:t>（一）机关运行经费支出情况</w:t>
      </w:r>
    </w:p>
    <w:p>
      <w:pPr>
        <w:spacing w:line="660" w:lineRule="exact"/>
        <w:ind w:firstLine="680"/>
        <w:jc w:val="both"/>
        <w:rPr>
          <w:rFonts w:hint="eastAsia" w:eastAsiaTheme="minorEastAsia"/>
          <w:lang w:val="en-US" w:eastAsia="zh-CN"/>
        </w:rPr>
      </w:pPr>
      <w:r>
        <w:rPr>
          <w:color w:val="000000"/>
          <w:sz w:val="30"/>
          <w:szCs w:val="30"/>
        </w:rPr>
        <w:t>2020年度，单位运行经费支出21.42万元，比2019年减少42.02万元，减少66.24％。</w:t>
      </w:r>
      <w:r>
        <w:rPr>
          <w:rFonts w:hint="eastAsia"/>
          <w:color w:val="000000"/>
          <w:sz w:val="30"/>
          <w:szCs w:val="30"/>
          <w:lang w:eastAsia="zh-CN"/>
        </w:rPr>
        <w:t>原因是</w:t>
      </w:r>
      <w:r>
        <w:rPr>
          <w:rFonts w:ascii="宋体" w:hAnsi="宋体" w:eastAsia="宋体" w:cs="宋体"/>
          <w:sz w:val="30"/>
          <w:szCs w:val="30"/>
        </w:rPr>
        <w:t>办公经费逐年下降</w:t>
      </w:r>
      <w:r>
        <w:rPr>
          <w:rFonts w:hint="eastAsia"/>
          <w:color w:val="000000"/>
          <w:sz w:val="30"/>
          <w:szCs w:val="30"/>
          <w:lang w:eastAsia="zh-CN"/>
        </w:rPr>
        <w:t>，节约各项经费开支。</w:t>
      </w:r>
    </w:p>
    <w:p>
      <w:pPr>
        <w:spacing w:line="580" w:lineRule="exact"/>
        <w:ind w:firstLine="680"/>
        <w:jc w:val="left"/>
      </w:pPr>
      <w:r>
        <w:rPr>
          <w:color w:val="000000"/>
          <w:sz w:val="30"/>
        </w:rPr>
        <w:t>（二）政府采购支出情况</w:t>
      </w:r>
    </w:p>
    <w:p>
      <w:pPr>
        <w:spacing w:line="580" w:lineRule="exact"/>
        <w:ind w:firstLine="680"/>
        <w:jc w:val="both"/>
      </w:pPr>
      <w:r>
        <w:rPr>
          <w:color w:val="000000"/>
          <w:sz w:val="30"/>
        </w:rPr>
        <w:t>20</w:t>
      </w:r>
      <w:r>
        <w:rPr>
          <w:rFonts w:hint="eastAsia"/>
          <w:color w:val="000000"/>
          <w:sz w:val="30"/>
          <w:lang w:val="en-US" w:eastAsia="zh-CN"/>
        </w:rPr>
        <w:t>20</w:t>
      </w:r>
      <w:r>
        <w:rPr>
          <w:color w:val="000000"/>
          <w:sz w:val="30"/>
        </w:rPr>
        <w:t>年，政府采购支出总额0万元，</w:t>
      </w:r>
      <w:r>
        <w:rPr>
          <w:rFonts w:hint="eastAsia"/>
          <w:color w:val="000000"/>
          <w:sz w:val="30"/>
          <w:lang w:eastAsia="zh-CN"/>
        </w:rPr>
        <w:t>本单位本年度无政府采购预算。</w:t>
      </w:r>
      <w:r>
        <w:rPr>
          <w:color w:val="000000"/>
          <w:sz w:val="30"/>
        </w:rPr>
        <w:t>其中：政府采购货物支出0万元、政府采购工程支出0万元、政府采购服务支出0万元。授予中小企业合同金额0万元，占政府采购支出总额的0％，其中：授予小微企业合同金额0万元，占政府采购支出总额的0％。</w:t>
      </w:r>
    </w:p>
    <w:p>
      <w:pPr>
        <w:spacing w:line="580" w:lineRule="exact"/>
        <w:ind w:firstLine="680"/>
        <w:jc w:val="left"/>
      </w:pPr>
      <w:r>
        <w:rPr>
          <w:color w:val="000000"/>
          <w:sz w:val="30"/>
        </w:rPr>
        <w:t>（三）国有资产占有使用情况</w:t>
      </w:r>
    </w:p>
    <w:p>
      <w:pPr>
        <w:spacing w:line="540" w:lineRule="exact"/>
        <w:ind w:firstLine="680"/>
        <w:jc w:val="both"/>
      </w:pPr>
      <w:r>
        <w:rPr>
          <w:color w:val="000000"/>
          <w:sz w:val="28"/>
        </w:rPr>
        <w:t>区运管所共有车辆0辆，其中：部级领导干部用车0辆、一般公务用车0辆、一般执法执勤用车0辆、特种专业技术用车0辆、其他用车0辆。单价50万元以上通用设备0台，单价100万元以上专用设备0台。</w:t>
      </w:r>
    </w:p>
    <w:p>
      <w:pPr>
        <w:spacing w:line="580" w:lineRule="exact"/>
        <w:ind w:firstLine="680"/>
        <w:jc w:val="left"/>
      </w:pPr>
      <w:r>
        <w:rPr>
          <w:color w:val="000000"/>
          <w:sz w:val="30"/>
        </w:rPr>
        <w:t>（四）预算绩效情况</w:t>
      </w:r>
    </w:p>
    <w:p>
      <w:pPr>
        <w:spacing w:line="580" w:lineRule="exact"/>
        <w:ind w:firstLine="680"/>
        <w:jc w:val="left"/>
      </w:pPr>
      <w:r>
        <w:rPr>
          <w:color w:val="000000"/>
          <w:sz w:val="30"/>
        </w:rPr>
        <w:t>1．绩效目标管理情况。</w:t>
      </w:r>
    </w:p>
    <w:p>
      <w:pPr>
        <w:spacing w:line="580" w:lineRule="exact"/>
        <w:ind w:firstLine="680"/>
        <w:jc w:val="both"/>
        <w:rPr>
          <w:rFonts w:hint="eastAsia" w:eastAsiaTheme="minorEastAsia"/>
          <w:lang w:eastAsia="zh-CN"/>
        </w:rPr>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按照预算绩效管理要求，本单位对2020年一般公共预算项目支出开展了绩效目标管理，共编制绩效目标1个，涉及财政资金10万元，覆盖率达到100％。2020年整体支出开展绩效自评。存在的问题：一是任务未按时完成，二是绩效评价未得到有效运用，三是未完成下达的争取项目目标任务。下一步改进措施：一是认真落实工作方案，责任到人，二是严格考核奖惩制度，促进工作有力推进</w:t>
      </w:r>
      <w:r>
        <w:rPr>
          <w:rFonts w:hint="eastAsia"/>
          <w:color w:val="000000"/>
          <w:sz w:val="30"/>
          <w:lang w:eastAsia="zh-CN"/>
        </w:rPr>
        <w:t>。</w:t>
      </w:r>
    </w:p>
    <w:p>
      <w:pPr>
        <w:spacing w:line="580" w:lineRule="exact"/>
        <w:ind w:firstLine="580"/>
        <w:jc w:val="left"/>
      </w:pPr>
      <w:r>
        <w:rPr>
          <w:color w:val="000000"/>
          <w:sz w:val="30"/>
        </w:rPr>
        <w:t>2．单位自行组织绩效评价开展情况。</w:t>
      </w:r>
    </w:p>
    <w:p>
      <w:pPr>
        <w:spacing w:after="340" w:line="580" w:lineRule="exact"/>
        <w:ind w:firstLine="640"/>
        <w:jc w:val="both"/>
      </w:pPr>
      <w:r>
        <w:rPr>
          <w:color w:val="000000"/>
          <w:sz w:val="30"/>
        </w:rPr>
        <w:t>本单位开展了整体支出绩效评价，存在的问题：一是项目落实不及时，二是资金兑付不及时。下一步改进措施：一是提早规划，及时落实，二是资金到位后，审核合格后及时兑付。</w:t>
      </w:r>
    </w:p>
    <w:p>
      <w:pPr>
        <w:spacing w:line="660" w:lineRule="exact"/>
        <w:jc w:val="center"/>
      </w:pPr>
      <w:r>
        <w:rPr>
          <w:color w:val="000000"/>
          <w:sz w:val="34"/>
        </w:rPr>
        <w:t>项目绩效目标完成情况表</w:t>
      </w:r>
    </w:p>
    <w:p>
      <w:pPr>
        <w:spacing w:line="660" w:lineRule="exact"/>
        <w:jc w:val="center"/>
      </w:pPr>
      <w:r>
        <w:rPr>
          <w:color w:val="000000"/>
          <w:sz w:val="34"/>
        </w:rPr>
        <w:t>（2020年度）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20"/>
        <w:gridCol w:w="740"/>
        <w:gridCol w:w="1000"/>
        <w:gridCol w:w="2380"/>
        <w:gridCol w:w="238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260" w:type="dxa"/>
            <w:gridSpan w:val="3"/>
            <w:vAlign w:val="center"/>
          </w:tcPr>
          <w:p>
            <w:pPr>
              <w:spacing w:line="311" w:lineRule="exact"/>
              <w:jc w:val="center"/>
            </w:pPr>
            <w:r>
              <w:rPr>
                <w:rFonts w:hint="eastAsia" w:ascii="宋体" w:hAnsi="宋体" w:eastAsia="宋体"/>
                <w:color w:val="000000"/>
                <w:sz w:val="22"/>
              </w:rPr>
              <w:t>项目名称</w:t>
            </w:r>
          </w:p>
        </w:tc>
        <w:tc>
          <w:tcPr>
            <w:tcW w:w="6280" w:type="dxa"/>
            <w:gridSpan w:val="3"/>
            <w:vAlign w:val="center"/>
          </w:tcPr>
          <w:p>
            <w:pPr>
              <w:spacing w:line="267" w:lineRule="exact"/>
              <w:jc w:val="center"/>
            </w:pPr>
            <w:r>
              <w:rPr>
                <w:rFonts w:hint="eastAsia" w:ascii="宋体" w:hAnsi="宋体" w:eastAsia="宋体"/>
                <w:color w:val="000000"/>
                <w:sz w:val="22"/>
              </w:rPr>
              <w:t>公交车运营补贴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260" w:type="dxa"/>
            <w:gridSpan w:val="3"/>
            <w:vAlign w:val="center"/>
          </w:tcPr>
          <w:p>
            <w:pPr>
              <w:spacing w:line="293" w:lineRule="exact"/>
              <w:jc w:val="center"/>
            </w:pPr>
            <w:r>
              <w:rPr>
                <w:rFonts w:hint="eastAsia" w:ascii="宋体" w:hAnsi="宋体" w:eastAsia="宋体"/>
                <w:color w:val="000000"/>
                <w:sz w:val="22"/>
              </w:rPr>
              <w:t>预算单位</w:t>
            </w:r>
          </w:p>
        </w:tc>
        <w:tc>
          <w:tcPr>
            <w:tcW w:w="6280" w:type="dxa"/>
            <w:gridSpan w:val="3"/>
            <w:vAlign w:val="center"/>
          </w:tcPr>
          <w:p>
            <w:pPr>
              <w:spacing w:line="320" w:lineRule="exact"/>
              <w:jc w:val="center"/>
            </w:pPr>
            <w:r>
              <w:rPr>
                <w:rFonts w:hint="eastAsia" w:ascii="宋体" w:hAnsi="宋体" w:eastAsia="宋体"/>
                <w:color w:val="000000"/>
                <w:sz w:val="22"/>
              </w:rPr>
              <w:t>广元市昭化区公路运输管理所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520" w:type="dxa"/>
            <w:vMerge w:val="restart"/>
            <w:vAlign w:val="top"/>
          </w:tcPr>
          <w:p>
            <w:pPr>
              <w:spacing w:before="95" w:line="300" w:lineRule="exact"/>
              <w:ind w:left="20" w:firstLine="0"/>
              <w:jc w:val="right"/>
            </w:pPr>
            <w:r>
              <w:rPr>
                <w:rFonts w:hint="eastAsia" w:ascii="宋体" w:hAnsi="宋体" w:eastAsia="宋体"/>
                <w:color w:val="000000"/>
                <w:sz w:val="22"/>
              </w:rPr>
              <w:t>预算</w:t>
            </w:r>
          </w:p>
          <w:p>
            <w:pPr>
              <w:spacing w:line="300" w:lineRule="exact"/>
              <w:ind w:left="20" w:firstLine="0"/>
              <w:jc w:val="right"/>
            </w:pPr>
            <w:r>
              <w:rPr>
                <w:rFonts w:hint="eastAsia" w:ascii="宋体" w:hAnsi="宋体" w:eastAsia="宋体"/>
                <w:color w:val="000000"/>
                <w:sz w:val="22"/>
              </w:rPr>
              <w:t>执行</w:t>
            </w:r>
          </w:p>
          <w:p>
            <w:pPr>
              <w:spacing w:line="300" w:lineRule="exact"/>
              <w:ind w:left="20" w:firstLine="0"/>
              <w:jc w:val="right"/>
            </w:pPr>
            <w:r>
              <w:rPr>
                <w:rFonts w:hint="eastAsia" w:ascii="宋体" w:hAnsi="宋体" w:eastAsia="宋体"/>
                <w:color w:val="000000"/>
                <w:sz w:val="22"/>
              </w:rPr>
              <w:t>情况</w:t>
            </w:r>
          </w:p>
          <w:p>
            <w:pPr>
              <w:spacing w:line="300" w:lineRule="exact"/>
              <w:jc w:val="center"/>
            </w:pPr>
            <w:r>
              <w:rPr>
                <w:rFonts w:hint="eastAsia" w:ascii="宋体" w:hAnsi="宋体" w:eastAsia="宋体"/>
                <w:color w:val="000000"/>
                <w:sz w:val="22"/>
              </w:rPr>
              <w:t>（万</w:t>
            </w:r>
          </w:p>
          <w:p>
            <w:pPr>
              <w:spacing w:line="275" w:lineRule="exact"/>
              <w:jc w:val="center"/>
            </w:pPr>
            <w:r>
              <w:rPr>
                <w:rFonts w:hint="eastAsia" w:ascii="宋体" w:hAnsi="宋体" w:eastAsia="宋体"/>
                <w:color w:val="000000"/>
                <w:sz w:val="22"/>
              </w:rPr>
              <w:t>元）</w:t>
            </w:r>
          </w:p>
        </w:tc>
        <w:tc>
          <w:tcPr>
            <w:tcW w:w="1740" w:type="dxa"/>
            <w:gridSpan w:val="2"/>
            <w:vAlign w:val="center"/>
          </w:tcPr>
          <w:p>
            <w:pPr>
              <w:spacing w:line="267" w:lineRule="exact"/>
              <w:jc w:val="center"/>
            </w:pPr>
            <w:r>
              <w:rPr>
                <w:rFonts w:hint="eastAsia" w:ascii="宋体" w:hAnsi="宋体" w:eastAsia="宋体"/>
                <w:color w:val="000000"/>
                <w:sz w:val="22"/>
              </w:rPr>
              <w:t>预算数：</w:t>
            </w:r>
          </w:p>
        </w:tc>
        <w:tc>
          <w:tcPr>
            <w:tcW w:w="2380" w:type="dxa"/>
            <w:vAlign w:val="center"/>
          </w:tcPr>
          <w:p>
            <w:pPr>
              <w:spacing w:line="340" w:lineRule="exact"/>
              <w:jc w:val="center"/>
            </w:pPr>
            <w:r>
              <w:rPr>
                <w:rFonts w:hint="eastAsia" w:ascii="宋体" w:hAnsi="宋体" w:eastAsia="宋体"/>
                <w:color w:val="000000"/>
                <w:sz w:val="22"/>
              </w:rPr>
              <w:t>10</w:t>
            </w:r>
          </w:p>
        </w:tc>
        <w:tc>
          <w:tcPr>
            <w:tcW w:w="2380" w:type="dxa"/>
            <w:vAlign w:val="center"/>
          </w:tcPr>
          <w:p>
            <w:pPr>
              <w:spacing w:line="287" w:lineRule="exact"/>
              <w:jc w:val="center"/>
            </w:pPr>
            <w:r>
              <w:rPr>
                <w:rFonts w:hint="eastAsia" w:ascii="宋体" w:hAnsi="宋体" w:eastAsia="宋体"/>
                <w:color w:val="000000"/>
                <w:sz w:val="22"/>
              </w:rPr>
              <w:t>执行数：</w:t>
            </w:r>
          </w:p>
        </w:tc>
        <w:tc>
          <w:tcPr>
            <w:tcW w:w="1520" w:type="dxa"/>
            <w:vAlign w:val="center"/>
          </w:tcPr>
          <w:p>
            <w:pPr>
              <w:spacing w:line="340" w:lineRule="exact"/>
              <w:jc w:val="center"/>
            </w:pPr>
            <w:r>
              <w:rPr>
                <w:rFonts w:hint="eastAsia" w:ascii="宋体" w:hAnsi="宋体" w:eastAsia="宋体"/>
                <w:color w:val="000000"/>
                <w:sz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520" w:type="dxa"/>
            <w:vMerge w:val="continue"/>
          </w:tcPr>
          <w:p/>
        </w:tc>
        <w:tc>
          <w:tcPr>
            <w:tcW w:w="1740" w:type="dxa"/>
            <w:gridSpan w:val="2"/>
            <w:vAlign w:val="center"/>
          </w:tcPr>
          <w:p>
            <w:pPr>
              <w:spacing w:line="337" w:lineRule="exact"/>
              <w:jc w:val="center"/>
            </w:pPr>
            <w:r>
              <w:rPr>
                <w:rFonts w:hint="eastAsia" w:ascii="宋体" w:hAnsi="宋体" w:eastAsia="宋体"/>
                <w:color w:val="000000"/>
                <w:sz w:val="22"/>
              </w:rPr>
              <w:t>其中-财政拨款：</w:t>
            </w:r>
          </w:p>
        </w:tc>
        <w:tc>
          <w:tcPr>
            <w:tcW w:w="2380" w:type="dxa"/>
            <w:vAlign w:val="center"/>
          </w:tcPr>
          <w:p>
            <w:pPr>
              <w:spacing w:line="337" w:lineRule="exact"/>
              <w:jc w:val="center"/>
            </w:pPr>
            <w:r>
              <w:rPr>
                <w:rFonts w:hint="eastAsia" w:ascii="宋体" w:hAnsi="宋体" w:eastAsia="宋体"/>
                <w:color w:val="000000"/>
                <w:sz w:val="22"/>
              </w:rPr>
              <w:t>10</w:t>
            </w:r>
          </w:p>
        </w:tc>
        <w:tc>
          <w:tcPr>
            <w:tcW w:w="2380" w:type="dxa"/>
            <w:vAlign w:val="center"/>
          </w:tcPr>
          <w:p>
            <w:pPr>
              <w:spacing w:line="309" w:lineRule="exact"/>
              <w:jc w:val="center"/>
            </w:pPr>
            <w:r>
              <w:rPr>
                <w:rFonts w:hint="eastAsia" w:ascii="宋体" w:hAnsi="宋体" w:eastAsia="宋体"/>
                <w:color w:val="000000"/>
                <w:sz w:val="22"/>
              </w:rPr>
              <w:t>其中-财政拨款：</w:t>
            </w:r>
          </w:p>
        </w:tc>
        <w:tc>
          <w:tcPr>
            <w:tcW w:w="1520" w:type="dxa"/>
            <w:vAlign w:val="center"/>
          </w:tcPr>
          <w:p>
            <w:pPr>
              <w:spacing w:line="337" w:lineRule="exact"/>
              <w:jc w:val="center"/>
            </w:pPr>
            <w:r>
              <w:rPr>
                <w:rFonts w:hint="eastAsia" w:ascii="宋体" w:hAnsi="宋体" w:eastAsia="宋体"/>
                <w:color w:val="00000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80" w:hRule="atLeast"/>
        </w:trPr>
        <w:tc>
          <w:tcPr>
            <w:tcW w:w="520" w:type="dxa"/>
            <w:vMerge w:val="continue"/>
          </w:tcPr>
          <w:p/>
        </w:tc>
        <w:tc>
          <w:tcPr>
            <w:tcW w:w="1740" w:type="dxa"/>
            <w:gridSpan w:val="2"/>
            <w:vAlign w:val="center"/>
          </w:tcPr>
          <w:p>
            <w:pPr>
              <w:spacing w:line="389" w:lineRule="exact"/>
              <w:jc w:val="center"/>
            </w:pPr>
            <w:r>
              <w:rPr>
                <w:rFonts w:hint="eastAsia" w:ascii="宋体" w:hAnsi="宋体" w:eastAsia="宋体"/>
                <w:color w:val="000000"/>
                <w:sz w:val="22"/>
              </w:rPr>
              <w:t>其它资金：</w:t>
            </w:r>
          </w:p>
        </w:tc>
        <w:tc>
          <w:tcPr>
            <w:tcW w:w="2380" w:type="dxa"/>
            <w:vAlign w:val="center"/>
          </w:tcPr>
          <w:p>
            <w:pPr>
              <w:spacing w:line="360" w:lineRule="exact"/>
              <w:jc w:val="center"/>
            </w:pPr>
            <w:r>
              <w:rPr>
                <w:rFonts w:hint="eastAsia" w:ascii="宋体" w:hAnsi="宋体" w:eastAsia="宋体"/>
                <w:color w:val="000000"/>
                <w:sz w:val="16"/>
              </w:rPr>
              <w:t>0</w:t>
            </w:r>
          </w:p>
        </w:tc>
        <w:tc>
          <w:tcPr>
            <w:tcW w:w="2380" w:type="dxa"/>
            <w:vAlign w:val="center"/>
          </w:tcPr>
          <w:p>
            <w:pPr>
              <w:spacing w:line="389" w:lineRule="exact"/>
              <w:jc w:val="center"/>
            </w:pPr>
            <w:r>
              <w:rPr>
                <w:rFonts w:hint="eastAsia" w:ascii="宋体" w:hAnsi="宋体" w:eastAsia="宋体"/>
                <w:color w:val="000000"/>
                <w:sz w:val="22"/>
              </w:rPr>
              <w:t>其它资金：</w:t>
            </w:r>
          </w:p>
        </w:tc>
        <w:tc>
          <w:tcPr>
            <w:tcW w:w="1520" w:type="dxa"/>
            <w:vAlign w:val="center"/>
          </w:tcPr>
          <w:p>
            <w:pPr>
              <w:spacing w:line="360" w:lineRule="exact"/>
              <w:jc w:val="center"/>
            </w:pPr>
            <w:r>
              <w:rPr>
                <w:rFonts w:hint="eastAsia" w:ascii="宋体" w:hAnsi="宋体" w:eastAsia="宋体"/>
                <w:color w:val="000000"/>
                <w:sz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520" w:type="dxa"/>
            <w:vMerge w:val="restart"/>
            <w:vAlign w:val="top"/>
          </w:tcPr>
          <w:p>
            <w:pPr>
              <w:spacing w:before="147" w:line="300" w:lineRule="exact"/>
              <w:ind w:left="20" w:firstLine="0"/>
              <w:jc w:val="right"/>
            </w:pPr>
            <w:r>
              <w:rPr>
                <w:rFonts w:hint="eastAsia" w:ascii="宋体" w:hAnsi="宋体" w:eastAsia="宋体"/>
                <w:color w:val="000000"/>
                <w:sz w:val="22"/>
              </w:rPr>
              <w:t>年度</w:t>
            </w:r>
          </w:p>
          <w:p>
            <w:pPr>
              <w:spacing w:line="275" w:lineRule="exact"/>
              <w:ind w:left="40" w:firstLine="0"/>
              <w:jc w:val="right"/>
            </w:pPr>
            <w:r>
              <w:rPr>
                <w:rFonts w:hint="eastAsia" w:ascii="宋体" w:hAnsi="宋体" w:eastAsia="宋体"/>
                <w:color w:val="000000"/>
                <w:sz w:val="22"/>
              </w:rPr>
              <w:t>目标</w:t>
            </w:r>
          </w:p>
          <w:p>
            <w:pPr>
              <w:spacing w:line="300" w:lineRule="exact"/>
              <w:ind w:left="20" w:firstLine="0"/>
              <w:jc w:val="right"/>
            </w:pPr>
            <w:r>
              <w:rPr>
                <w:rFonts w:hint="eastAsia" w:ascii="宋体" w:hAnsi="宋体" w:eastAsia="宋体"/>
                <w:color w:val="000000"/>
                <w:sz w:val="22"/>
              </w:rPr>
              <w:t>完成</w:t>
            </w:r>
          </w:p>
          <w:p>
            <w:pPr>
              <w:spacing w:line="300" w:lineRule="exact"/>
              <w:ind w:left="20" w:firstLine="0"/>
              <w:jc w:val="right"/>
            </w:pPr>
            <w:r>
              <w:rPr>
                <w:rFonts w:hint="eastAsia" w:ascii="宋体" w:hAnsi="宋体" w:eastAsia="宋体"/>
                <w:color w:val="000000"/>
                <w:sz w:val="22"/>
              </w:rPr>
              <w:t>情况</w:t>
            </w:r>
          </w:p>
        </w:tc>
        <w:tc>
          <w:tcPr>
            <w:tcW w:w="4120" w:type="dxa"/>
            <w:gridSpan w:val="3"/>
            <w:vAlign w:val="center"/>
          </w:tcPr>
          <w:p>
            <w:pPr>
              <w:spacing w:line="270" w:lineRule="exact"/>
              <w:jc w:val="center"/>
            </w:pPr>
            <w:r>
              <w:rPr>
                <w:rFonts w:hint="eastAsia" w:ascii="宋体" w:hAnsi="宋体" w:eastAsia="宋体"/>
                <w:color w:val="000000"/>
                <w:sz w:val="22"/>
              </w:rPr>
              <w:t>预期目标</w:t>
            </w:r>
          </w:p>
        </w:tc>
        <w:tc>
          <w:tcPr>
            <w:tcW w:w="3900" w:type="dxa"/>
            <w:gridSpan w:val="2"/>
            <w:vAlign w:val="center"/>
          </w:tcPr>
          <w:p>
            <w:pPr>
              <w:spacing w:line="270" w:lineRule="exact"/>
              <w:jc w:val="center"/>
            </w:pPr>
            <w:r>
              <w:rPr>
                <w:rFonts w:hint="eastAsia" w:ascii="宋体" w:hAnsi="宋体" w:eastAsia="宋体"/>
                <w:color w:val="000000"/>
                <w:sz w:val="22"/>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0" w:hRule="atLeast"/>
        </w:trPr>
        <w:tc>
          <w:tcPr>
            <w:tcW w:w="520" w:type="dxa"/>
            <w:vMerge w:val="continue"/>
          </w:tcPr>
          <w:p/>
        </w:tc>
        <w:tc>
          <w:tcPr>
            <w:tcW w:w="4120" w:type="dxa"/>
            <w:gridSpan w:val="3"/>
            <w:vAlign w:val="center"/>
          </w:tcPr>
          <w:p>
            <w:pPr>
              <w:spacing w:line="300" w:lineRule="exact"/>
              <w:jc w:val="center"/>
            </w:pPr>
            <w:r>
              <w:rPr>
                <w:rFonts w:hint="eastAsia" w:ascii="宋体" w:hAnsi="宋体" w:eastAsia="宋体"/>
                <w:color w:val="000000"/>
                <w:sz w:val="18"/>
              </w:rPr>
              <w:t>全区投放城市公交车8辆，满足城区及城乡</w:t>
            </w:r>
          </w:p>
          <w:p>
            <w:pPr>
              <w:spacing w:line="300" w:lineRule="exact"/>
              <w:ind w:firstLine="0"/>
              <w:jc w:val="right"/>
            </w:pPr>
            <w:r>
              <w:rPr>
                <w:rFonts w:hint="eastAsia" w:ascii="宋体" w:hAnsi="宋体" w:eastAsia="宋体"/>
                <w:color w:val="000000"/>
                <w:sz w:val="22"/>
              </w:rPr>
              <w:t>结合部群众出行方便、快捷，企业提升服务</w:t>
            </w:r>
          </w:p>
          <w:p>
            <w:pPr>
              <w:spacing w:line="300" w:lineRule="exact"/>
              <w:jc w:val="center"/>
            </w:pPr>
            <w:r>
              <w:rPr>
                <w:rFonts w:hint="eastAsia" w:ascii="宋体" w:hAnsi="宋体" w:eastAsia="宋体"/>
                <w:color w:val="000000"/>
                <w:sz w:val="18"/>
              </w:rPr>
              <w:t>质量，从业人员提高服务水平，让群众满意。</w:t>
            </w:r>
          </w:p>
          <w:p>
            <w:pPr>
              <w:spacing w:line="300" w:lineRule="exact"/>
              <w:jc w:val="center"/>
            </w:pPr>
            <w:r>
              <w:rPr>
                <w:rFonts w:hint="eastAsia" w:ascii="宋体" w:hAnsi="宋体" w:eastAsia="宋体"/>
                <w:color w:val="000000"/>
                <w:sz w:val="22"/>
              </w:rPr>
              <w:t>达到运营有序、安全、稳定。</w:t>
            </w:r>
          </w:p>
        </w:tc>
        <w:tc>
          <w:tcPr>
            <w:tcW w:w="3900" w:type="dxa"/>
            <w:gridSpan w:val="2"/>
            <w:vAlign w:val="top"/>
          </w:tcPr>
          <w:p>
            <w:pPr>
              <w:spacing w:before="302" w:line="300" w:lineRule="exact"/>
              <w:ind w:firstLine="0"/>
              <w:jc w:val="right"/>
            </w:pPr>
            <w:r>
              <w:rPr>
                <w:rFonts w:hint="eastAsia" w:ascii="宋体" w:hAnsi="宋体" w:eastAsia="宋体"/>
                <w:color w:val="000000"/>
                <w:sz w:val="18"/>
              </w:rPr>
              <w:t>确保城市公交运行有序、安全、稳定，群</w:t>
            </w:r>
          </w:p>
          <w:p>
            <w:pPr>
              <w:spacing w:line="300" w:lineRule="exact"/>
              <w:jc w:val="center"/>
            </w:pPr>
            <w:r>
              <w:rPr>
                <w:rFonts w:hint="eastAsia" w:ascii="宋体" w:hAnsi="宋体" w:eastAsia="宋体"/>
                <w:color w:val="000000"/>
                <w:sz w:val="22"/>
              </w:rPr>
              <w:t>众出行方便、快捷。群众满意。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520" w:type="dxa"/>
            <w:vMerge w:val="restart"/>
            <w:vAlign w:val="top"/>
          </w:tcPr>
          <w:p>
            <w:pPr>
              <w:spacing w:before="1562" w:line="300" w:lineRule="exact"/>
              <w:ind w:firstLine="0"/>
              <w:jc w:val="right"/>
            </w:pPr>
            <w:r>
              <w:rPr>
                <w:rFonts w:hint="eastAsia" w:ascii="宋体" w:hAnsi="宋体" w:eastAsia="宋体"/>
                <w:color w:val="000000"/>
                <w:sz w:val="22"/>
              </w:rPr>
              <w:t>绩效</w:t>
            </w:r>
          </w:p>
          <w:p>
            <w:pPr>
              <w:spacing w:line="300" w:lineRule="exact"/>
              <w:ind w:left="20" w:firstLine="0"/>
              <w:jc w:val="right"/>
            </w:pPr>
            <w:r>
              <w:rPr>
                <w:rFonts w:hint="eastAsia" w:ascii="宋体" w:hAnsi="宋体" w:eastAsia="宋体"/>
                <w:color w:val="000000"/>
                <w:sz w:val="22"/>
              </w:rPr>
              <w:t>指标</w:t>
            </w:r>
          </w:p>
          <w:p>
            <w:pPr>
              <w:spacing w:line="300" w:lineRule="exact"/>
              <w:ind w:left="20" w:firstLine="0"/>
              <w:jc w:val="right"/>
            </w:pPr>
            <w:r>
              <w:rPr>
                <w:rFonts w:hint="eastAsia" w:ascii="宋体" w:hAnsi="宋体" w:eastAsia="宋体"/>
                <w:color w:val="000000"/>
                <w:sz w:val="22"/>
              </w:rPr>
              <w:t>完成</w:t>
            </w:r>
          </w:p>
          <w:p>
            <w:pPr>
              <w:spacing w:line="300" w:lineRule="exact"/>
              <w:ind w:left="20" w:firstLine="0"/>
              <w:jc w:val="right"/>
            </w:pPr>
            <w:r>
              <w:rPr>
                <w:rFonts w:hint="eastAsia" w:ascii="宋体" w:hAnsi="宋体" w:eastAsia="宋体"/>
                <w:color w:val="000000"/>
                <w:sz w:val="22"/>
              </w:rPr>
              <w:t>情况</w:t>
            </w:r>
          </w:p>
        </w:tc>
        <w:tc>
          <w:tcPr>
            <w:tcW w:w="740" w:type="dxa"/>
            <w:vAlign w:val="top"/>
          </w:tcPr>
          <w:p>
            <w:pPr>
              <w:spacing w:before="206" w:line="275" w:lineRule="exact"/>
              <w:jc w:val="center"/>
            </w:pPr>
            <w:r>
              <w:rPr>
                <w:rFonts w:hint="eastAsia" w:ascii="宋体" w:hAnsi="宋体" w:eastAsia="宋体"/>
                <w:color w:val="000000"/>
                <w:sz w:val="22"/>
              </w:rPr>
              <w:t>一级</w:t>
            </w:r>
          </w:p>
          <w:p>
            <w:pPr>
              <w:spacing w:line="275" w:lineRule="exact"/>
              <w:jc w:val="center"/>
            </w:pPr>
            <w:r>
              <w:rPr>
                <w:rFonts w:hint="eastAsia" w:ascii="宋体" w:hAnsi="宋体" w:eastAsia="宋体"/>
                <w:color w:val="000000"/>
                <w:sz w:val="22"/>
              </w:rPr>
              <w:t>指标</w:t>
            </w:r>
          </w:p>
        </w:tc>
        <w:tc>
          <w:tcPr>
            <w:tcW w:w="1000" w:type="dxa"/>
            <w:vAlign w:val="center"/>
          </w:tcPr>
          <w:p>
            <w:pPr>
              <w:spacing w:line="420" w:lineRule="exact"/>
              <w:jc w:val="center"/>
            </w:pPr>
            <w:r>
              <w:rPr>
                <w:rFonts w:hint="eastAsia" w:ascii="宋体" w:hAnsi="宋体" w:eastAsia="宋体"/>
                <w:color w:val="000000"/>
                <w:sz w:val="22"/>
              </w:rPr>
              <w:t>二级指标</w:t>
            </w:r>
          </w:p>
        </w:tc>
        <w:tc>
          <w:tcPr>
            <w:tcW w:w="2380" w:type="dxa"/>
            <w:vAlign w:val="center"/>
          </w:tcPr>
          <w:p>
            <w:pPr>
              <w:spacing w:line="403" w:lineRule="exact"/>
              <w:jc w:val="center"/>
            </w:pPr>
            <w:r>
              <w:rPr>
                <w:rFonts w:hint="eastAsia" w:ascii="宋体" w:hAnsi="宋体" w:eastAsia="宋体"/>
                <w:color w:val="000000"/>
                <w:sz w:val="22"/>
              </w:rPr>
              <w:t>三级指标</w:t>
            </w:r>
          </w:p>
        </w:tc>
        <w:tc>
          <w:tcPr>
            <w:tcW w:w="2380" w:type="dxa"/>
            <w:vAlign w:val="top"/>
          </w:tcPr>
          <w:p>
            <w:pPr>
              <w:spacing w:before="189" w:line="300" w:lineRule="exact"/>
              <w:ind w:left="20" w:firstLine="0"/>
              <w:jc w:val="right"/>
            </w:pPr>
            <w:r>
              <w:rPr>
                <w:rFonts w:hint="eastAsia" w:ascii="宋体" w:hAnsi="宋体" w:eastAsia="宋体"/>
                <w:color w:val="000000"/>
                <w:sz w:val="22"/>
              </w:rPr>
              <w:t>预期指标值（包含数字</w:t>
            </w:r>
          </w:p>
          <w:p>
            <w:pPr>
              <w:spacing w:line="275" w:lineRule="exact"/>
              <w:jc w:val="center"/>
            </w:pPr>
            <w:r>
              <w:rPr>
                <w:rFonts w:hint="eastAsia" w:ascii="宋体" w:hAnsi="宋体" w:eastAsia="宋体"/>
                <w:color w:val="000000"/>
                <w:sz w:val="22"/>
              </w:rPr>
              <w:t>及文字描述）</w:t>
            </w:r>
          </w:p>
        </w:tc>
        <w:tc>
          <w:tcPr>
            <w:tcW w:w="1520" w:type="dxa"/>
            <w:vAlign w:val="top"/>
          </w:tcPr>
          <w:p>
            <w:pPr>
              <w:spacing w:before="44" w:line="300" w:lineRule="exact"/>
              <w:jc w:val="center"/>
            </w:pPr>
            <w:r>
              <w:rPr>
                <w:rFonts w:hint="eastAsia" w:ascii="宋体" w:hAnsi="宋体" w:eastAsia="宋体"/>
                <w:color w:val="000000"/>
                <w:sz w:val="22"/>
              </w:rPr>
              <w:t>实际完成指标</w:t>
            </w:r>
          </w:p>
          <w:p>
            <w:pPr>
              <w:spacing w:line="300" w:lineRule="exact"/>
              <w:jc w:val="center"/>
            </w:pPr>
            <w:r>
              <w:rPr>
                <w:rFonts w:hint="eastAsia" w:ascii="宋体" w:hAnsi="宋体" w:eastAsia="宋体"/>
                <w:color w:val="000000"/>
                <w:sz w:val="22"/>
              </w:rPr>
              <w:t>值（包含数字</w:t>
            </w:r>
          </w:p>
          <w:p>
            <w:pPr>
              <w:spacing w:line="275" w:lineRule="exact"/>
              <w:jc w:val="center"/>
            </w:pPr>
            <w:r>
              <w:rPr>
                <w:rFonts w:hint="eastAsia" w:ascii="宋体" w:hAnsi="宋体" w:eastAsia="宋体"/>
                <w:color w:val="000000"/>
                <w:sz w:val="22"/>
              </w:rPr>
              <w:t>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0" w:hRule="atLeast"/>
        </w:trPr>
        <w:tc>
          <w:tcPr>
            <w:tcW w:w="520" w:type="dxa"/>
            <w:vMerge w:val="continue"/>
          </w:tcPr>
          <w:p/>
        </w:tc>
        <w:tc>
          <w:tcPr>
            <w:tcW w:w="740" w:type="dxa"/>
            <w:vAlign w:val="center"/>
          </w:tcPr>
          <w:p>
            <w:pPr>
              <w:spacing w:line="275" w:lineRule="exact"/>
              <w:jc w:val="center"/>
            </w:pPr>
            <w:r>
              <w:rPr>
                <w:rFonts w:hint="eastAsia" w:ascii="宋体" w:hAnsi="宋体" w:eastAsia="宋体"/>
                <w:color w:val="000000"/>
                <w:sz w:val="22"/>
              </w:rPr>
              <w:t>项目</w:t>
            </w:r>
          </w:p>
          <w:p>
            <w:pPr>
              <w:spacing w:line="275" w:lineRule="exact"/>
              <w:jc w:val="center"/>
            </w:pPr>
            <w:r>
              <w:rPr>
                <w:rFonts w:hint="eastAsia" w:ascii="宋体" w:hAnsi="宋体" w:eastAsia="宋体"/>
                <w:color w:val="000000"/>
                <w:sz w:val="22"/>
              </w:rPr>
              <w:t>完成</w:t>
            </w:r>
          </w:p>
          <w:p>
            <w:pPr>
              <w:spacing w:line="275" w:lineRule="exact"/>
              <w:jc w:val="center"/>
            </w:pPr>
            <w:r>
              <w:rPr>
                <w:rFonts w:hint="eastAsia" w:ascii="宋体" w:hAnsi="宋体" w:eastAsia="宋体"/>
                <w:color w:val="000000"/>
                <w:sz w:val="22"/>
              </w:rPr>
              <w:t>指标</w:t>
            </w:r>
          </w:p>
        </w:tc>
        <w:tc>
          <w:tcPr>
            <w:tcW w:w="1000" w:type="dxa"/>
            <w:vAlign w:val="center"/>
          </w:tcPr>
          <w:p>
            <w:pPr>
              <w:spacing w:line="400" w:lineRule="exact"/>
              <w:jc w:val="center"/>
            </w:pPr>
            <w:r>
              <w:rPr>
                <w:rFonts w:hint="eastAsia" w:ascii="宋体" w:hAnsi="宋体" w:eastAsia="宋体"/>
                <w:color w:val="000000"/>
                <w:sz w:val="22"/>
              </w:rPr>
              <w:t>数量指标</w:t>
            </w:r>
          </w:p>
        </w:tc>
        <w:tc>
          <w:tcPr>
            <w:tcW w:w="2380" w:type="dxa"/>
            <w:vAlign w:val="center"/>
          </w:tcPr>
          <w:p>
            <w:pPr>
              <w:spacing w:line="385" w:lineRule="exact"/>
              <w:jc w:val="center"/>
            </w:pPr>
            <w:r>
              <w:rPr>
                <w:rFonts w:hint="eastAsia" w:ascii="宋体" w:hAnsi="宋体" w:eastAsia="宋体"/>
                <w:color w:val="000000"/>
                <w:sz w:val="22"/>
              </w:rPr>
              <w:t>车辆运行</w:t>
            </w:r>
          </w:p>
        </w:tc>
        <w:tc>
          <w:tcPr>
            <w:tcW w:w="2380" w:type="dxa"/>
            <w:vAlign w:val="center"/>
          </w:tcPr>
          <w:p>
            <w:pPr>
              <w:spacing w:line="385" w:lineRule="exact"/>
              <w:jc w:val="center"/>
            </w:pPr>
            <w:r>
              <w:rPr>
                <w:rFonts w:hint="eastAsia" w:ascii="宋体" w:hAnsi="宋体" w:eastAsia="宋体"/>
                <w:color w:val="000000"/>
                <w:sz w:val="22"/>
              </w:rPr>
              <w:t>8辆</w:t>
            </w:r>
          </w:p>
        </w:tc>
        <w:tc>
          <w:tcPr>
            <w:tcW w:w="1520" w:type="dxa"/>
            <w:vAlign w:val="center"/>
          </w:tcPr>
          <w:p>
            <w:pPr>
              <w:spacing w:line="385" w:lineRule="exact"/>
              <w:jc w:val="center"/>
            </w:pPr>
            <w:r>
              <w:rPr>
                <w:rFonts w:hint="eastAsia" w:ascii="宋体" w:hAnsi="宋体" w:eastAsia="宋体"/>
                <w:color w:val="000000"/>
                <w:sz w:val="22"/>
              </w:rPr>
              <w:t>8辆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300" w:hRule="atLeast"/>
        </w:trPr>
        <w:tc>
          <w:tcPr>
            <w:tcW w:w="520" w:type="dxa"/>
            <w:vMerge w:val="continue"/>
          </w:tcPr>
          <w:p/>
        </w:tc>
        <w:tc>
          <w:tcPr>
            <w:tcW w:w="740" w:type="dxa"/>
            <w:vAlign w:val="top"/>
          </w:tcPr>
          <w:p>
            <w:pPr>
              <w:spacing w:before="178" w:line="275" w:lineRule="exact"/>
              <w:jc w:val="center"/>
            </w:pPr>
            <w:r>
              <w:rPr>
                <w:rFonts w:hint="eastAsia" w:ascii="宋体" w:hAnsi="宋体" w:eastAsia="宋体"/>
                <w:color w:val="000000"/>
                <w:sz w:val="22"/>
              </w:rPr>
              <w:t>项目</w:t>
            </w:r>
          </w:p>
          <w:p>
            <w:pPr>
              <w:spacing w:line="300" w:lineRule="exact"/>
              <w:jc w:val="center"/>
            </w:pPr>
            <w:r>
              <w:rPr>
                <w:rFonts w:hint="eastAsia" w:ascii="宋体" w:hAnsi="宋体" w:eastAsia="宋体"/>
                <w:color w:val="000000"/>
                <w:sz w:val="22"/>
              </w:rPr>
              <w:t>完成</w:t>
            </w:r>
          </w:p>
          <w:p>
            <w:pPr>
              <w:spacing w:line="300" w:lineRule="exact"/>
              <w:jc w:val="center"/>
            </w:pPr>
            <w:r>
              <w:rPr>
                <w:rFonts w:hint="eastAsia" w:ascii="宋体" w:hAnsi="宋体" w:eastAsia="宋体"/>
                <w:color w:val="000000"/>
                <w:sz w:val="22"/>
              </w:rPr>
              <w:t>指标</w:t>
            </w:r>
          </w:p>
        </w:tc>
        <w:tc>
          <w:tcPr>
            <w:tcW w:w="1000" w:type="dxa"/>
            <w:vAlign w:val="center"/>
          </w:tcPr>
          <w:p>
            <w:pPr>
              <w:spacing w:line="400" w:lineRule="exact"/>
              <w:jc w:val="center"/>
            </w:pPr>
            <w:r>
              <w:rPr>
                <w:rFonts w:hint="eastAsia" w:ascii="宋体" w:hAnsi="宋体" w:eastAsia="宋体"/>
                <w:color w:val="000000"/>
                <w:sz w:val="22"/>
              </w:rPr>
              <w:t>质量指标</w:t>
            </w:r>
          </w:p>
        </w:tc>
        <w:tc>
          <w:tcPr>
            <w:tcW w:w="2380" w:type="dxa"/>
            <w:vAlign w:val="center"/>
          </w:tcPr>
          <w:p>
            <w:pPr>
              <w:spacing w:line="400" w:lineRule="exact"/>
              <w:jc w:val="center"/>
            </w:pPr>
            <w:r>
              <w:rPr>
                <w:rFonts w:hint="eastAsia" w:ascii="宋体" w:hAnsi="宋体" w:eastAsia="宋体"/>
                <w:color w:val="000000"/>
                <w:sz w:val="22"/>
              </w:rPr>
              <w:t>车辆运输</w:t>
            </w:r>
          </w:p>
        </w:tc>
        <w:tc>
          <w:tcPr>
            <w:tcW w:w="2380" w:type="dxa"/>
            <w:vAlign w:val="center"/>
          </w:tcPr>
          <w:p>
            <w:pPr>
              <w:spacing w:line="400" w:lineRule="exact"/>
              <w:jc w:val="center"/>
            </w:pPr>
            <w:r>
              <w:rPr>
                <w:rFonts w:hint="eastAsia" w:ascii="宋体" w:hAnsi="宋体" w:eastAsia="宋体"/>
                <w:color w:val="000000"/>
                <w:sz w:val="22"/>
              </w:rPr>
              <w:t>全天候运行</w:t>
            </w:r>
          </w:p>
        </w:tc>
        <w:tc>
          <w:tcPr>
            <w:tcW w:w="1520" w:type="dxa"/>
            <w:vAlign w:val="center"/>
          </w:tcPr>
          <w:p>
            <w:pPr>
              <w:spacing w:line="403" w:lineRule="exact"/>
              <w:jc w:val="center"/>
            </w:pPr>
            <w:r>
              <w:rPr>
                <w:rFonts w:hint="eastAsia" w:ascii="宋体" w:hAnsi="宋体" w:eastAsia="宋体"/>
                <w:color w:val="000000"/>
                <w:sz w:val="22"/>
              </w:rPr>
              <w:t>8辆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520" w:type="dxa"/>
            <w:vMerge w:val="continue"/>
          </w:tcPr>
          <w:p/>
        </w:tc>
        <w:tc>
          <w:tcPr>
            <w:tcW w:w="740" w:type="dxa"/>
            <w:vAlign w:val="top"/>
          </w:tcPr>
          <w:p>
            <w:pPr>
              <w:spacing w:before="61" w:line="275" w:lineRule="exact"/>
              <w:jc w:val="center"/>
            </w:pPr>
            <w:r>
              <w:rPr>
                <w:rFonts w:hint="eastAsia" w:ascii="宋体" w:hAnsi="宋体" w:eastAsia="宋体"/>
                <w:color w:val="000000"/>
                <w:sz w:val="22"/>
              </w:rPr>
              <w:t>项目</w:t>
            </w:r>
          </w:p>
          <w:p>
            <w:pPr>
              <w:spacing w:line="275" w:lineRule="exact"/>
              <w:jc w:val="center"/>
            </w:pPr>
            <w:r>
              <w:rPr>
                <w:rFonts w:hint="eastAsia" w:ascii="宋体" w:hAnsi="宋体" w:eastAsia="宋体"/>
                <w:color w:val="000000"/>
                <w:sz w:val="22"/>
              </w:rPr>
              <w:t>完成</w:t>
            </w:r>
          </w:p>
          <w:p>
            <w:pPr>
              <w:spacing w:line="275" w:lineRule="exact"/>
              <w:jc w:val="center"/>
            </w:pPr>
            <w:r>
              <w:rPr>
                <w:rFonts w:hint="eastAsia" w:ascii="宋体" w:hAnsi="宋体" w:eastAsia="宋体"/>
                <w:color w:val="000000"/>
                <w:sz w:val="22"/>
              </w:rPr>
              <w:t>指标</w:t>
            </w:r>
          </w:p>
        </w:tc>
        <w:tc>
          <w:tcPr>
            <w:tcW w:w="1000" w:type="dxa"/>
            <w:vAlign w:val="center"/>
          </w:tcPr>
          <w:p>
            <w:pPr>
              <w:spacing w:line="380" w:lineRule="exact"/>
              <w:jc w:val="center"/>
            </w:pPr>
            <w:r>
              <w:rPr>
                <w:rFonts w:hint="eastAsia" w:ascii="宋体" w:hAnsi="宋体" w:eastAsia="宋体"/>
                <w:color w:val="000000"/>
                <w:sz w:val="22"/>
              </w:rPr>
              <w:t>成本指标</w:t>
            </w:r>
          </w:p>
        </w:tc>
        <w:tc>
          <w:tcPr>
            <w:tcW w:w="2380" w:type="dxa"/>
            <w:vAlign w:val="center"/>
          </w:tcPr>
          <w:p>
            <w:pPr>
              <w:spacing w:line="403" w:lineRule="exact"/>
              <w:jc w:val="center"/>
            </w:pPr>
            <w:r>
              <w:rPr>
                <w:rFonts w:hint="eastAsia" w:ascii="宋体" w:hAnsi="宋体" w:eastAsia="宋体"/>
                <w:color w:val="000000"/>
                <w:sz w:val="22"/>
              </w:rPr>
              <w:t>车辆运行费用</w:t>
            </w:r>
          </w:p>
        </w:tc>
        <w:tc>
          <w:tcPr>
            <w:tcW w:w="2380" w:type="dxa"/>
            <w:vAlign w:val="center"/>
          </w:tcPr>
          <w:p>
            <w:pPr>
              <w:spacing w:line="400" w:lineRule="exact"/>
              <w:jc w:val="center"/>
            </w:pPr>
            <w:r>
              <w:rPr>
                <w:rFonts w:hint="eastAsia" w:ascii="宋体" w:hAnsi="宋体" w:eastAsia="宋体"/>
                <w:color w:val="000000"/>
                <w:sz w:val="22"/>
              </w:rPr>
              <w:t>4万／车</w:t>
            </w:r>
          </w:p>
        </w:tc>
        <w:tc>
          <w:tcPr>
            <w:tcW w:w="1520" w:type="dxa"/>
            <w:vAlign w:val="center"/>
          </w:tcPr>
          <w:p>
            <w:pPr>
              <w:spacing w:line="403" w:lineRule="exact"/>
              <w:jc w:val="center"/>
            </w:pPr>
            <w:r>
              <w:rPr>
                <w:rFonts w:hint="eastAsia" w:ascii="宋体" w:hAnsi="宋体" w:eastAsia="宋体"/>
                <w:color w:val="000000"/>
                <w:sz w:val="22"/>
              </w:rPr>
              <w:t>32万</w:t>
            </w:r>
          </w:p>
        </w:tc>
      </w:tr>
    </w:tbl>
    <w:p>
      <w:pPr>
        <w:spacing w:line="1" w:lineRule="exact"/>
        <w:sectPr>
          <w:type w:val="continuous"/>
          <w:pgSz w:w="11900" w:h="16840"/>
          <w:pgMar w:top="1984" w:right="1417" w:bottom="1814" w:left="1587" w:header="850" w:footer="1417" w:gutter="0"/>
          <w:pgNumType w:fmt="decimal"/>
          <w:cols w:space="0" w:num="1"/>
          <w:titlePg/>
          <w:rtlGutter w:val="0"/>
          <w:docGrid w:type="linesAndChars" w:linePitch="592" w:charSpace="-639"/>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80"/>
        <w:gridCol w:w="880"/>
        <w:gridCol w:w="2400"/>
        <w:gridCol w:w="236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880" w:type="dxa"/>
            <w:vAlign w:val="top"/>
          </w:tcPr>
          <w:p>
            <w:pPr>
              <w:spacing w:before="63" w:line="300" w:lineRule="exact"/>
              <w:jc w:val="center"/>
            </w:pPr>
            <w:r>
              <w:rPr>
                <w:rFonts w:hint="eastAsia" w:ascii="宋体" w:hAnsi="宋体" w:eastAsia="宋体"/>
                <w:color w:val="000000"/>
                <w:sz w:val="22"/>
              </w:rPr>
              <w:t>项目</w:t>
            </w:r>
          </w:p>
          <w:p>
            <w:pPr>
              <w:spacing w:line="300" w:lineRule="exact"/>
              <w:jc w:val="center"/>
            </w:pPr>
            <w:r>
              <w:rPr>
                <w:rFonts w:hint="eastAsia" w:ascii="宋体" w:hAnsi="宋体" w:eastAsia="宋体"/>
                <w:color w:val="000000"/>
                <w:sz w:val="22"/>
              </w:rPr>
              <w:t>完成</w:t>
            </w:r>
          </w:p>
          <w:p>
            <w:pPr>
              <w:spacing w:line="275" w:lineRule="exact"/>
              <w:jc w:val="center"/>
            </w:pPr>
            <w:r>
              <w:rPr>
                <w:rFonts w:hint="eastAsia" w:ascii="宋体" w:hAnsi="宋体" w:eastAsia="宋体"/>
                <w:color w:val="000000"/>
                <w:sz w:val="22"/>
              </w:rPr>
              <w:t>指标</w:t>
            </w:r>
          </w:p>
        </w:tc>
        <w:tc>
          <w:tcPr>
            <w:tcW w:w="880" w:type="dxa"/>
            <w:vAlign w:val="top"/>
          </w:tcPr>
          <w:p>
            <w:pPr>
              <w:spacing w:before="231" w:line="300" w:lineRule="exact"/>
              <w:jc w:val="center"/>
            </w:pPr>
            <w:r>
              <w:rPr>
                <w:rFonts w:hint="eastAsia" w:ascii="宋体" w:hAnsi="宋体" w:eastAsia="宋体"/>
                <w:color w:val="000000"/>
                <w:sz w:val="22"/>
              </w:rPr>
              <w:t>社会效益</w:t>
            </w:r>
          </w:p>
          <w:p>
            <w:pPr>
              <w:spacing w:line="275" w:lineRule="exact"/>
              <w:jc w:val="center"/>
            </w:pPr>
            <w:r>
              <w:rPr>
                <w:rFonts w:hint="eastAsia" w:ascii="宋体" w:hAnsi="宋体" w:eastAsia="宋体"/>
                <w:color w:val="000000"/>
                <w:sz w:val="22"/>
              </w:rPr>
              <w:t>指标</w:t>
            </w:r>
          </w:p>
        </w:tc>
        <w:tc>
          <w:tcPr>
            <w:tcW w:w="2400" w:type="dxa"/>
            <w:vAlign w:val="center"/>
          </w:tcPr>
          <w:p>
            <w:pPr>
              <w:spacing w:line="420" w:lineRule="exact"/>
              <w:jc w:val="center"/>
            </w:pPr>
            <w:r>
              <w:rPr>
                <w:rFonts w:hint="eastAsia" w:ascii="宋体" w:hAnsi="宋体" w:eastAsia="宋体"/>
                <w:color w:val="000000"/>
                <w:sz w:val="22"/>
              </w:rPr>
              <w:t>满足群众出行需要</w:t>
            </w:r>
          </w:p>
        </w:tc>
        <w:tc>
          <w:tcPr>
            <w:tcW w:w="2360" w:type="dxa"/>
            <w:vAlign w:val="center"/>
          </w:tcPr>
          <w:p>
            <w:pPr>
              <w:spacing w:line="380" w:lineRule="exact"/>
              <w:jc w:val="center"/>
            </w:pPr>
            <w:r>
              <w:rPr>
                <w:rFonts w:hint="eastAsia" w:ascii="宋体" w:hAnsi="宋体" w:eastAsia="宋体"/>
                <w:color w:val="000000"/>
                <w:sz w:val="22"/>
              </w:rPr>
              <w:t>无滞留旅客现象</w:t>
            </w:r>
          </w:p>
        </w:tc>
        <w:tc>
          <w:tcPr>
            <w:tcW w:w="1520" w:type="dxa"/>
            <w:vAlign w:val="center"/>
          </w:tcPr>
          <w:p>
            <w:pPr>
              <w:spacing w:line="380" w:lineRule="exact"/>
              <w:jc w:val="center"/>
            </w:pPr>
            <w:r>
              <w:rPr>
                <w:rFonts w:hint="eastAsia" w:ascii="宋体" w:hAnsi="宋体" w:eastAsia="宋体"/>
                <w:color w:val="00000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880" w:type="dxa"/>
            <w:vAlign w:val="center"/>
          </w:tcPr>
          <w:p>
            <w:pPr>
              <w:spacing w:line="275" w:lineRule="exact"/>
              <w:jc w:val="center"/>
            </w:pPr>
            <w:r>
              <w:rPr>
                <w:rFonts w:hint="eastAsia" w:ascii="宋体" w:hAnsi="宋体" w:eastAsia="宋体"/>
                <w:color w:val="000000"/>
                <w:sz w:val="22"/>
              </w:rPr>
              <w:t>满意</w:t>
            </w:r>
          </w:p>
          <w:p>
            <w:pPr>
              <w:spacing w:line="275" w:lineRule="exact"/>
              <w:jc w:val="center"/>
            </w:pPr>
            <w:r>
              <w:rPr>
                <w:rFonts w:hint="eastAsia" w:ascii="宋体" w:hAnsi="宋体" w:eastAsia="宋体"/>
                <w:color w:val="000000"/>
                <w:sz w:val="22"/>
              </w:rPr>
              <w:t>度指</w:t>
            </w:r>
          </w:p>
          <w:p>
            <w:pPr>
              <w:spacing w:line="220" w:lineRule="exact"/>
              <w:jc w:val="center"/>
            </w:pPr>
            <w:r>
              <w:rPr>
                <w:rFonts w:hint="eastAsia" w:ascii="宋体" w:hAnsi="宋体" w:eastAsia="宋体"/>
                <w:color w:val="000000"/>
                <w:sz w:val="22"/>
              </w:rPr>
              <w:t>标</w:t>
            </w:r>
          </w:p>
        </w:tc>
        <w:tc>
          <w:tcPr>
            <w:tcW w:w="880" w:type="dxa"/>
            <w:vAlign w:val="top"/>
          </w:tcPr>
          <w:p>
            <w:pPr>
              <w:spacing w:before="213" w:line="300" w:lineRule="exact"/>
              <w:jc w:val="center"/>
            </w:pPr>
            <w:r>
              <w:rPr>
                <w:rFonts w:hint="eastAsia" w:ascii="宋体" w:hAnsi="宋体" w:eastAsia="宋体"/>
                <w:color w:val="000000"/>
                <w:sz w:val="22"/>
              </w:rPr>
              <w:t>满意度指</w:t>
            </w:r>
          </w:p>
          <w:p>
            <w:pPr>
              <w:spacing w:line="235" w:lineRule="exact"/>
              <w:jc w:val="center"/>
            </w:pPr>
            <w:r>
              <w:rPr>
                <w:rFonts w:hint="eastAsia" w:ascii="宋体" w:hAnsi="宋体" w:eastAsia="宋体"/>
                <w:color w:val="000000"/>
                <w:sz w:val="22"/>
              </w:rPr>
              <w:t>标</w:t>
            </w:r>
          </w:p>
        </w:tc>
        <w:tc>
          <w:tcPr>
            <w:tcW w:w="2400" w:type="dxa"/>
            <w:vAlign w:val="center"/>
          </w:tcPr>
          <w:p>
            <w:pPr>
              <w:spacing w:line="380" w:lineRule="exact"/>
              <w:jc w:val="center"/>
            </w:pPr>
            <w:r>
              <w:rPr>
                <w:rFonts w:hint="eastAsia" w:ascii="宋体" w:hAnsi="宋体" w:eastAsia="宋体"/>
                <w:color w:val="000000"/>
                <w:sz w:val="22"/>
              </w:rPr>
              <w:t>确保无投诉无信访事件</w:t>
            </w:r>
          </w:p>
        </w:tc>
        <w:tc>
          <w:tcPr>
            <w:tcW w:w="2360" w:type="dxa"/>
            <w:vAlign w:val="center"/>
          </w:tcPr>
          <w:p>
            <w:pPr>
              <w:spacing w:line="380" w:lineRule="exact"/>
              <w:jc w:val="center"/>
            </w:pPr>
            <w:r>
              <w:rPr>
                <w:rFonts w:hint="eastAsia" w:ascii="宋体" w:hAnsi="宋体" w:eastAsia="宋体"/>
                <w:color w:val="000000"/>
                <w:sz w:val="22"/>
              </w:rPr>
              <w:t>全年投诉不超过2例</w:t>
            </w:r>
          </w:p>
        </w:tc>
        <w:tc>
          <w:tcPr>
            <w:tcW w:w="1520" w:type="dxa"/>
            <w:vAlign w:val="center"/>
          </w:tcPr>
          <w:p>
            <w:pPr>
              <w:spacing w:line="380" w:lineRule="exact"/>
              <w:jc w:val="center"/>
            </w:pPr>
            <w:r>
              <w:rPr>
                <w:rFonts w:hint="eastAsia" w:ascii="宋体" w:hAnsi="宋体" w:eastAsia="宋体"/>
                <w:color w:val="000000"/>
                <w:sz w:val="22"/>
              </w:rPr>
              <w:t>≤2</w:t>
            </w:r>
          </w:p>
        </w:tc>
      </w:tr>
    </w:tbl>
    <w:p>
      <w:pPr>
        <w:spacing w:before="20" w:line="540" w:lineRule="exact"/>
        <w:ind w:firstLine="640"/>
        <w:jc w:val="left"/>
      </w:pPr>
      <w:r>
        <w:rPr>
          <w:color w:val="000000"/>
          <w:sz w:val="28"/>
        </w:rPr>
        <w:t>3、部门开展绩效评价结果。</w:t>
      </w:r>
    </w:p>
    <w:p>
      <w:pPr>
        <w:spacing w:line="560" w:lineRule="exact"/>
        <w:ind w:firstLine="640"/>
        <w:jc w:val="both"/>
      </w:pPr>
      <w:r>
        <w:rPr>
          <w:color w:val="000000"/>
          <w:sz w:val="30"/>
        </w:rPr>
        <w:t>本部门按要求对2020年部门整体支出绩效评价情况开展自评，《广元市昭化区公路运输管理所2020年部门整体支出绩效评价报告》见附件。</w:t>
      </w:r>
    </w:p>
    <w:p>
      <w:pPr>
        <w:spacing w:line="560" w:lineRule="exact"/>
        <w:ind w:firstLine="640"/>
        <w:jc w:val="both"/>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本部门自行组织对公交车运营情况项目开展了绩效评价，《公交车运营情况项目2020年绩效评价报告》见附件。</w:t>
      </w:r>
    </w:p>
    <w:p>
      <w:pPr>
        <w:spacing w:after="480" w:line="740" w:lineRule="exact"/>
        <w:jc w:val="center"/>
        <w:rPr>
          <w:color w:val="000000"/>
          <w:sz w:val="42"/>
        </w:rPr>
      </w:pPr>
    </w:p>
    <w:p>
      <w:pPr>
        <w:spacing w:after="480" w:line="740" w:lineRule="exact"/>
        <w:jc w:val="center"/>
      </w:pPr>
      <w:r>
        <w:rPr>
          <w:color w:val="000000"/>
          <w:sz w:val="42"/>
        </w:rPr>
        <w:t>第三部分 名词解释</w:t>
      </w:r>
    </w:p>
    <w:p>
      <w:pPr>
        <w:spacing w:line="520" w:lineRule="exact"/>
        <w:ind w:firstLine="620"/>
        <w:jc w:val="both"/>
      </w:pPr>
      <w:r>
        <w:rPr>
          <w:color w:val="000000"/>
          <w:sz w:val="30"/>
        </w:rPr>
        <w:t>1．财政拨款收入：指单位从同级财政部门取得的财政预算资金。</w:t>
      </w:r>
    </w:p>
    <w:p>
      <w:pPr>
        <w:spacing w:line="520" w:lineRule="exact"/>
        <w:ind w:firstLine="620"/>
        <w:jc w:val="both"/>
      </w:pPr>
      <w:r>
        <w:rPr>
          <w:color w:val="000000"/>
          <w:sz w:val="30"/>
        </w:rPr>
        <w:t>2．事业收入：指事业单位开展专业业务活动及辅助活动取得的收入。</w:t>
      </w:r>
    </w:p>
    <w:p>
      <w:pPr>
        <w:spacing w:line="520" w:lineRule="exact"/>
        <w:ind w:firstLine="620"/>
        <w:jc w:val="both"/>
      </w:pPr>
      <w:r>
        <w:rPr>
          <w:color w:val="000000"/>
          <w:sz w:val="30"/>
        </w:rPr>
        <w:t>3．经营收入：指事业单位在专业业务活动及其辅助活动之外开展非独立核算经营活动取得的收入。</w:t>
      </w:r>
    </w:p>
    <w:p>
      <w:pPr>
        <w:spacing w:line="520" w:lineRule="exact"/>
        <w:ind w:firstLine="620"/>
        <w:jc w:val="both"/>
        <w:rPr>
          <w:color w:val="000000"/>
          <w:sz w:val="30"/>
        </w:rPr>
      </w:pPr>
      <w:r>
        <w:rPr>
          <w:color w:val="000000"/>
          <w:sz w:val="30"/>
        </w:rPr>
        <w:t>4．其他收入：指单位取得的除上述收入以外的各项收入。</w:t>
      </w:r>
    </w:p>
    <w:p>
      <w:pPr>
        <w:spacing w:line="520" w:lineRule="exact"/>
        <w:ind w:firstLine="620"/>
        <w:jc w:val="both"/>
      </w:pPr>
      <w:r>
        <w:rPr>
          <w:color w:val="000000"/>
          <w:sz w:val="30"/>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20" w:lineRule="exact"/>
        <w:ind w:firstLine="620"/>
        <w:jc w:val="both"/>
      </w:pPr>
      <w:r>
        <w:rPr>
          <w:color w:val="000000"/>
          <w:sz w:val="30"/>
        </w:rPr>
        <w:t>6．年初结转和结余：指以前年度尚未完成、结转到本年按有关规定继续使用的资金。</w:t>
      </w:r>
    </w:p>
    <w:p>
      <w:pPr>
        <w:spacing w:line="520" w:lineRule="exact"/>
        <w:ind w:firstLine="620"/>
        <w:jc w:val="both"/>
      </w:pPr>
      <w:r>
        <w:rPr>
          <w:color w:val="000000"/>
          <w:sz w:val="30"/>
        </w:rPr>
        <w:t>7．结余分配：指事业单位按照事业单位会计制度的规定从非财政补助结余中分配的事业基金和职工福利基金等。</w:t>
      </w:r>
    </w:p>
    <w:p>
      <w:pPr>
        <w:spacing w:line="520" w:lineRule="exact"/>
        <w:ind w:firstLine="620"/>
        <w:jc w:val="both"/>
      </w:pPr>
      <w:r>
        <w:rPr>
          <w:color w:val="000000"/>
          <w:sz w:val="30"/>
        </w:rPr>
        <w:t>8、年末结转和结余：指单位按有关规定结转到下年或以后年度继续使用的资金。</w:t>
      </w:r>
    </w:p>
    <w:p>
      <w:pPr>
        <w:spacing w:line="520" w:lineRule="exact"/>
        <w:ind w:firstLine="620"/>
        <w:jc w:val="left"/>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9．基本支出：指为保障机构正常运转、完成日常工作任务而</w:t>
      </w:r>
    </w:p>
    <w:p>
      <w:pPr>
        <w:spacing w:line="520" w:lineRule="exact"/>
        <w:ind w:firstLine="0"/>
        <w:jc w:val="left"/>
      </w:pPr>
      <w:r>
        <w:rPr>
          <w:color w:val="000000"/>
          <w:sz w:val="30"/>
        </w:rPr>
        <w:t>发生的人员支出和公用支出。</w:t>
      </w:r>
    </w:p>
    <w:p>
      <w:pPr>
        <w:spacing w:line="520" w:lineRule="exact"/>
        <w:ind w:firstLine="640"/>
        <w:jc w:val="both"/>
      </w:pPr>
      <w:r>
        <w:rPr>
          <w:color w:val="000000"/>
          <w:sz w:val="30"/>
        </w:rPr>
        <w:t>10．项目支出：指在基本支出之外为完成特定行政任务和事业发展目标所发生的支出。</w:t>
      </w:r>
    </w:p>
    <w:p>
      <w:pPr>
        <w:spacing w:line="520" w:lineRule="exact"/>
        <w:ind w:firstLine="640"/>
        <w:jc w:val="both"/>
      </w:pPr>
      <w:r>
        <w:rPr>
          <w:color w:val="000000"/>
          <w:sz w:val="30"/>
        </w:rPr>
        <w:t>11．“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20" w:lineRule="exact"/>
        <w:ind w:firstLine="640"/>
        <w:jc w:val="both"/>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720" w:lineRule="exact"/>
        <w:jc w:val="center"/>
        <w:rPr>
          <w:color w:val="000000"/>
          <w:sz w:val="40"/>
        </w:rPr>
      </w:pPr>
    </w:p>
    <w:p>
      <w:pPr>
        <w:spacing w:line="720" w:lineRule="exact"/>
        <w:jc w:val="center"/>
      </w:pPr>
      <w:r>
        <w:rPr>
          <w:color w:val="000000"/>
          <w:sz w:val="40"/>
        </w:rPr>
        <w:t>第四部分 附件</w:t>
      </w:r>
    </w:p>
    <w:p>
      <w:pPr>
        <w:spacing w:after="460" w:line="580" w:lineRule="exact"/>
        <w:ind w:firstLine="0"/>
        <w:jc w:val="left"/>
      </w:pPr>
      <w:r>
        <w:rPr>
          <w:color w:val="000000"/>
          <w:sz w:val="32"/>
        </w:rPr>
        <w:t>附件1</w:t>
      </w:r>
    </w:p>
    <w:p>
      <w:pPr>
        <w:spacing w:line="680" w:lineRule="exact"/>
        <w:jc w:val="center"/>
      </w:pPr>
      <w:r>
        <w:rPr>
          <w:color w:val="000000"/>
          <w:sz w:val="38"/>
        </w:rPr>
        <w:t>广元市昭化区公路运输管理所</w:t>
      </w:r>
    </w:p>
    <w:p>
      <w:pPr>
        <w:spacing w:after="460" w:line="720" w:lineRule="exact"/>
        <w:jc w:val="center"/>
      </w:pPr>
      <w:r>
        <w:rPr>
          <w:rFonts w:hint="eastAsia"/>
          <w:color w:val="000000"/>
          <w:sz w:val="40"/>
          <w:lang w:val="en-US" w:eastAsia="zh-CN"/>
        </w:rPr>
        <w:t>2020</w:t>
      </w:r>
      <w:r>
        <w:rPr>
          <w:color w:val="000000"/>
          <w:sz w:val="40"/>
        </w:rPr>
        <w:t>年部门整体支出绩效评价报告</w:t>
      </w:r>
    </w:p>
    <w:p>
      <w:pPr>
        <w:spacing w:line="560" w:lineRule="exact"/>
        <w:ind w:firstLine="680"/>
        <w:jc w:val="left"/>
      </w:pPr>
      <w:r>
        <w:rPr>
          <w:color w:val="000000"/>
          <w:sz w:val="30"/>
        </w:rPr>
        <w:t>一、部门（单位）概况</w:t>
      </w:r>
    </w:p>
    <w:p>
      <w:pPr>
        <w:spacing w:line="540" w:lineRule="exact"/>
        <w:ind w:firstLine="680"/>
        <w:jc w:val="both"/>
      </w:pPr>
      <w:r>
        <w:rPr>
          <w:color w:val="000000"/>
          <w:sz w:val="30"/>
        </w:rPr>
        <w:t>广元市昭化区公路运输管理所成立于1990年，根据广元市机构编制委员会、广元市交通局、广元市人事局《关于理顺公路运输管理体制核定人员编制和制定管理办法的通知》（广编发［1991］183号）明确，单位为副区（科）级事业单位。2009年，单位实行参照公务员法管理事业单位。继续履职道路运输行业许可、监管等职责。</w:t>
      </w:r>
    </w:p>
    <w:p>
      <w:pPr>
        <w:spacing w:line="540" w:lineRule="exact"/>
        <w:ind w:firstLine="680"/>
        <w:jc w:val="both"/>
      </w:pPr>
      <w:r>
        <w:rPr>
          <w:color w:val="000000"/>
          <w:sz w:val="30"/>
        </w:rPr>
        <w:t>（二）根据《中华人民共和国道路运输条例》、《四川省道路运输条例》授权，负责本行政区域内对从事道路旅客运输经营、道路货物运输经营、道路运输相关业务包括站（场）经营、机动车维修经营、机动车驾驶员培训的依法许可并实施监管。维护道路运输市场秩序，保障道路运输安全，保护道路运输有关各方当事人合法权益，促进道路运输业健康发展。。</w:t>
      </w:r>
    </w:p>
    <w:p>
      <w:pPr>
        <w:spacing w:line="540" w:lineRule="exact"/>
        <w:ind w:firstLine="680"/>
        <w:jc w:val="both"/>
      </w:pPr>
      <w:r>
        <w:rPr>
          <w:color w:val="000000"/>
          <w:sz w:val="30"/>
        </w:rPr>
        <w:t>（三）单位编制10个。年末在编在岗人员10人；协助执法人员7人，合计17。单位内设股室7个。</w:t>
      </w:r>
    </w:p>
    <w:p>
      <w:pPr>
        <w:spacing w:line="560" w:lineRule="exact"/>
        <w:ind w:firstLine="680"/>
        <w:jc w:val="left"/>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二、部门财政资金收支情况</w:t>
      </w:r>
    </w:p>
    <w:p>
      <w:pPr>
        <w:spacing w:line="580" w:lineRule="exact"/>
        <w:ind w:firstLine="700"/>
        <w:jc w:val="left"/>
      </w:pPr>
      <w:r>
        <w:rPr>
          <w:color w:val="000000"/>
          <w:sz w:val="30"/>
        </w:rPr>
        <w:t>（一）部门财政资金收入情况。</w:t>
      </w:r>
    </w:p>
    <w:p>
      <w:pPr>
        <w:spacing w:line="580" w:lineRule="exact"/>
        <w:ind w:firstLine="700"/>
        <w:jc w:val="both"/>
      </w:pPr>
      <w:r>
        <w:rPr>
          <w:color w:val="000000"/>
          <w:sz w:val="30"/>
        </w:rPr>
        <w:t>2020年本年收入合计910.69万元，其中：一般公共预算财政拨款收入169.83万元，占18.65％；项目资金740.86万元，占81.35％；政府性基金预算财政拨款收入0万元，占0％；国有资本经营预算财政拨款收入0万元，占0％；事业收入0万元，占0％；经营收入0万元，占0％；附属单位上缴收入0万元，占0％；其他收入0万元，占0％。</w:t>
      </w:r>
    </w:p>
    <w:p>
      <w:pPr>
        <w:spacing w:line="580" w:lineRule="exact"/>
        <w:ind w:firstLine="700"/>
        <w:jc w:val="left"/>
      </w:pPr>
      <w:r>
        <w:rPr>
          <w:color w:val="000000"/>
          <w:sz w:val="30"/>
        </w:rPr>
        <w:t>（二）部门财政资金支出决算情况。</w:t>
      </w:r>
    </w:p>
    <w:p>
      <w:pPr>
        <w:spacing w:line="580" w:lineRule="exact"/>
        <w:ind w:firstLine="700"/>
        <w:jc w:val="both"/>
      </w:pPr>
      <w:r>
        <w:rPr>
          <w:color w:val="000000"/>
          <w:sz w:val="30"/>
        </w:rPr>
        <w:t>2020年本年支出合计910.69万元，其中：基本支出169.83万元，占100％；项目支出740.86万元，占100％；上缴上级支出0万元，占0％；经营支出0万元，占0％；对附属单位补助支出0万元，占0％。与2019年相比总计增加148.61万元，增加19.5％。</w:t>
      </w:r>
    </w:p>
    <w:p>
      <w:pPr>
        <w:spacing w:line="560" w:lineRule="exact"/>
        <w:ind w:firstLine="700"/>
        <w:jc w:val="left"/>
      </w:pPr>
      <w:r>
        <w:rPr>
          <w:color w:val="000000"/>
          <w:sz w:val="30"/>
        </w:rPr>
        <w:t>三、部门整体预算绩效管理情况</w:t>
      </w:r>
    </w:p>
    <w:p>
      <w:pPr>
        <w:spacing w:line="580" w:lineRule="exact"/>
        <w:ind w:firstLine="700"/>
        <w:jc w:val="left"/>
      </w:pPr>
      <w:r>
        <w:rPr>
          <w:color w:val="000000"/>
          <w:sz w:val="28"/>
        </w:rPr>
        <w:t>（一）部门预算管理。</w:t>
      </w:r>
    </w:p>
    <w:p>
      <w:pPr>
        <w:spacing w:line="580" w:lineRule="exact"/>
        <w:ind w:firstLine="700"/>
        <w:jc w:val="left"/>
      </w:pPr>
      <w:r>
        <w:rPr>
          <w:color w:val="000000"/>
          <w:sz w:val="30"/>
        </w:rPr>
        <w:t>1．部门预算编制质量。</w:t>
      </w:r>
    </w:p>
    <w:p>
      <w:pPr>
        <w:spacing w:line="580" w:lineRule="exact"/>
        <w:ind w:firstLine="700"/>
        <w:jc w:val="both"/>
      </w:pPr>
      <w:r>
        <w:rPr>
          <w:color w:val="000000"/>
          <w:sz w:val="30"/>
        </w:rPr>
        <w:t>2020年度部门预算坚持“一要吃饭、二要建设、统筹兼顾、预算内外综合平衡”的原则，全面保障了财政供养人员经费需要，五险两金按政策纳入了预算，通过了区财政和人大的审核民。</w:t>
      </w:r>
    </w:p>
    <w:p>
      <w:pPr>
        <w:spacing w:line="580" w:lineRule="exact"/>
        <w:ind w:firstLine="700"/>
        <w:jc w:val="left"/>
      </w:pPr>
      <w:r>
        <w:rPr>
          <w:color w:val="000000"/>
          <w:sz w:val="30"/>
        </w:rPr>
        <w:t>2．预算执行。</w:t>
      </w:r>
    </w:p>
    <w:p>
      <w:pPr>
        <w:spacing w:line="580" w:lineRule="exact"/>
        <w:ind w:firstLine="700"/>
        <w:jc w:val="left"/>
      </w:pPr>
      <w:r>
        <w:rPr>
          <w:color w:val="000000"/>
          <w:sz w:val="30"/>
        </w:rPr>
        <w:t>（1）预算执行刚性。</w:t>
      </w:r>
    </w:p>
    <w:p>
      <w:pPr>
        <w:spacing w:line="580" w:lineRule="exact"/>
        <w:ind w:firstLine="700"/>
        <w:jc w:val="left"/>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2020年度，我所严格按照《预算法》和相关财经纪律，严控</w:t>
      </w:r>
    </w:p>
    <w:p>
      <w:pPr>
        <w:spacing w:line="580" w:lineRule="exact"/>
        <w:ind w:firstLine="0"/>
        <w:jc w:val="left"/>
      </w:pPr>
      <w:r>
        <w:rPr>
          <w:color w:val="000000"/>
          <w:sz w:val="30"/>
        </w:rPr>
        <w:t>经费管理，通过预算经费确保路政管理工作的正常有效开展，严</w:t>
      </w:r>
    </w:p>
    <w:p>
      <w:pPr>
        <w:spacing w:line="580" w:lineRule="exact"/>
        <w:ind w:firstLine="0"/>
        <w:jc w:val="left"/>
      </w:pPr>
      <w:r>
        <w:rPr>
          <w:color w:val="000000"/>
          <w:sz w:val="30"/>
        </w:rPr>
        <w:t>格执行年初预算。</w:t>
      </w:r>
    </w:p>
    <w:p>
      <w:pPr>
        <w:spacing w:line="580" w:lineRule="exact"/>
        <w:ind w:firstLine="780"/>
        <w:jc w:val="left"/>
      </w:pPr>
      <w:r>
        <w:rPr>
          <w:color w:val="000000"/>
          <w:sz w:val="30"/>
        </w:rPr>
        <w:t>（2）预算执行平衡。</w:t>
      </w:r>
    </w:p>
    <w:p>
      <w:pPr>
        <w:spacing w:line="580" w:lineRule="exact"/>
        <w:ind w:firstLine="620"/>
        <w:jc w:val="both"/>
      </w:pPr>
      <w:r>
        <w:rPr>
          <w:color w:val="000000"/>
          <w:sz w:val="30"/>
        </w:rPr>
        <w:t>2020年区运管所本年收入合计910.69万元，其中：一般公共预算财政拨款收入169.83万元，占18.65％；项目资金740.86万元，占81.35％；政府性基金预算财政拨款收入0万元，占0％；国有资本经营预算财政拨款收入0万元，占0％；事业收入0万元，占0％；经营收入0万元，占0％；附属单位上缴收入0万元，占0％；其他收入0万元，占0％。</w:t>
      </w:r>
    </w:p>
    <w:p>
      <w:pPr>
        <w:spacing w:line="580" w:lineRule="exact"/>
        <w:ind w:firstLine="780"/>
        <w:jc w:val="left"/>
      </w:pPr>
      <w:r>
        <w:rPr>
          <w:color w:val="000000"/>
          <w:sz w:val="30"/>
        </w:rPr>
        <w:t>（3）部门决算编制和审查。</w:t>
      </w:r>
    </w:p>
    <w:p>
      <w:pPr>
        <w:spacing w:line="580" w:lineRule="exact"/>
        <w:ind w:firstLine="780"/>
        <w:jc w:val="both"/>
      </w:pPr>
      <w:r>
        <w:rPr>
          <w:color w:val="000000"/>
          <w:sz w:val="30"/>
        </w:rPr>
        <w:t>我所对2020年度财政管理和经费开支情况进行了决算编制和审查，决算结果与财政核对一致并进行了公示。</w:t>
      </w:r>
    </w:p>
    <w:p>
      <w:pPr>
        <w:spacing w:line="560" w:lineRule="exact"/>
        <w:ind w:firstLine="780"/>
        <w:jc w:val="left"/>
      </w:pPr>
      <w:r>
        <w:rPr>
          <w:color w:val="000000"/>
          <w:sz w:val="30"/>
        </w:rPr>
        <w:t>（二）专项预算管理。</w:t>
      </w:r>
    </w:p>
    <w:p>
      <w:pPr>
        <w:spacing w:line="580" w:lineRule="exact"/>
        <w:ind w:firstLine="780"/>
        <w:jc w:val="left"/>
      </w:pPr>
      <w:r>
        <w:rPr>
          <w:color w:val="000000"/>
          <w:sz w:val="30"/>
        </w:rPr>
        <w:t>2020年度，我所无专项预算。</w:t>
      </w:r>
    </w:p>
    <w:p>
      <w:pPr>
        <w:spacing w:line="560" w:lineRule="exact"/>
        <w:ind w:firstLine="780"/>
        <w:jc w:val="left"/>
      </w:pPr>
      <w:r>
        <w:rPr>
          <w:color w:val="000000"/>
          <w:sz w:val="28"/>
        </w:rPr>
        <w:t>（二）结果应用情况。</w:t>
      </w:r>
    </w:p>
    <w:p>
      <w:pPr>
        <w:spacing w:line="540" w:lineRule="exact"/>
        <w:ind w:firstLine="960"/>
        <w:jc w:val="both"/>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28"/>
        </w:rPr>
        <w:t>我所对部门预算绩效管理工作开展情况认真进行了自查自评。绩效评价自查开展覆盖各重点支出，将评价结果作为预算安排的重要依据，参照项目年度预算执行情况、“三年滚动规划”执行情况统筹项目支出需求，保障重点支出，调整支出结构，优化财政资金配置，不断强化绩效理念，推动我所部门整体绩效管理水平不断提升。</w:t>
      </w:r>
    </w:p>
    <w:p>
      <w:pPr>
        <w:spacing w:line="560" w:lineRule="exact"/>
        <w:ind w:firstLine="700"/>
        <w:jc w:val="left"/>
      </w:pPr>
      <w:r>
        <w:rPr>
          <w:color w:val="000000"/>
          <w:sz w:val="28"/>
        </w:rPr>
        <w:t>四、评价结论及建议</w:t>
      </w:r>
    </w:p>
    <w:p>
      <w:pPr>
        <w:spacing w:line="560" w:lineRule="exact"/>
        <w:ind w:firstLine="700"/>
        <w:jc w:val="both"/>
      </w:pPr>
      <w:r>
        <w:rPr>
          <w:color w:val="000000"/>
          <w:sz w:val="32"/>
        </w:rPr>
        <w:t>（一）评价结论。2020年我所部门整体支出绩效评价自查自评结果良好，全年基本支出保证了部门的正常运行和日常工作的正常开展，达到预期绩效目标。按照绩效评价指标体系自评得分 90分。</w:t>
      </w:r>
    </w:p>
    <w:p>
      <w:pPr>
        <w:spacing w:line="560" w:lineRule="exact"/>
        <w:ind w:firstLine="700"/>
        <w:jc w:val="left"/>
      </w:pPr>
      <w:r>
        <w:rPr>
          <w:color w:val="000000"/>
          <w:sz w:val="32"/>
        </w:rPr>
        <w:t>（二）存在问题。</w:t>
      </w:r>
    </w:p>
    <w:p>
      <w:pPr>
        <w:spacing w:line="560" w:lineRule="exact"/>
        <w:ind w:firstLine="700"/>
        <w:jc w:val="both"/>
      </w:pPr>
      <w:r>
        <w:rPr>
          <w:color w:val="000000"/>
          <w:sz w:val="30"/>
        </w:rPr>
        <w:t>一是经费预算不足，除开人员经费外，运行经费严重影响工作开展。二是临聘人员挤用部分经费，因临聘人员仅预算人员经费，不足以满足临聘人员工资及保险，一部分工作经费用于弥补临聘人员费用。</w:t>
      </w:r>
    </w:p>
    <w:p>
      <w:pPr>
        <w:spacing w:line="560" w:lineRule="exact"/>
        <w:ind w:firstLine="700"/>
        <w:jc w:val="left"/>
      </w:pPr>
      <w:r>
        <w:rPr>
          <w:color w:val="000000"/>
          <w:sz w:val="32"/>
        </w:rPr>
        <w:t>（三）改进建议。</w:t>
      </w:r>
    </w:p>
    <w:p>
      <w:pPr>
        <w:spacing w:line="560" w:lineRule="exact"/>
        <w:ind w:firstLine="700"/>
        <w:jc w:val="both"/>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一是开源节流，加强资金管理。二是加强科学管理，利用有限的经费全面开展管理工作，维护道路运输安全。三是加强工作汇报，寻求财政支持，增加预算编制。</w:t>
      </w:r>
    </w:p>
    <w:p>
      <w:pPr>
        <w:spacing w:after="160" w:line="560" w:lineRule="exact"/>
        <w:ind w:firstLine="0"/>
        <w:jc w:val="left"/>
      </w:pPr>
      <w:r>
        <w:rPr>
          <w:color w:val="000000"/>
          <w:sz w:val="32"/>
        </w:rPr>
        <w:t>附件2</w:t>
      </w:r>
    </w:p>
    <w:p>
      <w:pPr>
        <w:spacing w:line="720" w:lineRule="exact"/>
        <w:jc w:val="center"/>
      </w:pPr>
      <w:r>
        <w:rPr>
          <w:color w:val="000000"/>
          <w:sz w:val="40"/>
        </w:rPr>
        <w:t>2020年公交车运营补贴项目</w:t>
      </w:r>
    </w:p>
    <w:p>
      <w:pPr>
        <w:spacing w:after="460" w:line="740" w:lineRule="exact"/>
        <w:jc w:val="center"/>
      </w:pPr>
      <w:r>
        <w:rPr>
          <w:color w:val="000000"/>
          <w:sz w:val="42"/>
        </w:rPr>
        <w:t>支出绩效评价报告</w:t>
      </w:r>
    </w:p>
    <w:p>
      <w:pPr>
        <w:spacing w:line="560" w:lineRule="exact"/>
        <w:ind w:firstLine="700"/>
        <w:jc w:val="left"/>
      </w:pPr>
      <w:r>
        <w:rPr>
          <w:color w:val="000000"/>
          <w:sz w:val="30"/>
        </w:rPr>
        <w:t>一、评价工作开展及项目情况</w:t>
      </w:r>
    </w:p>
    <w:p>
      <w:pPr>
        <w:spacing w:line="540" w:lineRule="exact"/>
        <w:ind w:firstLine="700"/>
        <w:jc w:val="both"/>
      </w:pPr>
      <w:r>
        <w:rPr>
          <w:color w:val="000000"/>
          <w:sz w:val="30"/>
        </w:rPr>
        <w:t>在城区投放城市公交，极大方便了城乡结合部及城区人员出行方便和需求。虎跳新场镇至南斗公交对移民安置点到新场镇，极大方便了群众出行，提升了农产品的消费和变卖增加农民收益。为加快建设“五个昭化”作出积极的贡献，城区共投放城市公交车8辆，满足城区及城乡结合部群众出行方便、快捷，企业提升服务质量，为提升从业人员提高服务水平，让群众满意。达到运营有序、安全、稳定。根据区政府对城市公交车运行补贴方案，给予每车每年运营补贴，持续进行，保持车辆运行有保障，企业减少亏损。</w:t>
      </w:r>
    </w:p>
    <w:p>
      <w:pPr>
        <w:spacing w:line="560" w:lineRule="exact"/>
        <w:ind w:firstLine="700"/>
        <w:jc w:val="left"/>
      </w:pPr>
      <w:r>
        <w:rPr>
          <w:color w:val="000000"/>
          <w:sz w:val="30"/>
        </w:rPr>
        <w:t>二、评价结论及绩效分析</w:t>
      </w:r>
    </w:p>
    <w:p>
      <w:pPr>
        <w:spacing w:line="580" w:lineRule="exact"/>
        <w:ind w:firstLine="700"/>
        <w:jc w:val="left"/>
      </w:pPr>
      <w:r>
        <w:rPr>
          <w:color w:val="000000"/>
          <w:sz w:val="34"/>
        </w:rPr>
        <w:t>（一）评价结论</w:t>
      </w:r>
    </w:p>
    <w:p>
      <w:pPr>
        <w:spacing w:line="540" w:lineRule="exact"/>
        <w:ind w:firstLine="700"/>
        <w:jc w:val="left"/>
      </w:pPr>
      <w:r>
        <w:rPr>
          <w:color w:val="000000"/>
          <w:sz w:val="30"/>
        </w:rPr>
        <w:t>按绩效评价体系自行评分97分。</w:t>
      </w:r>
    </w:p>
    <w:p>
      <w:pPr>
        <w:spacing w:line="580" w:lineRule="exact"/>
        <w:ind w:firstLine="700"/>
        <w:jc w:val="left"/>
      </w:pPr>
      <w:r>
        <w:rPr>
          <w:color w:val="000000"/>
          <w:sz w:val="34"/>
        </w:rPr>
        <w:t>（二）绩效分析</w:t>
      </w:r>
    </w:p>
    <w:p>
      <w:pPr>
        <w:spacing w:line="540" w:lineRule="exact"/>
        <w:ind w:firstLine="700"/>
        <w:jc w:val="left"/>
      </w:pPr>
      <w:r>
        <w:rPr>
          <w:color w:val="000000"/>
          <w:sz w:val="30"/>
        </w:rPr>
        <w:t>1、项目决策</w:t>
      </w:r>
    </w:p>
    <w:p>
      <w:pPr>
        <w:spacing w:line="540" w:lineRule="exact"/>
        <w:ind w:firstLine="700"/>
        <w:jc w:val="both"/>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根据广元市昭化区公路运输管理所《关于解决城市公交车运营补贴的请示》（昭运管（2018）48号）文件。区政府、区财政相关领导批示精神。对城市公交车运营补贴工作实施方案及相关文件要求，对运输企业给予财政补贴。</w:t>
      </w:r>
    </w:p>
    <w:p>
      <w:pPr>
        <w:spacing w:line="540" w:lineRule="exact"/>
        <w:ind w:firstLine="600"/>
        <w:jc w:val="left"/>
      </w:pPr>
      <w:r>
        <w:rPr>
          <w:color w:val="000000"/>
          <w:sz w:val="32"/>
        </w:rPr>
        <w:t>2、项目管理</w:t>
      </w:r>
    </w:p>
    <w:p>
      <w:pPr>
        <w:spacing w:line="540" w:lineRule="exact"/>
        <w:ind w:firstLine="600"/>
        <w:jc w:val="both"/>
      </w:pPr>
      <w:r>
        <w:rPr>
          <w:color w:val="000000"/>
          <w:sz w:val="30"/>
        </w:rPr>
        <w:t>城区共投放城市公交车8辆，满足城区及城乡结合部群众出行方便、快捷，企业提升服务质量，为提升从业人员提高服务水平，让群众满意。达到运营有序、安全、稳定。根据区政府对城市公交车运行补贴方案，给予每车每年运营补贴，持续进行，保持车辆运行有保障，企业减少亏损。</w:t>
      </w:r>
    </w:p>
    <w:p>
      <w:pPr>
        <w:spacing w:after="300" w:line="540" w:lineRule="exact"/>
        <w:ind w:firstLine="600"/>
        <w:jc w:val="left"/>
      </w:pPr>
      <w:r>
        <w:rPr>
          <w:color w:val="000000"/>
          <w:sz w:val="32"/>
        </w:rPr>
        <w:t>3、项目绩效</w:t>
      </w:r>
    </w:p>
    <w:p>
      <w:pPr>
        <w:spacing w:line="620" w:lineRule="exact"/>
        <w:jc w:val="center"/>
      </w:pPr>
      <w:r>
        <w:rPr>
          <w:color w:val="000000"/>
          <w:sz w:val="34"/>
        </w:rPr>
        <w:t>项目绩效目标完成情况表</w:t>
      </w:r>
    </w:p>
    <w:p>
      <w:pPr>
        <w:spacing w:line="620" w:lineRule="exact"/>
        <w:jc w:val="center"/>
      </w:pPr>
      <w:r>
        <w:rPr>
          <w:color w:val="000000"/>
          <w:sz w:val="34"/>
        </w:rPr>
        <w:t>（2020年度）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20"/>
        <w:gridCol w:w="740"/>
        <w:gridCol w:w="1020"/>
        <w:gridCol w:w="2380"/>
        <w:gridCol w:w="238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280" w:type="dxa"/>
            <w:gridSpan w:val="3"/>
            <w:vAlign w:val="center"/>
          </w:tcPr>
          <w:p>
            <w:pPr>
              <w:spacing w:line="311" w:lineRule="exact"/>
              <w:jc w:val="center"/>
            </w:pPr>
            <w:r>
              <w:rPr>
                <w:rFonts w:hint="eastAsia" w:ascii="宋体" w:hAnsi="宋体" w:eastAsia="宋体"/>
                <w:color w:val="000000"/>
                <w:sz w:val="22"/>
              </w:rPr>
              <w:t>项目名称</w:t>
            </w:r>
          </w:p>
        </w:tc>
        <w:tc>
          <w:tcPr>
            <w:tcW w:w="6280" w:type="dxa"/>
            <w:gridSpan w:val="3"/>
            <w:vAlign w:val="center"/>
          </w:tcPr>
          <w:p>
            <w:pPr>
              <w:spacing w:line="311" w:lineRule="exact"/>
              <w:jc w:val="center"/>
            </w:pPr>
            <w:r>
              <w:rPr>
                <w:rFonts w:hint="eastAsia" w:ascii="宋体" w:hAnsi="宋体" w:eastAsia="宋体"/>
                <w:color w:val="000000"/>
                <w:sz w:val="22"/>
              </w:rPr>
              <w:t>公交车运营补贴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2280" w:type="dxa"/>
            <w:gridSpan w:val="3"/>
            <w:vAlign w:val="center"/>
          </w:tcPr>
          <w:p>
            <w:pPr>
              <w:spacing w:line="250" w:lineRule="exact"/>
              <w:jc w:val="center"/>
            </w:pPr>
            <w:r>
              <w:rPr>
                <w:rFonts w:hint="eastAsia" w:ascii="宋体" w:hAnsi="宋体" w:eastAsia="宋体"/>
                <w:color w:val="000000"/>
                <w:sz w:val="22"/>
              </w:rPr>
              <w:t>预算单位</w:t>
            </w:r>
          </w:p>
        </w:tc>
        <w:tc>
          <w:tcPr>
            <w:tcW w:w="6280" w:type="dxa"/>
            <w:gridSpan w:val="3"/>
            <w:vAlign w:val="center"/>
          </w:tcPr>
          <w:p>
            <w:pPr>
              <w:spacing w:line="269" w:lineRule="exact"/>
              <w:jc w:val="center"/>
            </w:pPr>
            <w:r>
              <w:rPr>
                <w:rFonts w:hint="eastAsia" w:ascii="宋体" w:hAnsi="宋体" w:eastAsia="宋体"/>
                <w:color w:val="000000"/>
                <w:sz w:val="22"/>
              </w:rPr>
              <w:t>广元市昭化区公路运输管理所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520" w:type="dxa"/>
            <w:vMerge w:val="restart"/>
            <w:vAlign w:val="center"/>
          </w:tcPr>
          <w:p>
            <w:pPr>
              <w:spacing w:line="300" w:lineRule="exact"/>
              <w:ind w:firstLine="0"/>
              <w:jc w:val="right"/>
            </w:pPr>
            <w:r>
              <w:rPr>
                <w:rFonts w:hint="eastAsia" w:ascii="宋体" w:hAnsi="宋体" w:eastAsia="宋体"/>
                <w:color w:val="000000"/>
                <w:sz w:val="22"/>
              </w:rPr>
              <w:t>预算</w:t>
            </w:r>
          </w:p>
          <w:p>
            <w:pPr>
              <w:spacing w:line="300" w:lineRule="exact"/>
              <w:ind w:firstLine="0"/>
              <w:jc w:val="right"/>
            </w:pPr>
            <w:r>
              <w:rPr>
                <w:rFonts w:hint="eastAsia" w:ascii="宋体" w:hAnsi="宋体" w:eastAsia="宋体"/>
                <w:color w:val="000000"/>
                <w:sz w:val="22"/>
              </w:rPr>
              <w:t>执行</w:t>
            </w:r>
          </w:p>
          <w:p>
            <w:pPr>
              <w:spacing w:line="300" w:lineRule="exact"/>
              <w:ind w:firstLine="0"/>
              <w:jc w:val="right"/>
            </w:pPr>
            <w:r>
              <w:rPr>
                <w:rFonts w:hint="eastAsia" w:ascii="宋体" w:hAnsi="宋体" w:eastAsia="宋体"/>
                <w:color w:val="000000"/>
                <w:sz w:val="22"/>
              </w:rPr>
              <w:t>情况</w:t>
            </w:r>
          </w:p>
          <w:p>
            <w:pPr>
              <w:spacing w:line="300" w:lineRule="exact"/>
              <w:jc w:val="center"/>
            </w:pPr>
            <w:r>
              <w:rPr>
                <w:rFonts w:hint="eastAsia" w:ascii="宋体" w:hAnsi="宋体" w:eastAsia="宋体"/>
                <w:color w:val="000000"/>
                <w:sz w:val="22"/>
              </w:rPr>
              <w:t>（万</w:t>
            </w:r>
          </w:p>
          <w:p>
            <w:pPr>
              <w:spacing w:line="253" w:lineRule="exact"/>
              <w:jc w:val="center"/>
            </w:pPr>
            <w:r>
              <w:rPr>
                <w:rFonts w:hint="eastAsia" w:ascii="宋体" w:hAnsi="宋体" w:eastAsia="宋体"/>
                <w:color w:val="000000"/>
                <w:sz w:val="22"/>
              </w:rPr>
              <w:t>元）</w:t>
            </w:r>
          </w:p>
        </w:tc>
        <w:tc>
          <w:tcPr>
            <w:tcW w:w="1760" w:type="dxa"/>
            <w:gridSpan w:val="2"/>
            <w:vAlign w:val="center"/>
          </w:tcPr>
          <w:p>
            <w:pPr>
              <w:spacing w:line="301" w:lineRule="exact"/>
              <w:jc w:val="center"/>
            </w:pPr>
            <w:r>
              <w:rPr>
                <w:rFonts w:hint="eastAsia" w:ascii="宋体" w:hAnsi="宋体" w:eastAsia="宋体"/>
                <w:color w:val="000000"/>
                <w:sz w:val="22"/>
              </w:rPr>
              <w:t>预算数：</w:t>
            </w:r>
          </w:p>
        </w:tc>
        <w:tc>
          <w:tcPr>
            <w:tcW w:w="2380" w:type="dxa"/>
            <w:vAlign w:val="center"/>
          </w:tcPr>
          <w:p>
            <w:pPr>
              <w:spacing w:line="320" w:lineRule="exact"/>
              <w:jc w:val="center"/>
            </w:pPr>
            <w:r>
              <w:rPr>
                <w:rFonts w:hint="eastAsia" w:ascii="宋体" w:hAnsi="宋体" w:eastAsia="宋体"/>
                <w:color w:val="000000"/>
                <w:sz w:val="22"/>
              </w:rPr>
              <w:t>10</w:t>
            </w:r>
          </w:p>
        </w:tc>
        <w:tc>
          <w:tcPr>
            <w:tcW w:w="2380" w:type="dxa"/>
            <w:vAlign w:val="center"/>
          </w:tcPr>
          <w:p>
            <w:pPr>
              <w:spacing w:line="301" w:lineRule="exact"/>
              <w:jc w:val="center"/>
            </w:pPr>
            <w:r>
              <w:rPr>
                <w:rFonts w:hint="eastAsia" w:ascii="宋体" w:hAnsi="宋体" w:eastAsia="宋体"/>
                <w:color w:val="000000"/>
                <w:sz w:val="22"/>
              </w:rPr>
              <w:t>执行数：</w:t>
            </w:r>
          </w:p>
        </w:tc>
        <w:tc>
          <w:tcPr>
            <w:tcW w:w="1520" w:type="dxa"/>
            <w:vAlign w:val="center"/>
          </w:tcPr>
          <w:p>
            <w:pPr>
              <w:spacing w:line="300" w:lineRule="exact"/>
              <w:jc w:val="center"/>
            </w:pPr>
            <w:r>
              <w:rPr>
                <w:rFonts w:hint="eastAsia" w:ascii="宋体" w:hAnsi="宋体" w:eastAsia="宋体"/>
                <w:color w:val="000000"/>
                <w:sz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520" w:type="dxa"/>
            <w:vMerge w:val="continue"/>
          </w:tcPr>
          <w:p/>
        </w:tc>
        <w:tc>
          <w:tcPr>
            <w:tcW w:w="1760" w:type="dxa"/>
            <w:gridSpan w:val="2"/>
            <w:vAlign w:val="center"/>
          </w:tcPr>
          <w:p>
            <w:pPr>
              <w:spacing w:line="320" w:lineRule="exact"/>
              <w:jc w:val="center"/>
            </w:pPr>
            <w:r>
              <w:rPr>
                <w:rFonts w:hint="eastAsia" w:ascii="宋体" w:hAnsi="宋体" w:eastAsia="宋体"/>
                <w:color w:val="000000"/>
                <w:sz w:val="22"/>
              </w:rPr>
              <w:t>其中-财政拨款：</w:t>
            </w:r>
          </w:p>
        </w:tc>
        <w:tc>
          <w:tcPr>
            <w:tcW w:w="2380" w:type="dxa"/>
            <w:vAlign w:val="center"/>
          </w:tcPr>
          <w:p>
            <w:pPr>
              <w:spacing w:line="320" w:lineRule="exact"/>
              <w:jc w:val="center"/>
            </w:pPr>
            <w:r>
              <w:rPr>
                <w:rFonts w:hint="eastAsia" w:ascii="宋体" w:hAnsi="宋体" w:eastAsia="宋体"/>
                <w:color w:val="000000"/>
                <w:sz w:val="22"/>
              </w:rPr>
              <w:t>10</w:t>
            </w:r>
          </w:p>
        </w:tc>
        <w:tc>
          <w:tcPr>
            <w:tcW w:w="2380" w:type="dxa"/>
            <w:vAlign w:val="center"/>
          </w:tcPr>
          <w:p>
            <w:pPr>
              <w:spacing w:line="251" w:lineRule="exact"/>
              <w:jc w:val="center"/>
            </w:pPr>
            <w:r>
              <w:rPr>
                <w:rFonts w:hint="eastAsia" w:ascii="宋体" w:hAnsi="宋体" w:eastAsia="宋体"/>
                <w:color w:val="000000"/>
                <w:sz w:val="22"/>
              </w:rPr>
              <w:t>其中-财政拨款：</w:t>
            </w:r>
          </w:p>
        </w:tc>
        <w:tc>
          <w:tcPr>
            <w:tcW w:w="1520" w:type="dxa"/>
            <w:vAlign w:val="center"/>
          </w:tcPr>
          <w:p>
            <w:pPr>
              <w:spacing w:line="320" w:lineRule="exact"/>
              <w:jc w:val="center"/>
            </w:pPr>
            <w:r>
              <w:rPr>
                <w:rFonts w:hint="eastAsia" w:ascii="宋体" w:hAnsi="宋体" w:eastAsia="宋体"/>
                <w:color w:val="000000"/>
                <w:sz w:val="2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80" w:hRule="atLeast"/>
        </w:trPr>
        <w:tc>
          <w:tcPr>
            <w:tcW w:w="520" w:type="dxa"/>
            <w:vMerge w:val="continue"/>
          </w:tcPr>
          <w:p/>
        </w:tc>
        <w:tc>
          <w:tcPr>
            <w:tcW w:w="1760" w:type="dxa"/>
            <w:gridSpan w:val="2"/>
            <w:vAlign w:val="center"/>
          </w:tcPr>
          <w:p>
            <w:pPr>
              <w:spacing w:line="385" w:lineRule="exact"/>
              <w:jc w:val="center"/>
            </w:pPr>
            <w:r>
              <w:rPr>
                <w:rFonts w:hint="eastAsia" w:ascii="宋体" w:hAnsi="宋体" w:eastAsia="宋体"/>
                <w:color w:val="000000"/>
                <w:sz w:val="22"/>
              </w:rPr>
              <w:t>其它资金：</w:t>
            </w:r>
          </w:p>
        </w:tc>
        <w:tc>
          <w:tcPr>
            <w:tcW w:w="2380" w:type="dxa"/>
            <w:vAlign w:val="center"/>
          </w:tcPr>
          <w:p>
            <w:pPr>
              <w:spacing w:line="340" w:lineRule="exact"/>
              <w:jc w:val="center"/>
            </w:pPr>
            <w:r>
              <w:rPr>
                <w:rFonts w:hint="eastAsia" w:ascii="宋体" w:hAnsi="宋体" w:eastAsia="宋体"/>
                <w:color w:val="000000"/>
                <w:sz w:val="16"/>
              </w:rPr>
              <w:t>0</w:t>
            </w:r>
          </w:p>
        </w:tc>
        <w:tc>
          <w:tcPr>
            <w:tcW w:w="2380" w:type="dxa"/>
            <w:vAlign w:val="center"/>
          </w:tcPr>
          <w:p>
            <w:pPr>
              <w:spacing w:line="385" w:lineRule="exact"/>
              <w:jc w:val="center"/>
            </w:pPr>
            <w:r>
              <w:rPr>
                <w:rFonts w:hint="eastAsia" w:ascii="宋体" w:hAnsi="宋体" w:eastAsia="宋体"/>
                <w:color w:val="000000"/>
                <w:sz w:val="22"/>
              </w:rPr>
              <w:t>其它资金：</w:t>
            </w:r>
          </w:p>
        </w:tc>
        <w:tc>
          <w:tcPr>
            <w:tcW w:w="1520" w:type="dxa"/>
            <w:vAlign w:val="center"/>
          </w:tcPr>
          <w:p>
            <w:pPr>
              <w:spacing w:line="320" w:lineRule="exact"/>
              <w:jc w:val="center"/>
            </w:pPr>
            <w:r>
              <w:rPr>
                <w:rFonts w:hint="eastAsia" w:ascii="宋体" w:hAnsi="宋体" w:eastAsia="宋体"/>
                <w:color w:val="000000"/>
                <w:sz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00" w:hRule="atLeast"/>
        </w:trPr>
        <w:tc>
          <w:tcPr>
            <w:tcW w:w="520" w:type="dxa"/>
            <w:vMerge w:val="restart"/>
            <w:vAlign w:val="top"/>
          </w:tcPr>
          <w:p>
            <w:pPr>
              <w:spacing w:before="161" w:line="300" w:lineRule="exact"/>
              <w:ind w:left="20" w:firstLine="0"/>
              <w:jc w:val="both"/>
            </w:pPr>
            <w:r>
              <w:rPr>
                <w:rFonts w:hint="eastAsia" w:ascii="宋体" w:hAnsi="宋体" w:eastAsia="宋体"/>
                <w:color w:val="000000"/>
                <w:sz w:val="22"/>
              </w:rPr>
              <w:t>年度</w:t>
            </w:r>
          </w:p>
          <w:p>
            <w:pPr>
              <w:spacing w:line="275" w:lineRule="exact"/>
              <w:ind w:left="20" w:firstLine="0"/>
              <w:jc w:val="right"/>
            </w:pPr>
            <w:r>
              <w:rPr>
                <w:rFonts w:hint="eastAsia" w:ascii="宋体" w:hAnsi="宋体" w:eastAsia="宋体"/>
                <w:color w:val="000000"/>
                <w:sz w:val="22"/>
              </w:rPr>
              <w:t>目标</w:t>
            </w:r>
          </w:p>
          <w:p>
            <w:pPr>
              <w:spacing w:line="300" w:lineRule="exact"/>
              <w:ind w:firstLine="0"/>
              <w:jc w:val="right"/>
            </w:pPr>
            <w:r>
              <w:rPr>
                <w:rFonts w:hint="eastAsia" w:ascii="宋体" w:hAnsi="宋体" w:eastAsia="宋体"/>
                <w:color w:val="000000"/>
                <w:sz w:val="22"/>
              </w:rPr>
              <w:t>完成</w:t>
            </w:r>
          </w:p>
          <w:p>
            <w:pPr>
              <w:spacing w:line="300" w:lineRule="exact"/>
              <w:ind w:firstLine="0"/>
              <w:jc w:val="right"/>
            </w:pPr>
            <w:r>
              <w:rPr>
                <w:rFonts w:hint="eastAsia" w:ascii="宋体" w:hAnsi="宋体" w:eastAsia="宋体"/>
                <w:color w:val="000000"/>
                <w:sz w:val="22"/>
              </w:rPr>
              <w:t>情况</w:t>
            </w:r>
          </w:p>
        </w:tc>
        <w:tc>
          <w:tcPr>
            <w:tcW w:w="4140" w:type="dxa"/>
            <w:gridSpan w:val="3"/>
            <w:vAlign w:val="center"/>
          </w:tcPr>
          <w:p>
            <w:pPr>
              <w:spacing w:line="285" w:lineRule="exact"/>
              <w:jc w:val="center"/>
            </w:pPr>
            <w:r>
              <w:rPr>
                <w:rFonts w:hint="eastAsia" w:ascii="宋体" w:hAnsi="宋体" w:eastAsia="宋体"/>
                <w:color w:val="000000"/>
                <w:sz w:val="22"/>
              </w:rPr>
              <w:t>预期目标</w:t>
            </w:r>
          </w:p>
        </w:tc>
        <w:tc>
          <w:tcPr>
            <w:tcW w:w="3900" w:type="dxa"/>
            <w:gridSpan w:val="2"/>
            <w:vAlign w:val="center"/>
          </w:tcPr>
          <w:p>
            <w:pPr>
              <w:spacing w:line="265" w:lineRule="exact"/>
              <w:jc w:val="center"/>
            </w:pPr>
            <w:r>
              <w:rPr>
                <w:rFonts w:hint="eastAsia" w:ascii="宋体" w:hAnsi="宋体" w:eastAsia="宋体"/>
                <w:color w:val="000000"/>
                <w:sz w:val="22"/>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40" w:hRule="atLeast"/>
        </w:trPr>
        <w:tc>
          <w:tcPr>
            <w:tcW w:w="520" w:type="dxa"/>
            <w:vMerge w:val="continue"/>
          </w:tcPr>
          <w:p/>
        </w:tc>
        <w:tc>
          <w:tcPr>
            <w:tcW w:w="4140" w:type="dxa"/>
            <w:gridSpan w:val="3"/>
            <w:vAlign w:val="center"/>
          </w:tcPr>
          <w:p>
            <w:pPr>
              <w:spacing w:line="300" w:lineRule="exact"/>
              <w:jc w:val="center"/>
            </w:pPr>
            <w:r>
              <w:rPr>
                <w:rFonts w:hint="eastAsia" w:ascii="宋体" w:hAnsi="宋体" w:eastAsia="宋体"/>
                <w:color w:val="000000"/>
                <w:sz w:val="22"/>
              </w:rPr>
              <w:t>全区投放城市公交车8辆，满足城区及城乡</w:t>
            </w:r>
          </w:p>
          <w:p>
            <w:pPr>
              <w:spacing w:line="300" w:lineRule="exact"/>
              <w:ind w:firstLine="0"/>
              <w:jc w:val="right"/>
            </w:pPr>
            <w:r>
              <w:rPr>
                <w:rFonts w:hint="eastAsia" w:ascii="宋体" w:hAnsi="宋体" w:eastAsia="宋体"/>
                <w:color w:val="000000"/>
                <w:sz w:val="18"/>
              </w:rPr>
              <w:t>结合部群众出行方便、快捷，企业提升服务</w:t>
            </w:r>
          </w:p>
          <w:p>
            <w:pPr>
              <w:spacing w:line="300" w:lineRule="exact"/>
              <w:jc w:val="center"/>
            </w:pPr>
            <w:r>
              <w:rPr>
                <w:rFonts w:hint="eastAsia" w:ascii="宋体" w:hAnsi="宋体" w:eastAsia="宋体"/>
                <w:color w:val="000000"/>
                <w:sz w:val="18"/>
              </w:rPr>
              <w:t>质量，从业人员提高服务水平，让群众满意。</w:t>
            </w:r>
          </w:p>
          <w:p>
            <w:pPr>
              <w:spacing w:line="300" w:lineRule="exact"/>
              <w:jc w:val="center"/>
            </w:pPr>
            <w:r>
              <w:rPr>
                <w:rFonts w:hint="eastAsia" w:ascii="宋体" w:hAnsi="宋体" w:eastAsia="宋体"/>
                <w:color w:val="000000"/>
                <w:sz w:val="22"/>
              </w:rPr>
              <w:t>达到运营有序、安全、稳定。</w:t>
            </w:r>
          </w:p>
        </w:tc>
        <w:tc>
          <w:tcPr>
            <w:tcW w:w="3900" w:type="dxa"/>
            <w:gridSpan w:val="2"/>
            <w:vAlign w:val="top"/>
          </w:tcPr>
          <w:p>
            <w:pPr>
              <w:spacing w:before="311" w:line="300" w:lineRule="exact"/>
              <w:ind w:firstLine="0"/>
              <w:jc w:val="right"/>
            </w:pPr>
            <w:r>
              <w:rPr>
                <w:rFonts w:hint="eastAsia" w:ascii="宋体" w:hAnsi="宋体" w:eastAsia="宋体"/>
                <w:color w:val="000000"/>
                <w:sz w:val="18"/>
              </w:rPr>
              <w:t>确保城市公交运行有序、安全、稳定，群</w:t>
            </w:r>
          </w:p>
          <w:p>
            <w:pPr>
              <w:spacing w:line="300" w:lineRule="exact"/>
              <w:jc w:val="center"/>
            </w:pPr>
            <w:r>
              <w:rPr>
                <w:rFonts w:hint="eastAsia" w:ascii="宋体" w:hAnsi="宋体" w:eastAsia="宋体"/>
                <w:color w:val="000000"/>
                <w:sz w:val="22"/>
              </w:rPr>
              <w:t>众出行方便、快捷。群众满意。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atLeast"/>
        </w:trPr>
        <w:tc>
          <w:tcPr>
            <w:tcW w:w="520" w:type="dxa"/>
            <w:vMerge w:val="restart"/>
            <w:vAlign w:val="top"/>
          </w:tcPr>
          <w:p>
            <w:pPr>
              <w:spacing w:before="1403" w:line="300" w:lineRule="exact"/>
              <w:ind w:firstLine="0"/>
              <w:jc w:val="right"/>
            </w:pPr>
            <w:r>
              <w:rPr>
                <w:rFonts w:hint="eastAsia" w:ascii="宋体" w:hAnsi="宋体" w:eastAsia="宋体"/>
                <w:color w:val="000000"/>
                <w:sz w:val="22"/>
              </w:rPr>
              <w:t>绩效</w:t>
            </w:r>
          </w:p>
          <w:p>
            <w:pPr>
              <w:spacing w:line="300" w:lineRule="exact"/>
              <w:ind w:left="20" w:firstLine="0"/>
              <w:jc w:val="right"/>
            </w:pPr>
            <w:r>
              <w:rPr>
                <w:rFonts w:hint="eastAsia" w:ascii="宋体" w:hAnsi="宋体" w:eastAsia="宋体"/>
                <w:color w:val="000000"/>
                <w:sz w:val="22"/>
              </w:rPr>
              <w:t>指标</w:t>
            </w:r>
          </w:p>
          <w:p>
            <w:pPr>
              <w:spacing w:line="300" w:lineRule="exact"/>
              <w:ind w:left="20" w:firstLine="0"/>
              <w:jc w:val="right"/>
            </w:pPr>
            <w:r>
              <w:rPr>
                <w:rFonts w:hint="eastAsia" w:ascii="宋体" w:hAnsi="宋体" w:eastAsia="宋体"/>
                <w:color w:val="000000"/>
                <w:sz w:val="22"/>
              </w:rPr>
              <w:t>完成</w:t>
            </w:r>
          </w:p>
          <w:p>
            <w:pPr>
              <w:spacing w:line="300" w:lineRule="exact"/>
              <w:ind w:firstLine="0"/>
              <w:jc w:val="right"/>
            </w:pPr>
            <w:r>
              <w:rPr>
                <w:rFonts w:hint="eastAsia" w:ascii="宋体" w:hAnsi="宋体" w:eastAsia="宋体"/>
                <w:color w:val="000000"/>
                <w:sz w:val="22"/>
              </w:rPr>
              <w:t>情况</w:t>
            </w:r>
          </w:p>
        </w:tc>
        <w:tc>
          <w:tcPr>
            <w:tcW w:w="740" w:type="dxa"/>
            <w:vAlign w:val="top"/>
          </w:tcPr>
          <w:p>
            <w:pPr>
              <w:spacing w:before="193" w:line="320" w:lineRule="exact"/>
              <w:jc w:val="center"/>
            </w:pPr>
            <w:r>
              <w:rPr>
                <w:rFonts w:hint="eastAsia" w:ascii="宋体" w:hAnsi="宋体" w:eastAsia="宋体"/>
                <w:color w:val="000000"/>
                <w:sz w:val="22"/>
              </w:rPr>
              <w:t>一级</w:t>
            </w:r>
          </w:p>
          <w:p>
            <w:pPr>
              <w:spacing w:line="293" w:lineRule="exact"/>
              <w:jc w:val="center"/>
            </w:pPr>
            <w:r>
              <w:rPr>
                <w:rFonts w:hint="eastAsia" w:ascii="宋体" w:hAnsi="宋体" w:eastAsia="宋体"/>
                <w:color w:val="000000"/>
                <w:sz w:val="22"/>
              </w:rPr>
              <w:t>指标</w:t>
            </w:r>
          </w:p>
        </w:tc>
        <w:tc>
          <w:tcPr>
            <w:tcW w:w="1020" w:type="dxa"/>
            <w:vAlign w:val="center"/>
          </w:tcPr>
          <w:p>
            <w:pPr>
              <w:spacing w:line="360" w:lineRule="exact"/>
              <w:jc w:val="center"/>
            </w:pPr>
            <w:r>
              <w:rPr>
                <w:rFonts w:hint="eastAsia" w:ascii="宋体" w:hAnsi="宋体" w:eastAsia="宋体"/>
                <w:color w:val="000000"/>
                <w:sz w:val="22"/>
              </w:rPr>
              <w:t>二级指标</w:t>
            </w:r>
          </w:p>
        </w:tc>
        <w:tc>
          <w:tcPr>
            <w:tcW w:w="2380" w:type="dxa"/>
            <w:vAlign w:val="center"/>
          </w:tcPr>
          <w:p>
            <w:pPr>
              <w:spacing w:line="348" w:lineRule="exact"/>
              <w:jc w:val="center"/>
            </w:pPr>
            <w:r>
              <w:rPr>
                <w:rFonts w:hint="eastAsia" w:ascii="宋体" w:hAnsi="宋体" w:eastAsia="宋体"/>
                <w:color w:val="000000"/>
                <w:sz w:val="22"/>
              </w:rPr>
              <w:t>三级指标</w:t>
            </w:r>
          </w:p>
        </w:tc>
        <w:tc>
          <w:tcPr>
            <w:tcW w:w="2380" w:type="dxa"/>
            <w:vAlign w:val="top"/>
          </w:tcPr>
          <w:p>
            <w:pPr>
              <w:spacing w:before="194" w:line="300" w:lineRule="exact"/>
              <w:jc w:val="center"/>
            </w:pPr>
            <w:r>
              <w:rPr>
                <w:rFonts w:hint="eastAsia" w:ascii="宋体" w:hAnsi="宋体" w:eastAsia="宋体"/>
                <w:color w:val="000000"/>
                <w:sz w:val="22"/>
              </w:rPr>
              <w:t>预期指标值（包含数字</w:t>
            </w:r>
          </w:p>
          <w:p>
            <w:pPr>
              <w:spacing w:line="275" w:lineRule="exact"/>
              <w:jc w:val="center"/>
            </w:pPr>
            <w:r>
              <w:rPr>
                <w:rFonts w:hint="eastAsia" w:ascii="宋体" w:hAnsi="宋体" w:eastAsia="宋体"/>
                <w:color w:val="000000"/>
                <w:sz w:val="22"/>
              </w:rPr>
              <w:t>及文字描述）</w:t>
            </w:r>
          </w:p>
        </w:tc>
        <w:tc>
          <w:tcPr>
            <w:tcW w:w="1520" w:type="dxa"/>
            <w:vAlign w:val="top"/>
          </w:tcPr>
          <w:p>
            <w:pPr>
              <w:spacing w:before="44" w:line="300" w:lineRule="exact"/>
              <w:jc w:val="center"/>
            </w:pPr>
            <w:r>
              <w:rPr>
                <w:rFonts w:hint="eastAsia" w:ascii="宋体" w:hAnsi="宋体" w:eastAsia="宋体"/>
                <w:color w:val="000000"/>
                <w:sz w:val="22"/>
              </w:rPr>
              <w:t>实际完成指标</w:t>
            </w:r>
          </w:p>
          <w:p>
            <w:pPr>
              <w:spacing w:line="275" w:lineRule="exact"/>
              <w:jc w:val="center"/>
            </w:pPr>
            <w:r>
              <w:rPr>
                <w:rFonts w:hint="eastAsia" w:ascii="宋体" w:hAnsi="宋体" w:eastAsia="宋体"/>
                <w:color w:val="000000"/>
                <w:sz w:val="22"/>
              </w:rPr>
              <w:t>值（包含数字</w:t>
            </w:r>
          </w:p>
          <w:p>
            <w:pPr>
              <w:spacing w:line="275" w:lineRule="exact"/>
              <w:jc w:val="center"/>
            </w:pPr>
            <w:r>
              <w:rPr>
                <w:rFonts w:hint="eastAsia" w:ascii="宋体" w:hAnsi="宋体" w:eastAsia="宋体"/>
                <w:color w:val="000000"/>
                <w:sz w:val="22"/>
              </w:rPr>
              <w:t>及文字描述）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0" w:hRule="atLeast"/>
        </w:trPr>
        <w:tc>
          <w:tcPr>
            <w:tcW w:w="520" w:type="dxa"/>
            <w:vMerge w:val="continue"/>
          </w:tcPr>
          <w:p/>
        </w:tc>
        <w:tc>
          <w:tcPr>
            <w:tcW w:w="740" w:type="dxa"/>
            <w:vAlign w:val="center"/>
          </w:tcPr>
          <w:p>
            <w:pPr>
              <w:spacing w:line="275" w:lineRule="exact"/>
              <w:jc w:val="center"/>
            </w:pPr>
            <w:r>
              <w:rPr>
                <w:rFonts w:hint="eastAsia" w:ascii="宋体" w:hAnsi="宋体" w:eastAsia="宋体"/>
                <w:color w:val="000000"/>
                <w:sz w:val="22"/>
              </w:rPr>
              <w:t>项目</w:t>
            </w:r>
          </w:p>
          <w:p>
            <w:pPr>
              <w:spacing w:line="275" w:lineRule="exact"/>
              <w:jc w:val="center"/>
            </w:pPr>
            <w:r>
              <w:rPr>
                <w:rFonts w:hint="eastAsia" w:ascii="宋体" w:hAnsi="宋体" w:eastAsia="宋体"/>
                <w:color w:val="000000"/>
                <w:sz w:val="22"/>
              </w:rPr>
              <w:t>完成</w:t>
            </w:r>
          </w:p>
          <w:p>
            <w:pPr>
              <w:spacing w:line="275" w:lineRule="exact"/>
              <w:jc w:val="center"/>
            </w:pPr>
            <w:r>
              <w:rPr>
                <w:rFonts w:hint="eastAsia" w:ascii="宋体" w:hAnsi="宋体" w:eastAsia="宋体"/>
                <w:color w:val="000000"/>
                <w:sz w:val="22"/>
              </w:rPr>
              <w:t>指标</w:t>
            </w:r>
          </w:p>
        </w:tc>
        <w:tc>
          <w:tcPr>
            <w:tcW w:w="1020" w:type="dxa"/>
            <w:vAlign w:val="center"/>
          </w:tcPr>
          <w:p>
            <w:pPr>
              <w:spacing w:line="380" w:lineRule="exact"/>
              <w:jc w:val="center"/>
            </w:pPr>
            <w:r>
              <w:rPr>
                <w:rFonts w:hint="eastAsia" w:ascii="宋体" w:hAnsi="宋体" w:eastAsia="宋体"/>
                <w:color w:val="000000"/>
                <w:sz w:val="22"/>
              </w:rPr>
              <w:t>数量指标</w:t>
            </w:r>
          </w:p>
        </w:tc>
        <w:tc>
          <w:tcPr>
            <w:tcW w:w="2380" w:type="dxa"/>
            <w:vAlign w:val="center"/>
          </w:tcPr>
          <w:p>
            <w:pPr>
              <w:spacing w:line="366" w:lineRule="exact"/>
              <w:jc w:val="center"/>
            </w:pPr>
            <w:r>
              <w:rPr>
                <w:rFonts w:hint="eastAsia" w:ascii="宋体" w:hAnsi="宋体" w:eastAsia="宋体"/>
                <w:color w:val="000000"/>
                <w:sz w:val="22"/>
              </w:rPr>
              <w:t>车辆运行</w:t>
            </w:r>
          </w:p>
        </w:tc>
        <w:tc>
          <w:tcPr>
            <w:tcW w:w="2380" w:type="dxa"/>
            <w:vAlign w:val="center"/>
          </w:tcPr>
          <w:p>
            <w:pPr>
              <w:spacing w:line="348" w:lineRule="exact"/>
              <w:jc w:val="center"/>
            </w:pPr>
            <w:r>
              <w:rPr>
                <w:rFonts w:hint="eastAsia" w:ascii="宋体" w:hAnsi="宋体" w:eastAsia="宋体"/>
                <w:color w:val="000000"/>
                <w:sz w:val="22"/>
              </w:rPr>
              <w:t>8辆</w:t>
            </w:r>
          </w:p>
        </w:tc>
        <w:tc>
          <w:tcPr>
            <w:tcW w:w="1520" w:type="dxa"/>
            <w:vAlign w:val="center"/>
          </w:tcPr>
          <w:p>
            <w:pPr>
              <w:spacing w:line="366" w:lineRule="exact"/>
              <w:jc w:val="center"/>
            </w:pPr>
            <w:r>
              <w:rPr>
                <w:rFonts w:hint="eastAsia" w:ascii="宋体" w:hAnsi="宋体" w:eastAsia="宋体"/>
                <w:color w:val="000000"/>
                <w:sz w:val="22"/>
              </w:rPr>
              <w:t>8辆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0" w:hRule="atLeast"/>
        </w:trPr>
        <w:tc>
          <w:tcPr>
            <w:tcW w:w="520" w:type="dxa"/>
            <w:vMerge w:val="continue"/>
          </w:tcPr>
          <w:p/>
        </w:tc>
        <w:tc>
          <w:tcPr>
            <w:tcW w:w="740" w:type="dxa"/>
            <w:vAlign w:val="top"/>
          </w:tcPr>
          <w:p>
            <w:pPr>
              <w:spacing w:before="39" w:line="300" w:lineRule="exact"/>
              <w:jc w:val="center"/>
            </w:pPr>
            <w:r>
              <w:rPr>
                <w:rFonts w:hint="eastAsia" w:ascii="宋体" w:hAnsi="宋体" w:eastAsia="宋体"/>
                <w:color w:val="000000"/>
                <w:sz w:val="22"/>
              </w:rPr>
              <w:t>项目</w:t>
            </w:r>
          </w:p>
          <w:p>
            <w:pPr>
              <w:spacing w:line="275" w:lineRule="exact"/>
              <w:jc w:val="center"/>
            </w:pPr>
            <w:r>
              <w:rPr>
                <w:rFonts w:hint="eastAsia" w:ascii="宋体" w:hAnsi="宋体" w:eastAsia="宋体"/>
                <w:color w:val="000000"/>
                <w:sz w:val="22"/>
              </w:rPr>
              <w:t>完成</w:t>
            </w:r>
          </w:p>
          <w:p>
            <w:pPr>
              <w:spacing w:line="275" w:lineRule="exact"/>
              <w:jc w:val="center"/>
            </w:pPr>
            <w:r>
              <w:rPr>
                <w:rFonts w:hint="eastAsia" w:ascii="宋体" w:hAnsi="宋体" w:eastAsia="宋体"/>
                <w:color w:val="000000"/>
                <w:sz w:val="22"/>
              </w:rPr>
              <w:t>指标</w:t>
            </w:r>
          </w:p>
        </w:tc>
        <w:tc>
          <w:tcPr>
            <w:tcW w:w="1020" w:type="dxa"/>
            <w:vAlign w:val="center"/>
          </w:tcPr>
          <w:p>
            <w:pPr>
              <w:spacing w:line="385" w:lineRule="exact"/>
              <w:jc w:val="center"/>
            </w:pPr>
            <w:r>
              <w:rPr>
                <w:rFonts w:hint="eastAsia" w:ascii="宋体" w:hAnsi="宋体" w:eastAsia="宋体"/>
                <w:color w:val="000000"/>
                <w:sz w:val="22"/>
              </w:rPr>
              <w:t>质量指标</w:t>
            </w:r>
          </w:p>
        </w:tc>
        <w:tc>
          <w:tcPr>
            <w:tcW w:w="2380" w:type="dxa"/>
            <w:vAlign w:val="center"/>
          </w:tcPr>
          <w:p>
            <w:pPr>
              <w:spacing w:line="360" w:lineRule="exact"/>
              <w:jc w:val="center"/>
            </w:pPr>
            <w:r>
              <w:rPr>
                <w:rFonts w:hint="eastAsia" w:ascii="宋体" w:hAnsi="宋体" w:eastAsia="宋体"/>
                <w:color w:val="000000"/>
                <w:sz w:val="22"/>
              </w:rPr>
              <w:t>车辆运输</w:t>
            </w:r>
          </w:p>
        </w:tc>
        <w:tc>
          <w:tcPr>
            <w:tcW w:w="2380" w:type="dxa"/>
            <w:vAlign w:val="center"/>
          </w:tcPr>
          <w:p>
            <w:pPr>
              <w:spacing w:line="360" w:lineRule="exact"/>
              <w:jc w:val="center"/>
            </w:pPr>
            <w:r>
              <w:rPr>
                <w:rFonts w:hint="eastAsia" w:ascii="宋体" w:hAnsi="宋体" w:eastAsia="宋体"/>
                <w:color w:val="000000"/>
                <w:sz w:val="22"/>
              </w:rPr>
              <w:t>全天候运行</w:t>
            </w:r>
          </w:p>
        </w:tc>
        <w:tc>
          <w:tcPr>
            <w:tcW w:w="1520" w:type="dxa"/>
            <w:vAlign w:val="center"/>
          </w:tcPr>
          <w:p>
            <w:pPr>
              <w:spacing w:line="385" w:lineRule="exact"/>
              <w:jc w:val="center"/>
            </w:pPr>
            <w:r>
              <w:rPr>
                <w:rFonts w:hint="eastAsia" w:ascii="宋体" w:hAnsi="宋体" w:eastAsia="宋体"/>
                <w:color w:val="000000"/>
                <w:sz w:val="22"/>
              </w:rPr>
              <w:t>8辆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60" w:hRule="atLeast"/>
        </w:trPr>
        <w:tc>
          <w:tcPr>
            <w:tcW w:w="520" w:type="dxa"/>
            <w:vMerge w:val="continue"/>
          </w:tcPr>
          <w:p/>
        </w:tc>
        <w:tc>
          <w:tcPr>
            <w:tcW w:w="740" w:type="dxa"/>
            <w:vAlign w:val="center"/>
          </w:tcPr>
          <w:p>
            <w:pPr>
              <w:spacing w:line="275" w:lineRule="exact"/>
              <w:jc w:val="center"/>
            </w:pPr>
            <w:r>
              <w:rPr>
                <w:rFonts w:hint="eastAsia" w:ascii="宋体" w:hAnsi="宋体" w:eastAsia="宋体"/>
                <w:color w:val="000000"/>
                <w:sz w:val="22"/>
              </w:rPr>
              <w:t>项目</w:t>
            </w:r>
          </w:p>
          <w:p>
            <w:pPr>
              <w:spacing w:line="300" w:lineRule="exact"/>
              <w:jc w:val="center"/>
            </w:pPr>
            <w:r>
              <w:rPr>
                <w:rFonts w:hint="eastAsia" w:ascii="宋体" w:hAnsi="宋体" w:eastAsia="宋体"/>
                <w:color w:val="000000"/>
                <w:sz w:val="22"/>
              </w:rPr>
              <w:t>完成</w:t>
            </w:r>
          </w:p>
          <w:p>
            <w:pPr>
              <w:spacing w:line="275" w:lineRule="exact"/>
              <w:jc w:val="center"/>
            </w:pPr>
            <w:r>
              <w:rPr>
                <w:rFonts w:hint="eastAsia" w:ascii="宋体" w:hAnsi="宋体" w:eastAsia="宋体"/>
                <w:color w:val="000000"/>
                <w:sz w:val="22"/>
              </w:rPr>
              <w:t>指标</w:t>
            </w:r>
          </w:p>
        </w:tc>
        <w:tc>
          <w:tcPr>
            <w:tcW w:w="1020" w:type="dxa"/>
            <w:vAlign w:val="center"/>
          </w:tcPr>
          <w:p>
            <w:pPr>
              <w:spacing w:line="360" w:lineRule="exact"/>
              <w:jc w:val="center"/>
            </w:pPr>
            <w:r>
              <w:rPr>
                <w:rFonts w:hint="eastAsia" w:ascii="宋体" w:hAnsi="宋体" w:eastAsia="宋体"/>
                <w:color w:val="000000"/>
                <w:sz w:val="22"/>
              </w:rPr>
              <w:t>成本指标</w:t>
            </w:r>
          </w:p>
        </w:tc>
        <w:tc>
          <w:tcPr>
            <w:tcW w:w="2380" w:type="dxa"/>
            <w:vAlign w:val="center"/>
          </w:tcPr>
          <w:p>
            <w:pPr>
              <w:spacing w:line="348" w:lineRule="exact"/>
              <w:jc w:val="center"/>
            </w:pPr>
            <w:r>
              <w:rPr>
                <w:rFonts w:hint="eastAsia" w:ascii="宋体" w:hAnsi="宋体" w:eastAsia="宋体"/>
                <w:color w:val="000000"/>
                <w:sz w:val="22"/>
              </w:rPr>
              <w:t>车辆运行费用</w:t>
            </w:r>
          </w:p>
        </w:tc>
        <w:tc>
          <w:tcPr>
            <w:tcW w:w="2380" w:type="dxa"/>
            <w:vAlign w:val="center"/>
          </w:tcPr>
          <w:p>
            <w:pPr>
              <w:spacing w:line="360" w:lineRule="exact"/>
              <w:jc w:val="center"/>
            </w:pPr>
            <w:r>
              <w:rPr>
                <w:rFonts w:hint="eastAsia" w:ascii="宋体" w:hAnsi="宋体" w:eastAsia="宋体"/>
                <w:color w:val="000000"/>
                <w:sz w:val="22"/>
              </w:rPr>
              <w:t>4万／车</w:t>
            </w:r>
          </w:p>
        </w:tc>
        <w:tc>
          <w:tcPr>
            <w:tcW w:w="1520" w:type="dxa"/>
            <w:vAlign w:val="center"/>
          </w:tcPr>
          <w:p>
            <w:pPr>
              <w:spacing w:line="360" w:lineRule="exact"/>
              <w:jc w:val="center"/>
            </w:pPr>
            <w:r>
              <w:rPr>
                <w:rFonts w:hint="eastAsia" w:ascii="宋体" w:hAnsi="宋体" w:eastAsia="宋体"/>
                <w:color w:val="000000"/>
                <w:sz w:val="22"/>
              </w:rPr>
              <w:t>32万</w:t>
            </w:r>
          </w:p>
        </w:tc>
      </w:tr>
    </w:tbl>
    <w:p>
      <w:pPr>
        <w:spacing w:line="1" w:lineRule="exact"/>
        <w:sectPr>
          <w:type w:val="continuous"/>
          <w:pgSz w:w="11900" w:h="16840"/>
          <w:pgMar w:top="1984" w:right="1417" w:bottom="1814" w:left="1587" w:header="850" w:footer="1417" w:gutter="0"/>
          <w:pgNumType w:fmt="decimal"/>
          <w:cols w:space="0" w:num="1"/>
          <w:titlePg/>
          <w:rtlGutter w:val="0"/>
          <w:docGrid w:type="linesAndChars" w:linePitch="592" w:charSpace="-639"/>
        </w:sect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80"/>
        <w:gridCol w:w="880"/>
        <w:gridCol w:w="2400"/>
        <w:gridCol w:w="2360"/>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880" w:type="dxa"/>
            <w:vAlign w:val="top"/>
          </w:tcPr>
          <w:p>
            <w:pPr>
              <w:spacing w:before="63" w:line="300" w:lineRule="exact"/>
              <w:jc w:val="center"/>
            </w:pPr>
            <w:r>
              <w:rPr>
                <w:rFonts w:hint="eastAsia" w:ascii="宋体" w:hAnsi="宋体" w:eastAsia="宋体"/>
                <w:color w:val="000000"/>
                <w:sz w:val="22"/>
              </w:rPr>
              <w:t>项目</w:t>
            </w:r>
          </w:p>
          <w:p>
            <w:pPr>
              <w:spacing w:line="300" w:lineRule="exact"/>
              <w:jc w:val="center"/>
            </w:pPr>
            <w:r>
              <w:rPr>
                <w:rFonts w:hint="eastAsia" w:ascii="宋体" w:hAnsi="宋体" w:eastAsia="宋体"/>
                <w:color w:val="000000"/>
                <w:sz w:val="22"/>
              </w:rPr>
              <w:t>完成</w:t>
            </w:r>
          </w:p>
          <w:p>
            <w:pPr>
              <w:spacing w:line="275" w:lineRule="exact"/>
              <w:jc w:val="center"/>
            </w:pPr>
            <w:r>
              <w:rPr>
                <w:rFonts w:hint="eastAsia" w:ascii="宋体" w:hAnsi="宋体" w:eastAsia="宋体"/>
                <w:color w:val="000000"/>
                <w:sz w:val="22"/>
              </w:rPr>
              <w:t>指标</w:t>
            </w:r>
          </w:p>
        </w:tc>
        <w:tc>
          <w:tcPr>
            <w:tcW w:w="880" w:type="dxa"/>
            <w:vAlign w:val="top"/>
          </w:tcPr>
          <w:p>
            <w:pPr>
              <w:spacing w:before="231" w:line="300" w:lineRule="exact"/>
              <w:jc w:val="center"/>
            </w:pPr>
            <w:r>
              <w:rPr>
                <w:rFonts w:hint="eastAsia" w:ascii="宋体" w:hAnsi="宋体" w:eastAsia="宋体"/>
                <w:color w:val="000000"/>
                <w:sz w:val="22"/>
              </w:rPr>
              <w:t>社会效益</w:t>
            </w:r>
          </w:p>
          <w:p>
            <w:pPr>
              <w:spacing w:line="275" w:lineRule="exact"/>
              <w:jc w:val="center"/>
            </w:pPr>
            <w:r>
              <w:rPr>
                <w:rFonts w:hint="eastAsia" w:ascii="宋体" w:hAnsi="宋体" w:eastAsia="宋体"/>
                <w:color w:val="000000"/>
                <w:sz w:val="22"/>
              </w:rPr>
              <w:t>指标</w:t>
            </w:r>
          </w:p>
        </w:tc>
        <w:tc>
          <w:tcPr>
            <w:tcW w:w="2400" w:type="dxa"/>
            <w:vAlign w:val="center"/>
          </w:tcPr>
          <w:p>
            <w:pPr>
              <w:spacing w:line="360" w:lineRule="exact"/>
              <w:jc w:val="center"/>
            </w:pPr>
            <w:r>
              <w:rPr>
                <w:rFonts w:hint="eastAsia" w:ascii="宋体" w:hAnsi="宋体" w:eastAsia="宋体"/>
                <w:color w:val="000000"/>
                <w:sz w:val="22"/>
              </w:rPr>
              <w:t>满足群众出行需要</w:t>
            </w:r>
          </w:p>
        </w:tc>
        <w:tc>
          <w:tcPr>
            <w:tcW w:w="2360" w:type="dxa"/>
            <w:vAlign w:val="center"/>
          </w:tcPr>
          <w:p>
            <w:pPr>
              <w:spacing w:line="340" w:lineRule="exact"/>
              <w:jc w:val="center"/>
            </w:pPr>
            <w:r>
              <w:rPr>
                <w:rFonts w:hint="eastAsia" w:ascii="宋体" w:hAnsi="宋体" w:eastAsia="宋体"/>
                <w:color w:val="000000"/>
                <w:sz w:val="22"/>
              </w:rPr>
              <w:t>无滞留旅客现象</w:t>
            </w:r>
          </w:p>
        </w:tc>
        <w:tc>
          <w:tcPr>
            <w:tcW w:w="1520" w:type="dxa"/>
            <w:vAlign w:val="center"/>
          </w:tcPr>
          <w:p>
            <w:pPr>
              <w:spacing w:line="340" w:lineRule="exact"/>
              <w:jc w:val="center"/>
            </w:pPr>
            <w:r>
              <w:rPr>
                <w:rFonts w:hint="eastAsia" w:ascii="宋体" w:hAnsi="宋体" w:eastAsia="宋体"/>
                <w:color w:val="000000"/>
                <w:sz w:val="22"/>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20" w:hRule="atLeast"/>
        </w:trPr>
        <w:tc>
          <w:tcPr>
            <w:tcW w:w="880" w:type="dxa"/>
            <w:vAlign w:val="center"/>
          </w:tcPr>
          <w:p>
            <w:pPr>
              <w:spacing w:line="275" w:lineRule="exact"/>
              <w:jc w:val="center"/>
            </w:pPr>
            <w:r>
              <w:rPr>
                <w:rFonts w:hint="eastAsia" w:ascii="宋体" w:hAnsi="宋体" w:eastAsia="宋体"/>
                <w:color w:val="000000"/>
                <w:sz w:val="22"/>
              </w:rPr>
              <w:t>满意</w:t>
            </w:r>
          </w:p>
          <w:p>
            <w:pPr>
              <w:spacing w:line="275" w:lineRule="exact"/>
              <w:jc w:val="center"/>
            </w:pPr>
            <w:r>
              <w:rPr>
                <w:rFonts w:hint="eastAsia" w:ascii="宋体" w:hAnsi="宋体" w:eastAsia="宋体"/>
                <w:color w:val="000000"/>
                <w:sz w:val="22"/>
              </w:rPr>
              <w:t>度指</w:t>
            </w:r>
          </w:p>
          <w:p>
            <w:pPr>
              <w:spacing w:line="220" w:lineRule="exact"/>
              <w:jc w:val="center"/>
            </w:pPr>
            <w:r>
              <w:rPr>
                <w:rFonts w:hint="eastAsia" w:ascii="宋体" w:hAnsi="宋体" w:eastAsia="宋体"/>
                <w:color w:val="000000"/>
                <w:sz w:val="22"/>
              </w:rPr>
              <w:t>标</w:t>
            </w:r>
          </w:p>
        </w:tc>
        <w:tc>
          <w:tcPr>
            <w:tcW w:w="880" w:type="dxa"/>
            <w:vAlign w:val="top"/>
          </w:tcPr>
          <w:p>
            <w:pPr>
              <w:spacing w:before="213" w:line="300" w:lineRule="exact"/>
              <w:jc w:val="center"/>
            </w:pPr>
            <w:r>
              <w:rPr>
                <w:rFonts w:hint="eastAsia" w:ascii="宋体" w:hAnsi="宋体" w:eastAsia="宋体"/>
                <w:color w:val="000000"/>
                <w:sz w:val="22"/>
              </w:rPr>
              <w:t>满意度指</w:t>
            </w:r>
          </w:p>
          <w:p>
            <w:pPr>
              <w:spacing w:line="235" w:lineRule="exact"/>
              <w:jc w:val="center"/>
            </w:pPr>
            <w:r>
              <w:rPr>
                <w:rFonts w:hint="eastAsia" w:ascii="宋体" w:hAnsi="宋体" w:eastAsia="宋体"/>
                <w:color w:val="000000"/>
                <w:sz w:val="22"/>
              </w:rPr>
              <w:t>标</w:t>
            </w:r>
          </w:p>
        </w:tc>
        <w:tc>
          <w:tcPr>
            <w:tcW w:w="2400" w:type="dxa"/>
            <w:vAlign w:val="center"/>
          </w:tcPr>
          <w:p>
            <w:pPr>
              <w:spacing w:line="340" w:lineRule="exact"/>
              <w:jc w:val="center"/>
            </w:pPr>
            <w:r>
              <w:rPr>
                <w:rFonts w:hint="eastAsia" w:ascii="宋体" w:hAnsi="宋体" w:eastAsia="宋体"/>
                <w:color w:val="000000"/>
                <w:sz w:val="22"/>
              </w:rPr>
              <w:t>确保无投诉无信访事件</w:t>
            </w:r>
          </w:p>
        </w:tc>
        <w:tc>
          <w:tcPr>
            <w:tcW w:w="2360" w:type="dxa"/>
            <w:vAlign w:val="center"/>
          </w:tcPr>
          <w:p>
            <w:pPr>
              <w:spacing w:line="340" w:lineRule="exact"/>
              <w:jc w:val="center"/>
            </w:pPr>
            <w:r>
              <w:rPr>
                <w:rFonts w:hint="eastAsia" w:ascii="宋体" w:hAnsi="宋体" w:eastAsia="宋体"/>
                <w:color w:val="000000"/>
                <w:sz w:val="22"/>
              </w:rPr>
              <w:t>全年投诉不超过2例</w:t>
            </w:r>
          </w:p>
        </w:tc>
        <w:tc>
          <w:tcPr>
            <w:tcW w:w="1520" w:type="dxa"/>
            <w:vAlign w:val="center"/>
          </w:tcPr>
          <w:p>
            <w:pPr>
              <w:spacing w:line="340" w:lineRule="exact"/>
              <w:jc w:val="center"/>
            </w:pPr>
            <w:r>
              <w:rPr>
                <w:rFonts w:hint="eastAsia" w:ascii="宋体" w:hAnsi="宋体" w:eastAsia="宋体"/>
                <w:color w:val="000000"/>
                <w:sz w:val="22"/>
              </w:rPr>
              <w:t>≤2</w:t>
            </w:r>
          </w:p>
        </w:tc>
      </w:tr>
    </w:tbl>
    <w:p>
      <w:pPr>
        <w:spacing w:before="40" w:line="520" w:lineRule="exact"/>
        <w:ind w:firstLine="140"/>
        <w:jc w:val="left"/>
      </w:pPr>
      <w:r>
        <w:rPr>
          <w:color w:val="000000"/>
          <w:sz w:val="32"/>
        </w:rPr>
        <w:t>四、存在主要问题</w:t>
      </w:r>
    </w:p>
    <w:p>
      <w:pPr>
        <w:spacing w:line="500" w:lineRule="exact"/>
        <w:ind w:firstLine="140"/>
        <w:jc w:val="left"/>
      </w:pPr>
      <w:r>
        <w:rPr>
          <w:color w:val="000000"/>
          <w:sz w:val="30"/>
        </w:rPr>
        <w:t>1、经费严重不足；</w:t>
      </w:r>
    </w:p>
    <w:p>
      <w:pPr>
        <w:spacing w:line="500" w:lineRule="exact"/>
        <w:ind w:firstLine="140"/>
        <w:jc w:val="left"/>
      </w:pPr>
      <w:r>
        <w:rPr>
          <w:color w:val="000000"/>
          <w:sz w:val="30"/>
        </w:rPr>
        <w:t>2、各部门配合不力。</w:t>
      </w:r>
    </w:p>
    <w:p>
      <w:pPr>
        <w:spacing w:line="520" w:lineRule="exact"/>
        <w:ind w:firstLine="140"/>
        <w:jc w:val="left"/>
      </w:pPr>
      <w:r>
        <w:rPr>
          <w:color w:val="000000"/>
          <w:sz w:val="32"/>
        </w:rPr>
        <w:t>五、相关措施建议</w:t>
      </w:r>
    </w:p>
    <w:p>
      <w:pPr>
        <w:spacing w:line="500" w:lineRule="exact"/>
        <w:ind w:firstLine="140"/>
        <w:jc w:val="left"/>
      </w:pPr>
      <w:r>
        <w:rPr>
          <w:color w:val="000000"/>
          <w:sz w:val="30"/>
        </w:rPr>
        <w:t>1、足额预算公交车运营补贴及相关经费；</w:t>
      </w:r>
    </w:p>
    <w:p>
      <w:pPr>
        <w:spacing w:line="500" w:lineRule="exact"/>
        <w:ind w:firstLine="140"/>
        <w:jc w:val="left"/>
        <w:sectPr>
          <w:type w:val="continuous"/>
          <w:pgSz w:w="11900" w:h="16840"/>
          <w:pgMar w:top="1984" w:right="1417" w:bottom="1814" w:left="1587" w:header="850" w:footer="1417" w:gutter="0"/>
          <w:pgNumType w:fmt="decimal"/>
          <w:cols w:space="0" w:num="1"/>
          <w:titlePg/>
          <w:rtlGutter w:val="0"/>
          <w:docGrid w:type="linesAndChars" w:linePitch="592" w:charSpace="-639"/>
        </w:sectPr>
      </w:pPr>
      <w:r>
        <w:rPr>
          <w:color w:val="000000"/>
          <w:sz w:val="30"/>
        </w:rPr>
        <w:t>2、区人民政府应明确补贴标准，定额纳入每年预算。</w:t>
      </w:r>
    </w:p>
    <w:p>
      <w:pPr>
        <w:spacing w:after="880" w:line="540" w:lineRule="exact"/>
        <w:jc w:val="center"/>
      </w:pPr>
      <w:bookmarkStart w:id="0" w:name="_GoBack"/>
      <w:r>
        <w:rPr>
          <w:color w:val="000000"/>
          <w:sz w:val="40"/>
        </w:rPr>
        <w:t>第五部分 附表</w:t>
      </w:r>
    </w:p>
    <w:bookmarkEnd w:id="0"/>
    <w:p>
      <w:pPr>
        <w:keepNext w:val="0"/>
        <w:keepLines w:val="0"/>
        <w:pageBreakBefore w:val="0"/>
        <w:widowControl w:val="0"/>
        <w:kinsoku/>
        <w:wordWrap/>
        <w:overflowPunct/>
        <w:topLinePunct w:val="0"/>
        <w:autoSpaceDE/>
        <w:autoSpaceDN/>
        <w:bidi w:val="0"/>
        <w:adjustRightInd/>
        <w:snapToGrid/>
        <w:spacing w:after="380" w:line="400" w:lineRule="exact"/>
        <w:ind w:firstLine="0"/>
        <w:jc w:val="left"/>
        <w:textAlignment w:val="auto"/>
      </w:pPr>
      <w:r>
        <w:rPr>
          <w:color w:val="000000"/>
          <w:sz w:val="30"/>
        </w:rPr>
        <w:t>一、收入支出决算总表</w:t>
      </w:r>
    </w:p>
    <w:p>
      <w:pPr>
        <w:keepNext w:val="0"/>
        <w:keepLines w:val="0"/>
        <w:pageBreakBefore w:val="0"/>
        <w:widowControl w:val="0"/>
        <w:kinsoku/>
        <w:wordWrap/>
        <w:overflowPunct/>
        <w:topLinePunct w:val="0"/>
        <w:autoSpaceDE/>
        <w:autoSpaceDN/>
        <w:bidi w:val="0"/>
        <w:adjustRightInd/>
        <w:snapToGrid/>
        <w:spacing w:after="320" w:line="400" w:lineRule="exact"/>
        <w:ind w:firstLine="0"/>
        <w:jc w:val="left"/>
        <w:textAlignment w:val="auto"/>
      </w:pPr>
      <w:r>
        <w:rPr>
          <w:color w:val="000000"/>
          <w:sz w:val="30"/>
        </w:rPr>
        <w:t>二、收入总表</w:t>
      </w:r>
    </w:p>
    <w:p>
      <w:pPr>
        <w:keepNext w:val="0"/>
        <w:keepLines w:val="0"/>
        <w:pageBreakBefore w:val="0"/>
        <w:widowControl w:val="0"/>
        <w:kinsoku/>
        <w:wordWrap/>
        <w:overflowPunct/>
        <w:topLinePunct w:val="0"/>
        <w:autoSpaceDE/>
        <w:autoSpaceDN/>
        <w:bidi w:val="0"/>
        <w:adjustRightInd/>
        <w:snapToGrid/>
        <w:spacing w:after="380" w:line="400" w:lineRule="exact"/>
        <w:ind w:firstLine="0"/>
        <w:jc w:val="left"/>
        <w:textAlignment w:val="auto"/>
      </w:pPr>
      <w:r>
        <w:rPr>
          <w:color w:val="000000"/>
          <w:sz w:val="30"/>
        </w:rPr>
        <w:t>三、支出总表</w:t>
      </w:r>
    </w:p>
    <w:p>
      <w:pPr>
        <w:keepNext w:val="0"/>
        <w:keepLines w:val="0"/>
        <w:pageBreakBefore w:val="0"/>
        <w:widowControl w:val="0"/>
        <w:kinsoku/>
        <w:wordWrap/>
        <w:overflowPunct/>
        <w:topLinePunct w:val="0"/>
        <w:autoSpaceDE/>
        <w:autoSpaceDN/>
        <w:bidi w:val="0"/>
        <w:adjustRightInd/>
        <w:snapToGrid/>
        <w:spacing w:after="380" w:line="400" w:lineRule="exact"/>
        <w:ind w:firstLine="0"/>
        <w:jc w:val="left"/>
        <w:textAlignment w:val="auto"/>
      </w:pPr>
      <w:r>
        <w:rPr>
          <w:color w:val="000000"/>
          <w:sz w:val="30"/>
        </w:rPr>
        <w:t>四、财政拨款收入支出决算总表</w:t>
      </w:r>
    </w:p>
    <w:p>
      <w:pPr>
        <w:keepNext w:val="0"/>
        <w:keepLines w:val="0"/>
        <w:pageBreakBefore w:val="0"/>
        <w:widowControl w:val="0"/>
        <w:kinsoku/>
        <w:wordWrap/>
        <w:overflowPunct/>
        <w:topLinePunct w:val="0"/>
        <w:autoSpaceDE/>
        <w:autoSpaceDN/>
        <w:bidi w:val="0"/>
        <w:adjustRightInd/>
        <w:snapToGrid/>
        <w:spacing w:after="320" w:line="400" w:lineRule="exact"/>
        <w:ind w:firstLine="0"/>
        <w:jc w:val="left"/>
        <w:textAlignment w:val="auto"/>
      </w:pPr>
      <w:r>
        <w:rPr>
          <w:color w:val="000000"/>
          <w:sz w:val="30"/>
        </w:rPr>
        <w:t>五、财政拨款支出决算明细表（政府经济分类科目）</w:t>
      </w:r>
    </w:p>
    <w:p>
      <w:pPr>
        <w:keepNext w:val="0"/>
        <w:keepLines w:val="0"/>
        <w:pageBreakBefore w:val="0"/>
        <w:widowControl w:val="0"/>
        <w:kinsoku/>
        <w:wordWrap/>
        <w:overflowPunct/>
        <w:topLinePunct w:val="0"/>
        <w:autoSpaceDE/>
        <w:autoSpaceDN/>
        <w:bidi w:val="0"/>
        <w:adjustRightInd/>
        <w:snapToGrid/>
        <w:spacing w:after="380" w:line="400" w:lineRule="exact"/>
        <w:ind w:firstLine="0"/>
        <w:jc w:val="left"/>
        <w:textAlignment w:val="auto"/>
      </w:pPr>
      <w:r>
        <w:rPr>
          <w:color w:val="000000"/>
          <w:sz w:val="30"/>
        </w:rPr>
        <w:t>六、一般公共预算财政拨款支出决算表</w:t>
      </w:r>
    </w:p>
    <w:p>
      <w:pPr>
        <w:keepNext w:val="0"/>
        <w:keepLines w:val="0"/>
        <w:pageBreakBefore w:val="0"/>
        <w:widowControl w:val="0"/>
        <w:kinsoku/>
        <w:wordWrap/>
        <w:overflowPunct/>
        <w:topLinePunct w:val="0"/>
        <w:autoSpaceDE/>
        <w:autoSpaceDN/>
        <w:bidi w:val="0"/>
        <w:adjustRightInd/>
        <w:snapToGrid/>
        <w:spacing w:after="380" w:line="400" w:lineRule="exact"/>
        <w:ind w:firstLine="0"/>
        <w:jc w:val="left"/>
        <w:textAlignment w:val="auto"/>
      </w:pPr>
      <w:r>
        <w:rPr>
          <w:color w:val="000000"/>
          <w:sz w:val="30"/>
        </w:rPr>
        <w:t>七、一般公共预算财政拨款支出决算明细表</w:t>
      </w:r>
    </w:p>
    <w:p>
      <w:pPr>
        <w:keepNext w:val="0"/>
        <w:keepLines w:val="0"/>
        <w:pageBreakBefore w:val="0"/>
        <w:widowControl w:val="0"/>
        <w:kinsoku/>
        <w:wordWrap/>
        <w:overflowPunct/>
        <w:topLinePunct w:val="0"/>
        <w:autoSpaceDE/>
        <w:autoSpaceDN/>
        <w:bidi w:val="0"/>
        <w:adjustRightInd/>
        <w:snapToGrid/>
        <w:spacing w:after="380" w:line="400" w:lineRule="exact"/>
        <w:ind w:firstLine="0"/>
        <w:jc w:val="left"/>
        <w:textAlignment w:val="auto"/>
      </w:pPr>
      <w:r>
        <w:rPr>
          <w:color w:val="000000"/>
          <w:sz w:val="30"/>
        </w:rPr>
        <w:t>八、一般公共预算财政拨款基本支出决算表</w:t>
      </w:r>
    </w:p>
    <w:p>
      <w:pPr>
        <w:keepNext w:val="0"/>
        <w:keepLines w:val="0"/>
        <w:pageBreakBefore w:val="0"/>
        <w:widowControl w:val="0"/>
        <w:kinsoku/>
        <w:wordWrap/>
        <w:overflowPunct/>
        <w:topLinePunct w:val="0"/>
        <w:autoSpaceDE/>
        <w:autoSpaceDN/>
        <w:bidi w:val="0"/>
        <w:adjustRightInd/>
        <w:snapToGrid/>
        <w:spacing w:after="320" w:line="400" w:lineRule="exact"/>
        <w:ind w:firstLine="0"/>
        <w:jc w:val="left"/>
        <w:textAlignment w:val="auto"/>
      </w:pPr>
      <w:r>
        <w:rPr>
          <w:color w:val="000000"/>
          <w:sz w:val="30"/>
        </w:rPr>
        <w:t>九、一般公共预算财政拨款项目支出决算表</w:t>
      </w:r>
    </w:p>
    <w:p>
      <w:pPr>
        <w:keepNext w:val="0"/>
        <w:keepLines w:val="0"/>
        <w:pageBreakBefore w:val="0"/>
        <w:widowControl w:val="0"/>
        <w:kinsoku/>
        <w:wordWrap/>
        <w:overflowPunct/>
        <w:topLinePunct w:val="0"/>
        <w:autoSpaceDE/>
        <w:autoSpaceDN/>
        <w:bidi w:val="0"/>
        <w:adjustRightInd/>
        <w:snapToGrid/>
        <w:spacing w:after="320" w:line="400" w:lineRule="exact"/>
        <w:ind w:firstLine="0"/>
        <w:jc w:val="left"/>
        <w:textAlignment w:val="auto"/>
      </w:pPr>
      <w:r>
        <w:rPr>
          <w:color w:val="000000"/>
          <w:sz w:val="30"/>
        </w:rPr>
        <w:t>十、一般公共预算财政拨款“三公”经费支出决算表</w:t>
      </w:r>
    </w:p>
    <w:p>
      <w:pPr>
        <w:keepNext w:val="0"/>
        <w:keepLines w:val="0"/>
        <w:pageBreakBefore w:val="0"/>
        <w:widowControl w:val="0"/>
        <w:kinsoku/>
        <w:wordWrap/>
        <w:overflowPunct/>
        <w:topLinePunct w:val="0"/>
        <w:autoSpaceDE/>
        <w:autoSpaceDN/>
        <w:bidi w:val="0"/>
        <w:adjustRightInd/>
        <w:snapToGrid/>
        <w:spacing w:after="380" w:line="400" w:lineRule="exact"/>
        <w:ind w:firstLine="0"/>
        <w:jc w:val="left"/>
        <w:textAlignment w:val="auto"/>
      </w:pPr>
      <w:r>
        <w:rPr>
          <w:color w:val="000000"/>
          <w:sz w:val="30"/>
        </w:rPr>
        <w:t>十一、政府性基金预算财政拨款收入支出决算表</w:t>
      </w:r>
    </w:p>
    <w:p>
      <w:pPr>
        <w:keepNext w:val="0"/>
        <w:keepLines w:val="0"/>
        <w:pageBreakBefore w:val="0"/>
        <w:widowControl w:val="0"/>
        <w:kinsoku/>
        <w:wordWrap/>
        <w:overflowPunct/>
        <w:topLinePunct w:val="0"/>
        <w:autoSpaceDE/>
        <w:autoSpaceDN/>
        <w:bidi w:val="0"/>
        <w:adjustRightInd/>
        <w:snapToGrid/>
        <w:spacing w:after="380" w:line="400" w:lineRule="exact"/>
        <w:ind w:firstLine="0"/>
        <w:jc w:val="left"/>
        <w:textAlignment w:val="auto"/>
      </w:pPr>
      <w:r>
        <w:rPr>
          <w:color w:val="000000"/>
          <w:sz w:val="30"/>
        </w:rPr>
        <w:t>十二、政府性基金预算财政拨款“三公”经费支出决算表</w:t>
      </w:r>
    </w:p>
    <w:p>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olor w:val="000000"/>
          <w:sz w:val="30"/>
        </w:rPr>
      </w:pPr>
      <w:r>
        <w:rPr>
          <w:rFonts w:hint="eastAsia" w:ascii="宋体" w:hAnsi="宋体" w:eastAsia="宋体"/>
          <w:color w:val="000000"/>
          <w:sz w:val="30"/>
        </w:rPr>
        <w:t>十三、国有资本经营预算财政拨款收入支出决算表</w:t>
      </w:r>
    </w:p>
    <w:p>
      <w:pPr>
        <w:keepNext w:val="0"/>
        <w:keepLines w:val="0"/>
        <w:pageBreakBefore w:val="0"/>
        <w:widowControl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olor w:val="000000"/>
          <w:sz w:val="30"/>
          <w:lang w:val="en-US" w:eastAsia="zh-CN"/>
        </w:rPr>
        <w:sectPr>
          <w:type w:val="continuous"/>
          <w:pgSz w:w="11900" w:h="16840"/>
          <w:pgMar w:top="1440" w:right="1640" w:bottom="1440" w:left="1640" w:header="0" w:footer="1440" w:gutter="0"/>
          <w:cols w:space="720" w:num="1"/>
          <w:titlePg/>
          <w:docGrid w:type="lines" w:linePitch="312" w:charSpace="0"/>
        </w:sectPr>
      </w:pPr>
      <w:r>
        <w:rPr>
          <w:rFonts w:hint="eastAsia" w:ascii="宋体" w:hAnsi="宋体" w:eastAsia="宋体"/>
          <w:color w:val="000000"/>
          <w:sz w:val="30"/>
          <w:lang w:val="en-US" w:eastAsia="zh-CN"/>
        </w:rPr>
        <w:t>十四、</w:t>
      </w:r>
      <w:r>
        <w:rPr>
          <w:rFonts w:hint="eastAsia" w:ascii="宋体" w:hAnsi="宋体" w:eastAsia="宋体"/>
          <w:color w:val="000000"/>
          <w:sz w:val="30"/>
        </w:rPr>
        <w:t>国有资本经营预算财政拨款支出决算表</w:t>
      </w:r>
    </w:p>
    <w:p>
      <w:pPr>
        <w:spacing w:line="400" w:lineRule="exact"/>
        <w:ind w:firstLine="0"/>
        <w:jc w:val="left"/>
        <w:rPr>
          <w:rFonts w:hint="eastAsia"/>
          <w:color w:val="000000"/>
          <w:sz w:val="30"/>
          <w:lang w:eastAsia="zh-CN"/>
        </w:rPr>
      </w:pPr>
    </w:p>
    <w:sectPr>
      <w:type w:val="continuous"/>
      <w:pgSz w:w="11900" w:h="16840"/>
      <w:pgMar w:top="1984" w:right="1417" w:bottom="1814" w:left="1587" w:header="850" w:footer="1417" w:gutter="0"/>
      <w:pgNumType w:fmt="decimal"/>
      <w:cols w:space="0" w:num="1"/>
      <w:titlePg/>
      <w:rtlGutter w:val="0"/>
      <w:docGrid w:type="linesAndChars" w:linePitch="592" w:charSpace="-6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3"/>
  <w:drawingGridVerticalSpacing w:val="29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2YTY1MWU3YWY4YTJkYWRiNGQzNzViZDc2MmU4YzkifQ=="/>
  </w:docVars>
  <w:rsids>
    <w:rsidRoot w:val="00BD0BC8"/>
    <w:rsid w:val="000D6051"/>
    <w:rsid w:val="009F0BE0"/>
    <w:rsid w:val="00BA6D97"/>
    <w:rsid w:val="00BD0BC8"/>
    <w:rsid w:val="02C73530"/>
    <w:rsid w:val="030C576D"/>
    <w:rsid w:val="04374CED"/>
    <w:rsid w:val="0D2D31A4"/>
    <w:rsid w:val="11E84674"/>
    <w:rsid w:val="13097E72"/>
    <w:rsid w:val="13677C77"/>
    <w:rsid w:val="17F53D3E"/>
    <w:rsid w:val="18586850"/>
    <w:rsid w:val="18935AEC"/>
    <w:rsid w:val="1C5C553D"/>
    <w:rsid w:val="1E5C37CA"/>
    <w:rsid w:val="1EA929A4"/>
    <w:rsid w:val="2439253C"/>
    <w:rsid w:val="278A2A88"/>
    <w:rsid w:val="2A61691A"/>
    <w:rsid w:val="2CFC08C1"/>
    <w:rsid w:val="2E9F0519"/>
    <w:rsid w:val="2F154177"/>
    <w:rsid w:val="30FB1E5E"/>
    <w:rsid w:val="3554472A"/>
    <w:rsid w:val="372431A9"/>
    <w:rsid w:val="379C0A32"/>
    <w:rsid w:val="37D30A5F"/>
    <w:rsid w:val="3D0F7E6D"/>
    <w:rsid w:val="3DF072F5"/>
    <w:rsid w:val="3EB86F98"/>
    <w:rsid w:val="3EC453D2"/>
    <w:rsid w:val="3F19560F"/>
    <w:rsid w:val="40552625"/>
    <w:rsid w:val="43113D26"/>
    <w:rsid w:val="44DB1BDB"/>
    <w:rsid w:val="45212773"/>
    <w:rsid w:val="46CB1FA6"/>
    <w:rsid w:val="490B59F5"/>
    <w:rsid w:val="4F6F294F"/>
    <w:rsid w:val="5AC25647"/>
    <w:rsid w:val="60764B52"/>
    <w:rsid w:val="61BD612B"/>
    <w:rsid w:val="63ED1FB3"/>
    <w:rsid w:val="645C1693"/>
    <w:rsid w:val="647366C4"/>
    <w:rsid w:val="652249C4"/>
    <w:rsid w:val="661C136B"/>
    <w:rsid w:val="683E2DE3"/>
    <w:rsid w:val="69132EFA"/>
    <w:rsid w:val="6B79572D"/>
    <w:rsid w:val="6BE741CA"/>
    <w:rsid w:val="6EE90507"/>
    <w:rsid w:val="6F851031"/>
    <w:rsid w:val="72A93E2C"/>
    <w:rsid w:val="72B55021"/>
    <w:rsid w:val="75DC0B17"/>
    <w:rsid w:val="79FD4B66"/>
    <w:rsid w:val="7C7813E0"/>
    <w:rsid w:val="7D4337D6"/>
    <w:rsid w:val="7F9E783F"/>
    <w:rsid w:val="7FF23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11904</Words>
  <Characters>12580</Characters>
  <TotalTime>4</TotalTime>
  <ScaleCrop>false</ScaleCrop>
  <LinksUpToDate>false</LinksUpToDate>
  <CharactersWithSpaces>12614</CharactersWithSpaces>
  <Application>WPS Office_11.1.0.12358_F1E327BC-269C-435d-A152-05C5408002CA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2022-09-24T05:46:00Z</dcterms:created>
  <dc:creator>openxml-sdk </dc:creator>
  <dc:description>openxml-sdk, CCi Textin Word Converter, JL</dc:description>
  <cp:keywords>CCi</cp:keywords>
  <cp:lastModifiedBy>&amp;翼$</cp:lastModifiedBy>
  <dcterms:modified xsi:type="dcterms:W3CDTF">2022-09-24T09:31:32Z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227B7515E27C4123A335B735792B7B73</vt:lpwstr>
  </property>
</Properties>
</file>