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9AFEB">
      <w:pPr>
        <w:spacing w:before="231" w:line="231" w:lineRule="auto"/>
        <w:ind w:left="42"/>
        <w:outlineLvl w:val="0"/>
        <w:rPr>
          <w:rFonts w:ascii="黑体" w:hAnsi="黑体" w:eastAsia="黑体" w:cs="黑体"/>
          <w:sz w:val="29"/>
          <w:szCs w:val="29"/>
        </w:rPr>
      </w:pPr>
      <w:bookmarkStart w:id="0" w:name="_Toc3145"/>
      <w:r>
        <w:rPr>
          <w:rFonts w:ascii="黑体" w:hAnsi="黑体" w:eastAsia="黑体" w:cs="黑体"/>
          <w:spacing w:val="-20"/>
          <w:sz w:val="29"/>
          <w:szCs w:val="29"/>
        </w:rPr>
        <w:t>附</w:t>
      </w:r>
      <w:r>
        <w:rPr>
          <w:rFonts w:ascii="黑体" w:hAnsi="黑体" w:eastAsia="黑体" w:cs="黑体"/>
          <w:spacing w:val="-18"/>
          <w:sz w:val="29"/>
          <w:szCs w:val="29"/>
        </w:rPr>
        <w:t>件 4</w:t>
      </w:r>
      <w:bookmarkEnd w:id="0"/>
    </w:p>
    <w:p w14:paraId="559E60F8">
      <w:pPr>
        <w:rPr>
          <w:rFonts w:ascii="Arial"/>
          <w:sz w:val="21"/>
        </w:rPr>
      </w:pPr>
    </w:p>
    <w:p w14:paraId="0F62F0B8">
      <w:pPr>
        <w:rPr>
          <w:rFonts w:ascii="Arial"/>
          <w:sz w:val="21"/>
        </w:rPr>
      </w:pPr>
    </w:p>
    <w:p w14:paraId="5438C5C0">
      <w:pPr>
        <w:rPr>
          <w:rFonts w:ascii="Arial"/>
          <w:sz w:val="21"/>
        </w:rPr>
      </w:pPr>
    </w:p>
    <w:p w14:paraId="789EB9DE">
      <w:pPr>
        <w:rPr>
          <w:rFonts w:ascii="Arial"/>
          <w:sz w:val="21"/>
        </w:rPr>
      </w:pPr>
    </w:p>
    <w:p w14:paraId="288BA8AB">
      <w:pPr>
        <w:rPr>
          <w:rFonts w:ascii="Arial"/>
          <w:sz w:val="21"/>
        </w:rPr>
      </w:pPr>
    </w:p>
    <w:p w14:paraId="54172384">
      <w:pPr>
        <w:rPr>
          <w:rFonts w:ascii="Arial"/>
          <w:sz w:val="21"/>
        </w:rPr>
      </w:pPr>
    </w:p>
    <w:p w14:paraId="39A82BB5">
      <w:pPr>
        <w:rPr>
          <w:rFonts w:ascii="Arial"/>
          <w:sz w:val="21"/>
        </w:rPr>
      </w:pPr>
    </w:p>
    <w:p w14:paraId="6ED9A090">
      <w:pPr>
        <w:spacing w:before="231" w:line="224" w:lineRule="auto"/>
        <w:ind w:left="2659"/>
        <w:rPr>
          <w:rFonts w:ascii="黑体" w:hAnsi="黑体" w:eastAsia="黑体" w:cs="黑体"/>
          <w:sz w:val="71"/>
          <w:szCs w:val="71"/>
        </w:rPr>
      </w:pPr>
      <w:r>
        <w:rPr>
          <w:rFonts w:ascii="黑体" w:hAnsi="黑体" w:eastAsia="黑体" w:cs="黑体"/>
          <w:spacing w:val="-26"/>
          <w:sz w:val="71"/>
          <w:szCs w:val="71"/>
        </w:rPr>
        <w:t>2</w:t>
      </w:r>
      <w:r>
        <w:rPr>
          <w:rFonts w:ascii="黑体" w:hAnsi="黑体" w:eastAsia="黑体" w:cs="黑体"/>
          <w:spacing w:val="-22"/>
          <w:sz w:val="71"/>
          <w:szCs w:val="71"/>
        </w:rPr>
        <w:t>020 年度</w:t>
      </w:r>
    </w:p>
    <w:p w14:paraId="4AA09534">
      <w:pPr>
        <w:spacing w:line="304" w:lineRule="auto"/>
        <w:rPr>
          <w:rFonts w:ascii="Arial"/>
          <w:sz w:val="21"/>
        </w:rPr>
      </w:pPr>
    </w:p>
    <w:p w14:paraId="6F98EA0F">
      <w:pPr>
        <w:spacing w:before="230" w:line="225" w:lineRule="auto"/>
        <w:ind w:left="276"/>
        <w:outlineLvl w:val="0"/>
        <w:rPr>
          <w:rFonts w:ascii="黑体" w:hAnsi="黑体" w:eastAsia="黑体" w:cs="黑体"/>
          <w:sz w:val="71"/>
          <w:szCs w:val="71"/>
        </w:rPr>
      </w:pPr>
      <w:bookmarkStart w:id="1" w:name="_Toc996"/>
      <w:r>
        <w:rPr>
          <w:rFonts w:ascii="黑体" w:hAnsi="黑体" w:eastAsia="黑体" w:cs="黑体"/>
          <w:spacing w:val="6"/>
          <w:sz w:val="71"/>
          <w:szCs w:val="71"/>
        </w:rPr>
        <w:t>四川</w:t>
      </w:r>
      <w:r>
        <w:rPr>
          <w:rFonts w:ascii="黑体" w:hAnsi="黑体" w:eastAsia="黑体" w:cs="黑体"/>
          <w:spacing w:val="3"/>
          <w:sz w:val="71"/>
          <w:szCs w:val="71"/>
        </w:rPr>
        <w:t>省广元市昭化区公路</w:t>
      </w:r>
      <w:bookmarkEnd w:id="1"/>
    </w:p>
    <w:p w14:paraId="4DB63195">
      <w:pPr>
        <w:spacing w:line="305" w:lineRule="auto"/>
        <w:rPr>
          <w:rFonts w:ascii="Arial"/>
          <w:sz w:val="21"/>
        </w:rPr>
      </w:pPr>
    </w:p>
    <w:p w14:paraId="2C9B129A">
      <w:pPr>
        <w:spacing w:before="232" w:line="223" w:lineRule="auto"/>
        <w:ind w:left="1674"/>
        <w:outlineLvl w:val="0"/>
        <w:rPr>
          <w:rFonts w:ascii="黑体" w:hAnsi="黑体" w:eastAsia="黑体" w:cs="黑体"/>
          <w:sz w:val="71"/>
          <w:szCs w:val="71"/>
        </w:rPr>
      </w:pPr>
      <w:bookmarkStart w:id="2" w:name="_Toc25695"/>
      <w:r>
        <w:rPr>
          <w:rFonts w:ascii="黑体" w:hAnsi="黑体" w:eastAsia="黑体" w:cs="黑体"/>
          <w:spacing w:val="6"/>
          <w:sz w:val="71"/>
          <w:szCs w:val="71"/>
        </w:rPr>
        <w:t>养护段部门决</w:t>
      </w:r>
      <w:r>
        <w:rPr>
          <w:rFonts w:ascii="黑体" w:hAnsi="黑体" w:eastAsia="黑体" w:cs="黑体"/>
          <w:spacing w:val="5"/>
          <w:sz w:val="71"/>
          <w:szCs w:val="71"/>
        </w:rPr>
        <w:t>算</w:t>
      </w:r>
      <w:bookmarkEnd w:id="2"/>
    </w:p>
    <w:p w14:paraId="0C14BA89"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3DD3835">
      <w:pPr>
        <w:spacing w:before="96" w:line="226" w:lineRule="auto"/>
        <w:ind w:left="3764"/>
        <w:rPr>
          <w:rFonts w:ascii="黑体" w:hAnsi="黑体" w:eastAsia="黑体" w:cs="黑体"/>
          <w:sz w:val="47"/>
          <w:szCs w:val="47"/>
        </w:rPr>
      </w:pPr>
      <w:r>
        <w:rPr>
          <w:rFonts w:ascii="黑体" w:hAnsi="黑体" w:eastAsia="黑体" w:cs="黑体"/>
          <w:spacing w:val="-30"/>
          <w:sz w:val="47"/>
          <w:szCs w:val="47"/>
        </w:rPr>
        <w:t>目</w:t>
      </w:r>
      <w:r>
        <w:rPr>
          <w:rFonts w:ascii="黑体" w:hAnsi="黑体" w:eastAsia="黑体" w:cs="黑体"/>
          <w:spacing w:val="-29"/>
          <w:sz w:val="47"/>
          <w:szCs w:val="47"/>
        </w:rPr>
        <w:t>录</w:t>
      </w:r>
    </w:p>
    <w:p w14:paraId="4208F227">
      <w:pPr>
        <w:spacing w:line="256" w:lineRule="auto"/>
        <w:rPr>
          <w:rFonts w:ascii="Arial"/>
          <w:sz w:val="21"/>
        </w:rPr>
      </w:pPr>
    </w:p>
    <w:p w14:paraId="7516C171">
      <w:pPr>
        <w:spacing w:line="257" w:lineRule="auto"/>
        <w:rPr>
          <w:rFonts w:ascii="Arial"/>
          <w:sz w:val="21"/>
        </w:rPr>
      </w:pPr>
    </w:p>
    <w:p w14:paraId="18AC27E9">
      <w:pPr>
        <w:spacing w:line="257" w:lineRule="auto"/>
        <w:rPr>
          <w:rFonts w:ascii="Arial"/>
          <w:sz w:val="21"/>
        </w:rPr>
      </w:pPr>
    </w:p>
    <w:p w14:paraId="06AFD5BA">
      <w:pPr>
        <w:spacing w:before="91" w:line="223" w:lineRule="auto"/>
        <w:ind w:left="2335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b/>
          <w:bCs/>
          <w:spacing w:val="-14"/>
          <w:sz w:val="30"/>
          <w:szCs w:val="30"/>
        </w:rPr>
        <w:t>公开</w:t>
      </w:r>
      <w:r>
        <w:rPr>
          <w:rFonts w:ascii="仿宋" w:hAnsi="仿宋" w:eastAsia="仿宋" w:cs="仿宋"/>
          <w:b/>
          <w:bCs/>
          <w:spacing w:val="-8"/>
          <w:sz w:val="30"/>
          <w:szCs w:val="30"/>
        </w:rPr>
        <w:t>时</w:t>
      </w:r>
      <w:r>
        <w:rPr>
          <w:rFonts w:ascii="仿宋" w:hAnsi="仿宋" w:eastAsia="仿宋" w:cs="仿宋"/>
          <w:b/>
          <w:bCs/>
          <w:spacing w:val="-7"/>
          <w:sz w:val="30"/>
          <w:szCs w:val="30"/>
        </w:rPr>
        <w:t>间：2021 年 9 月 30 日</w:t>
      </w:r>
    </w:p>
    <w:p w14:paraId="59BE68FD">
      <w:pPr>
        <w:spacing w:line="247" w:lineRule="auto"/>
        <w:rPr>
          <w:rFonts w:ascii="Arial"/>
          <w:b/>
          <w:bCs/>
          <w:sz w:val="30"/>
          <w:szCs w:val="30"/>
        </w:rPr>
      </w:pPr>
    </w:p>
    <w:sdt>
      <w:sdtPr>
        <w:rPr>
          <w:rFonts w:ascii="宋体" w:hAnsi="宋体" w:eastAsia="宋体" w:cs="Arial"/>
          <w:b/>
          <w:bCs/>
          <w:snapToGrid w:val="0"/>
          <w:color w:val="000000"/>
          <w:kern w:val="0"/>
          <w:sz w:val="30"/>
          <w:szCs w:val="30"/>
        </w:rPr>
        <w:id w:val="147480741"/>
        <w15:color w:val="DBDBDB"/>
        <w:docPartObj>
          <w:docPartGallery w:val="Table of Contents"/>
          <w:docPartUnique/>
        </w:docPartObj>
      </w:sdtPr>
      <w:sdtEndPr>
        <w:rPr>
          <w:rFonts w:ascii="仿宋_GB2312" w:hAnsi="Arial" w:eastAsia="仿宋_GB2312" w:cs="Arial"/>
          <w:b/>
          <w:bCs/>
          <w:snapToGrid w:val="0"/>
          <w:color w:val="000000"/>
          <w:kern w:val="0"/>
          <w:sz w:val="30"/>
          <w:szCs w:val="30"/>
        </w:rPr>
      </w:sdtEndPr>
      <w:sdtContent>
        <w:p w14:paraId="7F0AF0EF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b/>
              <w:bCs/>
              <w:sz w:val="30"/>
              <w:szCs w:val="30"/>
            </w:rPr>
          </w:pPr>
          <w:r>
            <w:rPr>
              <w:rFonts w:ascii="宋体" w:hAnsi="宋体" w:eastAsia="宋体"/>
              <w:b/>
              <w:bCs/>
              <w:sz w:val="30"/>
              <w:szCs w:val="30"/>
            </w:rPr>
            <w:t>目录</w:t>
          </w:r>
        </w:p>
        <w:p w14:paraId="4C19C2E8">
          <w:pPr>
            <w:pStyle w:val="11"/>
            <w:tabs>
              <w:tab w:val="right" w:leader="dot" w:pos="8336"/>
            </w:tabs>
            <w:rPr>
              <w:b/>
              <w:sz w:val="30"/>
              <w:szCs w:val="30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TOC \o "1-2" \h \u </w:instrText>
          </w:r>
          <w:r>
            <w:rPr>
              <w:sz w:val="30"/>
              <w:szCs w:val="30"/>
            </w:rPr>
            <w:fldChar w:fldCharType="separate"/>
          </w:r>
        </w:p>
        <w:p w14:paraId="620E8117">
          <w:pPr>
            <w:pStyle w:val="11"/>
            <w:tabs>
              <w:tab w:val="right" w:leader="dot" w:pos="8336"/>
            </w:tabs>
            <w:rPr>
              <w:b/>
              <w:sz w:val="30"/>
              <w:szCs w:val="30"/>
            </w:rPr>
          </w:pPr>
          <w:r>
            <w:rPr>
              <w:b/>
              <w:sz w:val="30"/>
              <w:szCs w:val="30"/>
            </w:rPr>
            <w:fldChar w:fldCharType="begin"/>
          </w:r>
          <w:r>
            <w:rPr>
              <w:b/>
              <w:sz w:val="30"/>
              <w:szCs w:val="30"/>
            </w:rPr>
            <w:instrText xml:space="preserve"> HYPERLINK \l _Toc10805 </w:instrText>
          </w:r>
          <w:r>
            <w:rPr>
              <w:b/>
              <w:sz w:val="30"/>
              <w:szCs w:val="30"/>
            </w:rPr>
            <w:fldChar w:fldCharType="separate"/>
          </w:r>
          <w:r>
            <w:rPr>
              <w:rFonts w:ascii="仿宋" w:hAnsi="仿宋" w:eastAsia="仿宋" w:cs="仿宋"/>
              <w:b/>
              <w:spacing w:val="10"/>
              <w:sz w:val="30"/>
              <w:szCs w:val="30"/>
            </w:rPr>
            <w:t>第</w:t>
          </w:r>
          <w:r>
            <w:rPr>
              <w:rFonts w:ascii="仿宋" w:hAnsi="仿宋" w:eastAsia="仿宋" w:cs="仿宋"/>
              <w:b/>
              <w:spacing w:val="6"/>
              <w:sz w:val="30"/>
              <w:szCs w:val="30"/>
            </w:rPr>
            <w:t>一部分 部门概况</w:t>
          </w:r>
          <w:r>
            <w:rPr>
              <w:b/>
              <w:sz w:val="30"/>
              <w:szCs w:val="30"/>
            </w:rPr>
            <w:tab/>
          </w:r>
          <w:r>
            <w:rPr>
              <w:rFonts w:hint="eastAsia" w:eastAsia="宋体"/>
              <w:b/>
              <w:sz w:val="30"/>
              <w:szCs w:val="30"/>
              <w:lang w:val="en-US" w:eastAsia="zh-CN"/>
            </w:rPr>
            <w:t>4</w:t>
          </w:r>
          <w:r>
            <w:rPr>
              <w:b/>
              <w:sz w:val="30"/>
              <w:szCs w:val="30"/>
            </w:rPr>
            <w:fldChar w:fldCharType="end"/>
          </w:r>
        </w:p>
        <w:p w14:paraId="5324CCC8">
          <w:pPr>
            <w:pStyle w:val="12"/>
            <w:tabs>
              <w:tab w:val="right" w:leader="dot" w:pos="8336"/>
            </w:tabs>
            <w:rPr>
              <w:sz w:val="30"/>
              <w:szCs w:val="30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_Toc4590 </w:instrText>
          </w:r>
          <w:r>
            <w:rPr>
              <w:sz w:val="30"/>
              <w:szCs w:val="30"/>
            </w:rPr>
            <w:fldChar w:fldCharType="separate"/>
          </w:r>
          <w:r>
            <w:rPr>
              <w:rFonts w:ascii="黑体" w:hAnsi="黑体" w:eastAsia="黑体" w:cs="黑体"/>
              <w:spacing w:val="10"/>
              <w:position w:val="4"/>
              <w:sz w:val="30"/>
              <w:szCs w:val="30"/>
            </w:rPr>
            <w:t>一</w:t>
          </w:r>
          <w:r>
            <w:rPr>
              <w:rFonts w:ascii="黑体" w:hAnsi="黑体" w:eastAsia="黑体" w:cs="黑体"/>
              <w:spacing w:val="8"/>
              <w:position w:val="4"/>
              <w:sz w:val="30"/>
              <w:szCs w:val="30"/>
            </w:rPr>
            <w:t>、基本职能及主要工作</w:t>
          </w:r>
          <w:r>
            <w:rPr>
              <w:sz w:val="30"/>
              <w:szCs w:val="30"/>
            </w:rPr>
            <w:tab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4</w:t>
          </w:r>
          <w:r>
            <w:rPr>
              <w:sz w:val="30"/>
              <w:szCs w:val="30"/>
            </w:rPr>
            <w:fldChar w:fldCharType="end"/>
          </w:r>
        </w:p>
        <w:p w14:paraId="05764A22">
          <w:pPr>
            <w:pStyle w:val="12"/>
            <w:tabs>
              <w:tab w:val="right" w:leader="dot" w:pos="8336"/>
            </w:tabs>
            <w:rPr>
              <w:sz w:val="30"/>
              <w:szCs w:val="30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_Toc7533 </w:instrText>
          </w:r>
          <w:r>
            <w:rPr>
              <w:sz w:val="30"/>
              <w:szCs w:val="30"/>
            </w:rPr>
            <w:fldChar w:fldCharType="separate"/>
          </w:r>
          <w:r>
            <w:rPr>
              <w:rFonts w:ascii="黑体" w:hAnsi="黑体" w:eastAsia="黑体" w:cs="黑体"/>
              <w:spacing w:val="7"/>
              <w:position w:val="2"/>
              <w:sz w:val="30"/>
              <w:szCs w:val="30"/>
            </w:rPr>
            <w:t>二、机构设置</w:t>
          </w:r>
          <w:r>
            <w:rPr>
              <w:sz w:val="30"/>
              <w:szCs w:val="30"/>
            </w:rPr>
            <w:tab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8</w:t>
          </w:r>
          <w:r>
            <w:rPr>
              <w:sz w:val="30"/>
              <w:szCs w:val="30"/>
            </w:rPr>
            <w:fldChar w:fldCharType="end"/>
          </w:r>
        </w:p>
        <w:p w14:paraId="142E3E9B">
          <w:pPr>
            <w:pStyle w:val="11"/>
            <w:tabs>
              <w:tab w:val="right" w:leader="dot" w:pos="8336"/>
            </w:tabs>
            <w:rPr>
              <w:b/>
              <w:sz w:val="30"/>
              <w:szCs w:val="30"/>
            </w:rPr>
          </w:pPr>
          <w:r>
            <w:rPr>
              <w:b/>
              <w:sz w:val="30"/>
              <w:szCs w:val="30"/>
            </w:rPr>
            <w:fldChar w:fldCharType="begin"/>
          </w:r>
          <w:r>
            <w:rPr>
              <w:b/>
              <w:sz w:val="30"/>
              <w:szCs w:val="30"/>
            </w:rPr>
            <w:instrText xml:space="preserve"> HYPERLINK \l _Toc7393 </w:instrText>
          </w:r>
          <w:r>
            <w:rPr>
              <w:b/>
              <w:sz w:val="30"/>
              <w:szCs w:val="30"/>
            </w:rPr>
            <w:fldChar w:fldCharType="separate"/>
          </w:r>
          <w:r>
            <w:rPr>
              <w:rFonts w:ascii="黑体" w:hAnsi="黑体" w:eastAsia="黑体" w:cs="黑体"/>
              <w:b/>
              <w:spacing w:val="2"/>
              <w:sz w:val="30"/>
              <w:szCs w:val="30"/>
            </w:rPr>
            <w:t>第二部分 2020 年度部门决算情况说明</w:t>
          </w:r>
          <w:r>
            <w:rPr>
              <w:b/>
              <w:sz w:val="30"/>
              <w:szCs w:val="30"/>
            </w:rPr>
            <w:tab/>
          </w:r>
          <w:r>
            <w:rPr>
              <w:rFonts w:hint="eastAsia" w:eastAsia="宋体"/>
              <w:b/>
              <w:sz w:val="30"/>
              <w:szCs w:val="30"/>
              <w:lang w:val="en-US" w:eastAsia="zh-CN"/>
            </w:rPr>
            <w:t>9</w:t>
          </w:r>
          <w:r>
            <w:rPr>
              <w:b/>
              <w:sz w:val="30"/>
              <w:szCs w:val="30"/>
            </w:rPr>
            <w:fldChar w:fldCharType="end"/>
          </w:r>
        </w:p>
        <w:p w14:paraId="4CCDFF4B">
          <w:pPr>
            <w:pStyle w:val="12"/>
            <w:tabs>
              <w:tab w:val="right" w:leader="dot" w:pos="8336"/>
            </w:tabs>
            <w:rPr>
              <w:sz w:val="30"/>
              <w:szCs w:val="30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_Toc25568 </w:instrText>
          </w:r>
          <w:r>
            <w:rPr>
              <w:sz w:val="30"/>
              <w:szCs w:val="30"/>
            </w:rPr>
            <w:fldChar w:fldCharType="separate"/>
          </w:r>
          <w:r>
            <w:rPr>
              <w:rFonts w:ascii="黑体" w:hAnsi="黑体" w:eastAsia="黑体" w:cs="黑体"/>
              <w:spacing w:val="3"/>
              <w:sz w:val="30"/>
              <w:szCs w:val="30"/>
            </w:rPr>
            <w:t>一、 收入支出决算总体情况说</w:t>
          </w:r>
          <w:r>
            <w:rPr>
              <w:rFonts w:ascii="黑体" w:hAnsi="黑体" w:eastAsia="黑体" w:cs="黑体"/>
              <w:spacing w:val="2"/>
              <w:sz w:val="30"/>
              <w:szCs w:val="30"/>
            </w:rPr>
            <w:t>明</w:t>
          </w:r>
          <w:r>
            <w:rPr>
              <w:sz w:val="30"/>
              <w:szCs w:val="30"/>
            </w:rPr>
            <w:tab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9</w:t>
          </w:r>
          <w:r>
            <w:rPr>
              <w:sz w:val="30"/>
              <w:szCs w:val="30"/>
            </w:rPr>
            <w:fldChar w:fldCharType="end"/>
          </w:r>
        </w:p>
        <w:p w14:paraId="24D05B9A">
          <w:pPr>
            <w:pStyle w:val="12"/>
            <w:tabs>
              <w:tab w:val="right" w:leader="dot" w:pos="8336"/>
            </w:tabs>
            <w:rPr>
              <w:sz w:val="30"/>
              <w:szCs w:val="30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_Toc32060 </w:instrText>
          </w:r>
          <w:r>
            <w:rPr>
              <w:sz w:val="30"/>
              <w:szCs w:val="30"/>
            </w:rPr>
            <w:fldChar w:fldCharType="separate"/>
          </w:r>
          <w:r>
            <w:rPr>
              <w:rFonts w:ascii="黑体" w:hAnsi="黑体" w:eastAsia="黑体" w:cs="黑体"/>
              <w:spacing w:val="1"/>
              <w:sz w:val="30"/>
              <w:szCs w:val="30"/>
            </w:rPr>
            <w:t>二、 收入</w:t>
          </w:r>
          <w:r>
            <w:rPr>
              <w:rFonts w:ascii="黑体" w:hAnsi="黑体" w:eastAsia="黑体" w:cs="黑体"/>
              <w:sz w:val="30"/>
              <w:szCs w:val="30"/>
            </w:rPr>
            <w:t>决算情况说明</w:t>
          </w:r>
          <w:r>
            <w:rPr>
              <w:sz w:val="30"/>
              <w:szCs w:val="30"/>
            </w:rPr>
            <w:tab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9</w:t>
          </w:r>
          <w:r>
            <w:rPr>
              <w:sz w:val="30"/>
              <w:szCs w:val="30"/>
            </w:rPr>
            <w:fldChar w:fldCharType="end"/>
          </w:r>
        </w:p>
        <w:p w14:paraId="5761CF6C">
          <w:pPr>
            <w:pStyle w:val="12"/>
            <w:tabs>
              <w:tab w:val="right" w:leader="dot" w:pos="8336"/>
            </w:tabs>
            <w:rPr>
              <w:sz w:val="30"/>
              <w:szCs w:val="30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_Toc27339 </w:instrText>
          </w:r>
          <w:r>
            <w:rPr>
              <w:sz w:val="30"/>
              <w:szCs w:val="30"/>
            </w:rPr>
            <w:fldChar w:fldCharType="separate"/>
          </w:r>
          <w:r>
            <w:rPr>
              <w:rFonts w:ascii="黑体" w:hAnsi="黑体" w:eastAsia="黑体" w:cs="黑体"/>
              <w:spacing w:val="1"/>
              <w:sz w:val="30"/>
              <w:szCs w:val="30"/>
            </w:rPr>
            <w:t>三、 支</w:t>
          </w:r>
          <w:r>
            <w:rPr>
              <w:rFonts w:ascii="黑体" w:hAnsi="黑体" w:eastAsia="黑体" w:cs="黑体"/>
              <w:sz w:val="30"/>
              <w:szCs w:val="30"/>
            </w:rPr>
            <w:t>出决算情况说明</w:t>
          </w:r>
          <w:r>
            <w:rPr>
              <w:sz w:val="30"/>
              <w:szCs w:val="30"/>
            </w:rPr>
            <w:tab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9</w:t>
          </w:r>
          <w:r>
            <w:rPr>
              <w:sz w:val="30"/>
              <w:szCs w:val="30"/>
            </w:rPr>
            <w:fldChar w:fldCharType="end"/>
          </w:r>
        </w:p>
        <w:p w14:paraId="467ED349">
          <w:pPr>
            <w:pStyle w:val="12"/>
            <w:tabs>
              <w:tab w:val="right" w:leader="dot" w:pos="8336"/>
            </w:tabs>
            <w:rPr>
              <w:sz w:val="30"/>
              <w:szCs w:val="30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_Toc10019 </w:instrText>
          </w:r>
          <w:r>
            <w:rPr>
              <w:sz w:val="30"/>
              <w:szCs w:val="30"/>
            </w:rPr>
            <w:fldChar w:fldCharType="separate"/>
          </w:r>
          <w:r>
            <w:rPr>
              <w:rFonts w:ascii="黑体" w:hAnsi="黑体" w:eastAsia="黑体" w:cs="黑体"/>
              <w:spacing w:val="12"/>
              <w:sz w:val="30"/>
              <w:szCs w:val="30"/>
            </w:rPr>
            <w:t>四</w:t>
          </w:r>
          <w:r>
            <w:rPr>
              <w:rFonts w:ascii="黑体" w:hAnsi="黑体" w:eastAsia="黑体" w:cs="黑体"/>
              <w:spacing w:val="8"/>
              <w:sz w:val="30"/>
              <w:szCs w:val="30"/>
            </w:rPr>
            <w:t>、财政拨款收入支出决算总体情况说明</w:t>
          </w:r>
          <w:r>
            <w:rPr>
              <w:sz w:val="30"/>
              <w:szCs w:val="30"/>
            </w:rPr>
            <w:tab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9</w:t>
          </w:r>
          <w:r>
            <w:rPr>
              <w:sz w:val="30"/>
              <w:szCs w:val="30"/>
            </w:rPr>
            <w:fldChar w:fldCharType="end"/>
          </w:r>
        </w:p>
        <w:p w14:paraId="101EBEF8">
          <w:pPr>
            <w:pStyle w:val="12"/>
            <w:tabs>
              <w:tab w:val="right" w:leader="dot" w:pos="8336"/>
            </w:tabs>
            <w:rPr>
              <w:rFonts w:hint="eastAsia" w:eastAsia="宋体"/>
              <w:sz w:val="30"/>
              <w:szCs w:val="30"/>
              <w:lang w:val="en-US" w:eastAsia="zh-CN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_Toc3389 </w:instrText>
          </w:r>
          <w:r>
            <w:rPr>
              <w:sz w:val="30"/>
              <w:szCs w:val="30"/>
            </w:rPr>
            <w:fldChar w:fldCharType="separate"/>
          </w:r>
          <w:r>
            <w:rPr>
              <w:rFonts w:ascii="黑体" w:hAnsi="黑体" w:eastAsia="黑体" w:cs="黑体"/>
              <w:spacing w:val="9"/>
              <w:sz w:val="30"/>
              <w:szCs w:val="30"/>
            </w:rPr>
            <w:t>五、</w:t>
          </w:r>
          <w:r>
            <w:rPr>
              <w:rFonts w:ascii="黑体" w:hAnsi="黑体" w:eastAsia="黑体" w:cs="黑体"/>
              <w:spacing w:val="9"/>
              <w:sz w:val="30"/>
              <w:szCs w:val="30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一</w:t>
          </w:r>
          <w:r>
            <w:rPr>
              <w:rFonts w:ascii="黑体" w:hAnsi="黑体" w:eastAsia="黑体" w:cs="黑体"/>
              <w:spacing w:val="9"/>
              <w:sz w:val="30"/>
              <w:szCs w:val="30"/>
            </w:rPr>
            <w:t>般公共预算财政拨款支出决算情况说</w:t>
          </w:r>
          <w:r>
            <w:rPr>
              <w:rFonts w:ascii="黑体" w:hAnsi="黑体" w:eastAsia="黑体" w:cs="黑体"/>
              <w:spacing w:val="5"/>
              <w:sz w:val="30"/>
              <w:szCs w:val="30"/>
            </w:rPr>
            <w:t>明</w:t>
          </w:r>
          <w:r>
            <w:rPr>
              <w:sz w:val="30"/>
              <w:szCs w:val="30"/>
            </w:rPr>
            <w:tab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1</w:t>
          </w:r>
          <w:r>
            <w:rPr>
              <w:sz w:val="30"/>
              <w:szCs w:val="30"/>
            </w:rPr>
            <w:fldChar w:fldCharType="end"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0</w:t>
          </w:r>
        </w:p>
        <w:p w14:paraId="5C03E117">
          <w:pPr>
            <w:pStyle w:val="12"/>
            <w:tabs>
              <w:tab w:val="right" w:leader="dot" w:pos="8336"/>
            </w:tabs>
            <w:rPr>
              <w:rFonts w:hint="eastAsia" w:eastAsia="宋体"/>
              <w:sz w:val="30"/>
              <w:szCs w:val="30"/>
              <w:lang w:val="en-US" w:eastAsia="zh-CN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_Toc19194 </w:instrText>
          </w:r>
          <w:r>
            <w:rPr>
              <w:sz w:val="30"/>
              <w:szCs w:val="30"/>
            </w:rPr>
            <w:fldChar w:fldCharType="separate"/>
          </w:r>
          <w:r>
            <w:rPr>
              <w:rFonts w:ascii="黑体" w:hAnsi="黑体" w:eastAsia="黑体" w:cs="黑体"/>
              <w:spacing w:val="9"/>
              <w:sz w:val="30"/>
              <w:szCs w:val="30"/>
            </w:rPr>
            <w:t>六</w:t>
          </w:r>
          <w:r>
            <w:rPr>
              <w:rFonts w:ascii="黑体" w:hAnsi="黑体" w:eastAsia="黑体" w:cs="黑体"/>
              <w:spacing w:val="9"/>
              <w:sz w:val="30"/>
              <w:szCs w:val="30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、一</w:t>
          </w:r>
          <w:r>
            <w:rPr>
              <w:rFonts w:ascii="黑体" w:hAnsi="黑体" w:eastAsia="黑体" w:cs="黑体"/>
              <w:spacing w:val="9"/>
              <w:sz w:val="30"/>
              <w:szCs w:val="30"/>
            </w:rPr>
            <w:t>般公共预算财政拨款基本支出决算情况说</w:t>
          </w:r>
          <w:r>
            <w:rPr>
              <w:rFonts w:ascii="黑体" w:hAnsi="黑体" w:eastAsia="黑体" w:cs="黑体"/>
              <w:spacing w:val="7"/>
              <w:sz w:val="30"/>
              <w:szCs w:val="30"/>
            </w:rPr>
            <w:t>明</w:t>
          </w:r>
          <w:r>
            <w:rPr>
              <w:sz w:val="30"/>
              <w:szCs w:val="30"/>
            </w:rPr>
            <w:tab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1</w:t>
          </w:r>
          <w:r>
            <w:rPr>
              <w:sz w:val="30"/>
              <w:szCs w:val="30"/>
            </w:rPr>
            <w:fldChar w:fldCharType="end"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0</w:t>
          </w:r>
        </w:p>
        <w:p w14:paraId="6F7C88B7">
          <w:pPr>
            <w:pStyle w:val="12"/>
            <w:tabs>
              <w:tab w:val="right" w:leader="dot" w:pos="8336"/>
            </w:tabs>
            <w:rPr>
              <w:rFonts w:hint="eastAsia" w:eastAsia="宋体"/>
              <w:sz w:val="30"/>
              <w:szCs w:val="30"/>
              <w:lang w:val="en-US" w:eastAsia="zh-CN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_Toc15700 </w:instrText>
          </w:r>
          <w:r>
            <w:rPr>
              <w:sz w:val="30"/>
              <w:szCs w:val="30"/>
            </w:rPr>
            <w:fldChar w:fldCharType="separate"/>
          </w:r>
          <w:r>
            <w:rPr>
              <w:rFonts w:ascii="黑体" w:hAnsi="黑体" w:eastAsia="黑体" w:cs="黑体"/>
              <w:spacing w:val="2"/>
              <w:sz w:val="30"/>
              <w:szCs w:val="30"/>
            </w:rPr>
            <w:t>七、</w:t>
          </w:r>
          <w:r>
            <w:rPr>
              <w:rFonts w:ascii="黑体" w:hAnsi="黑体" w:eastAsia="黑体" w:cs="黑体"/>
              <w:spacing w:val="2"/>
              <w:sz w:val="30"/>
              <w:szCs w:val="30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“</w:t>
          </w:r>
          <w:r>
            <w:rPr>
              <w:rFonts w:ascii="黑体" w:hAnsi="黑体" w:eastAsia="黑体" w:cs="黑体"/>
              <w:spacing w:val="2"/>
              <w:sz w:val="30"/>
              <w:szCs w:val="30"/>
            </w:rPr>
            <w:t>三公”</w:t>
          </w:r>
          <w:r>
            <w:rPr>
              <w:rFonts w:ascii="黑体" w:hAnsi="黑体" w:eastAsia="黑体" w:cs="黑体"/>
              <w:spacing w:val="1"/>
              <w:sz w:val="30"/>
              <w:szCs w:val="30"/>
            </w:rPr>
            <w:t>经费财政拨款支出决算情况说明</w:t>
          </w:r>
          <w:r>
            <w:rPr>
              <w:sz w:val="30"/>
              <w:szCs w:val="30"/>
            </w:rPr>
            <w:tab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1</w:t>
          </w:r>
          <w:r>
            <w:rPr>
              <w:sz w:val="30"/>
              <w:szCs w:val="30"/>
            </w:rPr>
            <w:fldChar w:fldCharType="end"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1</w:t>
          </w:r>
        </w:p>
        <w:p w14:paraId="226F2199">
          <w:pPr>
            <w:pStyle w:val="12"/>
            <w:tabs>
              <w:tab w:val="right" w:leader="dot" w:pos="8336"/>
            </w:tabs>
            <w:rPr>
              <w:sz w:val="30"/>
              <w:szCs w:val="30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_Toc12427 </w:instrText>
          </w:r>
          <w:r>
            <w:rPr>
              <w:sz w:val="30"/>
              <w:szCs w:val="30"/>
            </w:rPr>
            <w:fldChar w:fldCharType="separate"/>
          </w:r>
          <w:r>
            <w:rPr>
              <w:rFonts w:ascii="黑体" w:hAnsi="黑体" w:eastAsia="黑体" w:cs="黑体"/>
              <w:spacing w:val="11"/>
              <w:sz w:val="30"/>
              <w:szCs w:val="30"/>
            </w:rPr>
            <w:t>八</w:t>
          </w:r>
          <w:r>
            <w:rPr>
              <w:rFonts w:ascii="黑体" w:hAnsi="黑体" w:eastAsia="黑体" w:cs="黑体"/>
              <w:spacing w:val="9"/>
              <w:sz w:val="30"/>
              <w:szCs w:val="30"/>
            </w:rPr>
            <w:t>、政府性基金预算支出决算情况说明</w:t>
          </w:r>
          <w:r>
            <w:rPr>
              <w:sz w:val="30"/>
              <w:szCs w:val="30"/>
            </w:rPr>
            <w:tab/>
          </w: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PAGEREF _Toc12427 \h </w:instrText>
          </w:r>
          <w:r>
            <w:rPr>
              <w:sz w:val="30"/>
              <w:szCs w:val="30"/>
            </w:rPr>
            <w:fldChar w:fldCharType="separate"/>
          </w:r>
          <w:r>
            <w:rPr>
              <w:sz w:val="30"/>
              <w:szCs w:val="30"/>
            </w:rPr>
            <w:t>1</w:t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3</w:t>
          </w:r>
          <w:r>
            <w:rPr>
              <w:sz w:val="30"/>
              <w:szCs w:val="30"/>
            </w:rPr>
            <w:fldChar w:fldCharType="end"/>
          </w:r>
          <w:r>
            <w:rPr>
              <w:sz w:val="30"/>
              <w:szCs w:val="30"/>
            </w:rPr>
            <w:fldChar w:fldCharType="end"/>
          </w:r>
        </w:p>
        <w:p w14:paraId="5E582DD2">
          <w:pPr>
            <w:pStyle w:val="12"/>
            <w:tabs>
              <w:tab w:val="right" w:leader="dot" w:pos="8336"/>
            </w:tabs>
            <w:rPr>
              <w:rFonts w:hint="eastAsia" w:eastAsia="宋体"/>
              <w:sz w:val="30"/>
              <w:szCs w:val="30"/>
              <w:lang w:val="en-US" w:eastAsia="zh-CN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_Toc20808 </w:instrText>
          </w:r>
          <w:r>
            <w:rPr>
              <w:sz w:val="30"/>
              <w:szCs w:val="30"/>
            </w:rPr>
            <w:fldChar w:fldCharType="separate"/>
          </w:r>
          <w:r>
            <w:rPr>
              <w:rFonts w:ascii="黑体" w:hAnsi="黑体" w:eastAsia="黑体" w:cs="黑体"/>
              <w:spacing w:val="16"/>
              <w:sz w:val="30"/>
              <w:szCs w:val="30"/>
            </w:rPr>
            <w:t>九</w:t>
          </w:r>
          <w:r>
            <w:rPr>
              <w:rFonts w:ascii="黑体" w:hAnsi="黑体" w:eastAsia="黑体" w:cs="黑体"/>
              <w:spacing w:val="13"/>
              <w:sz w:val="30"/>
              <w:szCs w:val="30"/>
            </w:rPr>
            <w:t>、</w:t>
          </w:r>
          <w:r>
            <w:rPr>
              <w:rFonts w:ascii="黑体" w:hAnsi="黑体" w:eastAsia="黑体" w:cs="黑体"/>
              <w:spacing w:val="8"/>
              <w:sz w:val="30"/>
              <w:szCs w:val="30"/>
            </w:rPr>
            <w:t>国有资本经营预算支出决算情况说明</w:t>
          </w:r>
          <w:r>
            <w:rPr>
              <w:sz w:val="30"/>
              <w:szCs w:val="30"/>
            </w:rPr>
            <w:tab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1</w:t>
          </w:r>
          <w:r>
            <w:rPr>
              <w:sz w:val="30"/>
              <w:szCs w:val="30"/>
            </w:rPr>
            <w:fldChar w:fldCharType="end"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3</w:t>
          </w:r>
        </w:p>
        <w:p w14:paraId="7103B9A1">
          <w:pPr>
            <w:pStyle w:val="12"/>
            <w:tabs>
              <w:tab w:val="right" w:leader="dot" w:pos="8336"/>
            </w:tabs>
            <w:rPr>
              <w:rFonts w:hint="eastAsia" w:eastAsia="宋体"/>
              <w:sz w:val="30"/>
              <w:szCs w:val="30"/>
              <w:lang w:val="en-US" w:eastAsia="zh-CN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_Toc13402 </w:instrText>
          </w:r>
          <w:r>
            <w:rPr>
              <w:sz w:val="30"/>
              <w:szCs w:val="30"/>
            </w:rPr>
            <w:fldChar w:fldCharType="separate"/>
          </w:r>
          <w:r>
            <w:rPr>
              <w:rFonts w:ascii="黑体" w:hAnsi="黑体" w:eastAsia="黑体" w:cs="黑体"/>
              <w:spacing w:val="16"/>
              <w:sz w:val="30"/>
              <w:szCs w:val="30"/>
            </w:rPr>
            <w:t>十</w:t>
          </w:r>
          <w:r>
            <w:rPr>
              <w:rFonts w:ascii="黑体" w:hAnsi="黑体" w:eastAsia="黑体" w:cs="黑体"/>
              <w:spacing w:val="8"/>
              <w:sz w:val="30"/>
              <w:szCs w:val="30"/>
              <w14:textOutline w14:w="5793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、</w:t>
          </w:r>
          <w:r>
            <w:rPr>
              <w:rFonts w:ascii="黑体" w:hAnsi="黑体" w:eastAsia="黑体" w:cs="黑体"/>
              <w:spacing w:val="8"/>
              <w:sz w:val="30"/>
              <w:szCs w:val="30"/>
            </w:rPr>
            <w:t>其他重要事项的情况说明</w:t>
          </w:r>
          <w:r>
            <w:rPr>
              <w:sz w:val="30"/>
              <w:szCs w:val="30"/>
            </w:rPr>
            <w:tab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1</w:t>
          </w:r>
          <w:r>
            <w:rPr>
              <w:sz w:val="30"/>
              <w:szCs w:val="30"/>
            </w:rPr>
            <w:fldChar w:fldCharType="end"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3</w:t>
          </w:r>
        </w:p>
        <w:p w14:paraId="7C40F496">
          <w:pPr>
            <w:pStyle w:val="11"/>
            <w:tabs>
              <w:tab w:val="right" w:leader="dot" w:pos="8336"/>
            </w:tabs>
            <w:rPr>
              <w:rFonts w:hint="eastAsia" w:eastAsia="宋体"/>
              <w:b/>
              <w:sz w:val="30"/>
              <w:szCs w:val="30"/>
              <w:lang w:val="en-US" w:eastAsia="zh-CN"/>
            </w:rPr>
          </w:pPr>
          <w:r>
            <w:rPr>
              <w:b/>
              <w:sz w:val="30"/>
              <w:szCs w:val="30"/>
            </w:rPr>
            <w:fldChar w:fldCharType="begin"/>
          </w:r>
          <w:r>
            <w:rPr>
              <w:b/>
              <w:sz w:val="30"/>
              <w:szCs w:val="30"/>
            </w:rPr>
            <w:instrText xml:space="preserve"> HYPERLINK \l _Toc24057 </w:instrText>
          </w:r>
          <w:r>
            <w:rPr>
              <w:b/>
              <w:sz w:val="30"/>
              <w:szCs w:val="30"/>
            </w:rPr>
            <w:fldChar w:fldCharType="separate"/>
          </w:r>
          <w:r>
            <w:rPr>
              <w:rFonts w:ascii="宋体" w:hAnsi="宋体" w:eastAsia="宋体" w:cs="宋体"/>
              <w:b/>
              <w:spacing w:val="14"/>
              <w:sz w:val="30"/>
              <w:szCs w:val="30"/>
              <w14:textOutline w14:w="6537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项</w:t>
          </w:r>
          <w:r>
            <w:rPr>
              <w:rFonts w:ascii="宋体" w:hAnsi="宋体" w:eastAsia="宋体" w:cs="宋体"/>
              <w:b/>
              <w:spacing w:val="9"/>
              <w:sz w:val="30"/>
              <w:szCs w:val="30"/>
              <w14:textOutline w14:w="6537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目绩效目标完成情况表</w:t>
          </w:r>
          <w:r>
            <w:rPr>
              <w:b/>
              <w:sz w:val="30"/>
              <w:szCs w:val="30"/>
            </w:rPr>
            <w:tab/>
          </w:r>
          <w:r>
            <w:rPr>
              <w:rFonts w:hint="eastAsia" w:eastAsia="宋体"/>
              <w:b/>
              <w:sz w:val="30"/>
              <w:szCs w:val="30"/>
              <w:lang w:val="en-US" w:eastAsia="zh-CN"/>
            </w:rPr>
            <w:t>1</w:t>
          </w:r>
          <w:r>
            <w:rPr>
              <w:b/>
              <w:sz w:val="30"/>
              <w:szCs w:val="30"/>
            </w:rPr>
            <w:fldChar w:fldCharType="end"/>
          </w:r>
          <w:r>
            <w:rPr>
              <w:rFonts w:hint="eastAsia" w:eastAsia="宋体"/>
              <w:b/>
              <w:sz w:val="30"/>
              <w:szCs w:val="30"/>
              <w:lang w:val="en-US" w:eastAsia="zh-CN"/>
            </w:rPr>
            <w:t>4</w:t>
          </w:r>
        </w:p>
        <w:p w14:paraId="0E06BA2E">
          <w:pPr>
            <w:pStyle w:val="11"/>
            <w:tabs>
              <w:tab w:val="right" w:leader="dot" w:pos="8336"/>
            </w:tabs>
            <w:rPr>
              <w:rFonts w:hint="eastAsia" w:eastAsia="宋体"/>
              <w:b/>
              <w:sz w:val="30"/>
              <w:szCs w:val="30"/>
              <w:lang w:val="en-US" w:eastAsia="zh-CN"/>
            </w:rPr>
          </w:pPr>
          <w:r>
            <w:rPr>
              <w:b/>
              <w:sz w:val="30"/>
              <w:szCs w:val="30"/>
            </w:rPr>
            <w:fldChar w:fldCharType="begin"/>
          </w:r>
          <w:r>
            <w:rPr>
              <w:b/>
              <w:sz w:val="30"/>
              <w:szCs w:val="30"/>
            </w:rPr>
            <w:instrText xml:space="preserve"> HYPERLINK \l _Toc16523 </w:instrText>
          </w:r>
          <w:r>
            <w:rPr>
              <w:b/>
              <w:sz w:val="30"/>
              <w:szCs w:val="30"/>
            </w:rPr>
            <w:fldChar w:fldCharType="separate"/>
          </w:r>
          <w:r>
            <w:rPr>
              <w:rFonts w:ascii="黑体" w:hAnsi="黑体" w:eastAsia="黑体" w:cs="黑体"/>
              <w:b/>
              <w:spacing w:val="10"/>
              <w:sz w:val="30"/>
              <w:szCs w:val="30"/>
            </w:rPr>
            <w:t>第</w:t>
          </w:r>
          <w:r>
            <w:rPr>
              <w:rFonts w:ascii="黑体" w:hAnsi="黑体" w:eastAsia="黑体" w:cs="黑体"/>
              <w:b/>
              <w:spacing w:val="7"/>
              <w:sz w:val="30"/>
              <w:szCs w:val="30"/>
            </w:rPr>
            <w:t>三部分 名词解释</w:t>
          </w:r>
          <w:r>
            <w:rPr>
              <w:b/>
              <w:sz w:val="30"/>
              <w:szCs w:val="30"/>
            </w:rPr>
            <w:tab/>
          </w:r>
          <w:r>
            <w:rPr>
              <w:rFonts w:hint="eastAsia" w:eastAsia="宋体"/>
              <w:b/>
              <w:sz w:val="30"/>
              <w:szCs w:val="30"/>
              <w:lang w:val="en-US" w:eastAsia="zh-CN"/>
            </w:rPr>
            <w:t>1</w:t>
          </w:r>
          <w:r>
            <w:rPr>
              <w:b/>
              <w:sz w:val="30"/>
              <w:szCs w:val="30"/>
            </w:rPr>
            <w:fldChar w:fldCharType="end"/>
          </w:r>
          <w:r>
            <w:rPr>
              <w:rFonts w:hint="eastAsia" w:eastAsia="宋体"/>
              <w:b/>
              <w:sz w:val="30"/>
              <w:szCs w:val="30"/>
              <w:lang w:val="en-US" w:eastAsia="zh-CN"/>
            </w:rPr>
            <w:t>9</w:t>
          </w:r>
        </w:p>
        <w:p w14:paraId="794D7CD5">
          <w:pPr>
            <w:pStyle w:val="11"/>
            <w:tabs>
              <w:tab w:val="right" w:leader="dot" w:pos="8336"/>
            </w:tabs>
            <w:rPr>
              <w:rFonts w:hint="eastAsia" w:eastAsia="宋体"/>
              <w:b/>
              <w:sz w:val="30"/>
              <w:szCs w:val="30"/>
              <w:lang w:val="en-US" w:eastAsia="zh-CN"/>
            </w:rPr>
          </w:pPr>
          <w:r>
            <w:rPr>
              <w:b/>
              <w:sz w:val="30"/>
              <w:szCs w:val="30"/>
            </w:rPr>
            <w:fldChar w:fldCharType="begin"/>
          </w:r>
          <w:r>
            <w:rPr>
              <w:b/>
              <w:sz w:val="30"/>
              <w:szCs w:val="30"/>
            </w:rPr>
            <w:instrText xml:space="preserve"> HYPERLINK \l _Toc12982 </w:instrText>
          </w:r>
          <w:r>
            <w:rPr>
              <w:b/>
              <w:sz w:val="30"/>
              <w:szCs w:val="30"/>
            </w:rPr>
            <w:fldChar w:fldCharType="separate"/>
          </w:r>
          <w:r>
            <w:rPr>
              <w:rFonts w:ascii="黑体" w:hAnsi="黑体" w:eastAsia="黑体" w:cs="黑体"/>
              <w:b/>
              <w:spacing w:val="10"/>
              <w:sz w:val="30"/>
              <w:szCs w:val="30"/>
            </w:rPr>
            <w:t>第</w:t>
          </w:r>
          <w:r>
            <w:rPr>
              <w:rFonts w:ascii="黑体" w:hAnsi="黑体" w:eastAsia="黑体" w:cs="黑体"/>
              <w:b/>
              <w:spacing w:val="6"/>
              <w:sz w:val="30"/>
              <w:szCs w:val="30"/>
            </w:rPr>
            <w:t>四部分 附件</w:t>
          </w:r>
          <w:r>
            <w:rPr>
              <w:b/>
              <w:sz w:val="30"/>
              <w:szCs w:val="30"/>
            </w:rPr>
            <w:tab/>
          </w:r>
          <w:r>
            <w:rPr>
              <w:rFonts w:hint="eastAsia" w:eastAsia="宋体"/>
              <w:b/>
              <w:sz w:val="30"/>
              <w:szCs w:val="30"/>
              <w:lang w:val="en-US" w:eastAsia="zh-CN"/>
            </w:rPr>
            <w:t>2</w:t>
          </w:r>
          <w:r>
            <w:rPr>
              <w:b/>
              <w:sz w:val="30"/>
              <w:szCs w:val="30"/>
            </w:rPr>
            <w:fldChar w:fldCharType="end"/>
          </w:r>
          <w:r>
            <w:rPr>
              <w:rFonts w:hint="eastAsia" w:eastAsia="宋体"/>
              <w:b/>
              <w:sz w:val="30"/>
              <w:szCs w:val="30"/>
              <w:lang w:val="en-US" w:eastAsia="zh-CN"/>
            </w:rPr>
            <w:t>2</w:t>
          </w:r>
        </w:p>
        <w:p w14:paraId="70831206">
          <w:pPr>
            <w:pStyle w:val="12"/>
            <w:tabs>
              <w:tab w:val="right" w:leader="dot" w:pos="8336"/>
            </w:tabs>
            <w:rPr>
              <w:rFonts w:hint="eastAsia" w:eastAsia="宋体"/>
              <w:sz w:val="30"/>
              <w:szCs w:val="30"/>
              <w:lang w:val="en-US" w:eastAsia="zh-CN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_Toc9735 </w:instrText>
          </w:r>
          <w:r>
            <w:rPr>
              <w:sz w:val="30"/>
              <w:szCs w:val="30"/>
            </w:rPr>
            <w:fldChar w:fldCharType="separate"/>
          </w:r>
          <w:r>
            <w:rPr>
              <w:rFonts w:ascii="黑体" w:hAnsi="黑体" w:eastAsia="黑体" w:cs="黑体"/>
              <w:spacing w:val="-15"/>
              <w:sz w:val="30"/>
              <w:szCs w:val="30"/>
            </w:rPr>
            <w:t>附</w:t>
          </w:r>
          <w:r>
            <w:rPr>
              <w:rFonts w:ascii="黑体" w:hAnsi="黑体" w:eastAsia="黑体" w:cs="黑体"/>
              <w:spacing w:val="-14"/>
              <w:sz w:val="30"/>
              <w:szCs w:val="30"/>
            </w:rPr>
            <w:t>件 1</w:t>
          </w:r>
          <w:r>
            <w:rPr>
              <w:sz w:val="30"/>
              <w:szCs w:val="30"/>
            </w:rPr>
            <w:tab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2</w:t>
          </w:r>
          <w:r>
            <w:rPr>
              <w:sz w:val="30"/>
              <w:szCs w:val="30"/>
            </w:rPr>
            <w:fldChar w:fldCharType="end"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2</w:t>
          </w:r>
        </w:p>
        <w:p w14:paraId="6D089547">
          <w:pPr>
            <w:pStyle w:val="12"/>
            <w:tabs>
              <w:tab w:val="right" w:leader="dot" w:pos="8336"/>
            </w:tabs>
            <w:rPr>
              <w:rFonts w:hint="eastAsia" w:eastAsia="宋体"/>
              <w:sz w:val="30"/>
              <w:szCs w:val="30"/>
              <w:lang w:val="en-US" w:eastAsia="zh-CN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_Toc26699 </w:instrText>
          </w:r>
          <w:r>
            <w:rPr>
              <w:sz w:val="30"/>
              <w:szCs w:val="30"/>
            </w:rPr>
            <w:fldChar w:fldCharType="separate"/>
          </w:r>
          <w:r>
            <w:rPr>
              <w:rFonts w:ascii="黑体" w:hAnsi="黑体" w:eastAsia="黑体" w:cs="黑体"/>
              <w:spacing w:val="12"/>
              <w:sz w:val="30"/>
              <w:szCs w:val="30"/>
            </w:rPr>
            <w:t>一</w:t>
          </w:r>
          <w:r>
            <w:rPr>
              <w:rFonts w:ascii="黑体" w:hAnsi="黑体" w:eastAsia="黑体" w:cs="黑体"/>
              <w:spacing w:val="6"/>
              <w:sz w:val="30"/>
              <w:szCs w:val="30"/>
            </w:rPr>
            <w:t>、部门 (单位) 概况</w:t>
          </w:r>
          <w:r>
            <w:rPr>
              <w:sz w:val="30"/>
              <w:szCs w:val="30"/>
            </w:rPr>
            <w:tab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2</w:t>
          </w:r>
          <w:r>
            <w:rPr>
              <w:sz w:val="30"/>
              <w:szCs w:val="30"/>
            </w:rPr>
            <w:fldChar w:fldCharType="end"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2</w:t>
          </w:r>
        </w:p>
        <w:p w14:paraId="06CB783B">
          <w:pPr>
            <w:pStyle w:val="12"/>
            <w:tabs>
              <w:tab w:val="right" w:leader="dot" w:pos="8336"/>
            </w:tabs>
            <w:rPr>
              <w:rFonts w:hint="eastAsia" w:eastAsia="宋体"/>
              <w:sz w:val="30"/>
              <w:szCs w:val="30"/>
              <w:lang w:val="en-US" w:eastAsia="zh-CN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_Toc8135 </w:instrText>
          </w:r>
          <w:r>
            <w:rPr>
              <w:sz w:val="30"/>
              <w:szCs w:val="30"/>
            </w:rPr>
            <w:fldChar w:fldCharType="separate"/>
          </w:r>
          <w:r>
            <w:rPr>
              <w:rFonts w:ascii="黑体" w:hAnsi="黑体" w:eastAsia="黑体" w:cs="黑体"/>
              <w:spacing w:val="14"/>
              <w:position w:val="2"/>
              <w:sz w:val="30"/>
              <w:szCs w:val="30"/>
            </w:rPr>
            <w:t>二</w:t>
          </w:r>
          <w:r>
            <w:rPr>
              <w:rFonts w:ascii="黑体" w:hAnsi="黑体" w:eastAsia="黑体" w:cs="黑体"/>
              <w:spacing w:val="8"/>
              <w:position w:val="2"/>
              <w:sz w:val="30"/>
              <w:szCs w:val="30"/>
            </w:rPr>
            <w:t>、部门财政资金收支情况</w:t>
          </w:r>
          <w:r>
            <w:rPr>
              <w:sz w:val="30"/>
              <w:szCs w:val="30"/>
            </w:rPr>
            <w:tab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2</w:t>
          </w:r>
          <w:r>
            <w:rPr>
              <w:sz w:val="30"/>
              <w:szCs w:val="30"/>
            </w:rPr>
            <w:fldChar w:fldCharType="end"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2</w:t>
          </w:r>
        </w:p>
        <w:p w14:paraId="13B2FC98">
          <w:pPr>
            <w:pStyle w:val="12"/>
            <w:tabs>
              <w:tab w:val="right" w:leader="dot" w:pos="8336"/>
            </w:tabs>
            <w:rPr>
              <w:rFonts w:hint="eastAsia" w:eastAsia="宋体"/>
              <w:sz w:val="30"/>
              <w:szCs w:val="30"/>
              <w:lang w:val="en-US" w:eastAsia="zh-CN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_Toc17835 </w:instrText>
          </w:r>
          <w:r>
            <w:rPr>
              <w:sz w:val="30"/>
              <w:szCs w:val="30"/>
            </w:rPr>
            <w:fldChar w:fldCharType="separate"/>
          </w:r>
          <w:r>
            <w:rPr>
              <w:rFonts w:ascii="黑体" w:hAnsi="黑体" w:eastAsia="黑体" w:cs="黑体"/>
              <w:spacing w:val="15"/>
              <w:sz w:val="30"/>
              <w:szCs w:val="30"/>
            </w:rPr>
            <w:t>三</w:t>
          </w:r>
          <w:r>
            <w:rPr>
              <w:rFonts w:ascii="黑体" w:hAnsi="黑体" w:eastAsia="黑体" w:cs="黑体"/>
              <w:spacing w:val="8"/>
              <w:sz w:val="30"/>
              <w:szCs w:val="30"/>
            </w:rPr>
            <w:t>、部门整体预算绩效管理情况</w:t>
          </w:r>
          <w:r>
            <w:rPr>
              <w:sz w:val="30"/>
              <w:szCs w:val="30"/>
            </w:rPr>
            <w:tab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2</w:t>
          </w:r>
          <w:r>
            <w:rPr>
              <w:sz w:val="30"/>
              <w:szCs w:val="30"/>
            </w:rPr>
            <w:fldChar w:fldCharType="end"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2</w:t>
          </w:r>
        </w:p>
        <w:p w14:paraId="03567569">
          <w:pPr>
            <w:pStyle w:val="12"/>
            <w:tabs>
              <w:tab w:val="right" w:leader="dot" w:pos="8336"/>
            </w:tabs>
            <w:rPr>
              <w:rFonts w:hint="eastAsia" w:eastAsia="宋体"/>
              <w:sz w:val="30"/>
              <w:szCs w:val="30"/>
              <w:lang w:val="en-US" w:eastAsia="zh-CN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_Toc22888 </w:instrText>
          </w:r>
          <w:r>
            <w:rPr>
              <w:sz w:val="30"/>
              <w:szCs w:val="30"/>
            </w:rPr>
            <w:fldChar w:fldCharType="separate"/>
          </w:r>
          <w:r>
            <w:rPr>
              <w:rFonts w:ascii="黑体" w:hAnsi="黑体" w:eastAsia="黑体" w:cs="黑体"/>
              <w:spacing w:val="10"/>
              <w:sz w:val="30"/>
              <w:szCs w:val="30"/>
            </w:rPr>
            <w:t>四</w:t>
          </w:r>
          <w:r>
            <w:rPr>
              <w:rFonts w:ascii="黑体" w:hAnsi="黑体" w:eastAsia="黑体" w:cs="黑体"/>
              <w:spacing w:val="6"/>
              <w:sz w:val="30"/>
              <w:szCs w:val="30"/>
            </w:rPr>
            <w:t>、评价结论及建议</w:t>
          </w:r>
          <w:r>
            <w:rPr>
              <w:sz w:val="30"/>
              <w:szCs w:val="30"/>
            </w:rPr>
            <w:tab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2</w:t>
          </w:r>
          <w:r>
            <w:rPr>
              <w:sz w:val="30"/>
              <w:szCs w:val="30"/>
            </w:rPr>
            <w:fldChar w:fldCharType="end"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3</w:t>
          </w:r>
        </w:p>
        <w:p w14:paraId="4C5ED906">
          <w:pPr>
            <w:pStyle w:val="12"/>
            <w:tabs>
              <w:tab w:val="right" w:leader="dot" w:pos="8336"/>
            </w:tabs>
            <w:rPr>
              <w:rFonts w:hint="eastAsia" w:eastAsia="宋体"/>
              <w:sz w:val="30"/>
              <w:szCs w:val="30"/>
              <w:lang w:val="en-US" w:eastAsia="zh-CN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_Toc3750 </w:instrText>
          </w:r>
          <w:r>
            <w:rPr>
              <w:sz w:val="30"/>
              <w:szCs w:val="30"/>
            </w:rPr>
            <w:fldChar w:fldCharType="separate"/>
          </w:r>
          <w:r>
            <w:rPr>
              <w:rFonts w:ascii="黑体" w:hAnsi="黑体" w:eastAsia="黑体" w:cs="黑体"/>
              <w:spacing w:val="7"/>
              <w:position w:val="4"/>
              <w:sz w:val="30"/>
              <w:szCs w:val="30"/>
            </w:rPr>
            <w:t>一、项目概况</w:t>
          </w:r>
          <w:r>
            <w:rPr>
              <w:sz w:val="30"/>
              <w:szCs w:val="30"/>
            </w:rPr>
            <w:tab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2</w:t>
          </w:r>
          <w:r>
            <w:rPr>
              <w:sz w:val="30"/>
              <w:szCs w:val="30"/>
            </w:rPr>
            <w:fldChar w:fldCharType="end"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4</w:t>
          </w:r>
        </w:p>
        <w:p w14:paraId="380181AB">
          <w:pPr>
            <w:pStyle w:val="12"/>
            <w:tabs>
              <w:tab w:val="right" w:leader="dot" w:pos="8336"/>
            </w:tabs>
            <w:rPr>
              <w:rFonts w:hint="eastAsia" w:eastAsia="宋体"/>
              <w:sz w:val="30"/>
              <w:szCs w:val="30"/>
              <w:lang w:val="en-US" w:eastAsia="zh-CN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_Toc23418 </w:instrText>
          </w:r>
          <w:r>
            <w:rPr>
              <w:sz w:val="30"/>
              <w:szCs w:val="30"/>
            </w:rPr>
            <w:fldChar w:fldCharType="separate"/>
          </w:r>
          <w:r>
            <w:rPr>
              <w:rFonts w:ascii="黑体" w:hAnsi="黑体" w:eastAsia="黑体" w:cs="黑体"/>
              <w:spacing w:val="15"/>
              <w:position w:val="2"/>
              <w:sz w:val="30"/>
              <w:szCs w:val="30"/>
            </w:rPr>
            <w:t>二</w:t>
          </w:r>
          <w:r>
            <w:rPr>
              <w:rFonts w:ascii="黑体" w:hAnsi="黑体" w:eastAsia="黑体" w:cs="黑体"/>
              <w:spacing w:val="8"/>
              <w:position w:val="2"/>
              <w:sz w:val="30"/>
              <w:szCs w:val="30"/>
            </w:rPr>
            <w:t>、项目资金申报及使用情况</w:t>
          </w:r>
          <w:r>
            <w:rPr>
              <w:sz w:val="30"/>
              <w:szCs w:val="30"/>
            </w:rPr>
            <w:tab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2</w:t>
          </w:r>
          <w:r>
            <w:rPr>
              <w:sz w:val="30"/>
              <w:szCs w:val="30"/>
            </w:rPr>
            <w:fldChar w:fldCharType="end"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4</w:t>
          </w:r>
        </w:p>
        <w:p w14:paraId="7544287C">
          <w:pPr>
            <w:pStyle w:val="12"/>
            <w:tabs>
              <w:tab w:val="right" w:leader="dot" w:pos="8336"/>
            </w:tabs>
            <w:rPr>
              <w:rFonts w:hint="eastAsia" w:eastAsia="宋体"/>
              <w:sz w:val="30"/>
              <w:szCs w:val="30"/>
              <w:lang w:val="en-US" w:eastAsia="zh-CN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_Toc13706 </w:instrText>
          </w:r>
          <w:r>
            <w:rPr>
              <w:sz w:val="30"/>
              <w:szCs w:val="30"/>
            </w:rPr>
            <w:fldChar w:fldCharType="separate"/>
          </w:r>
          <w:r>
            <w:rPr>
              <w:rFonts w:ascii="黑体" w:hAnsi="黑体" w:eastAsia="黑体" w:cs="黑体"/>
              <w:spacing w:val="10"/>
              <w:sz w:val="30"/>
              <w:szCs w:val="30"/>
            </w:rPr>
            <w:t>三</w:t>
          </w:r>
          <w:r>
            <w:rPr>
              <w:rFonts w:ascii="黑体" w:hAnsi="黑体" w:eastAsia="黑体" w:cs="黑体"/>
              <w:spacing w:val="7"/>
              <w:sz w:val="30"/>
              <w:szCs w:val="30"/>
            </w:rPr>
            <w:t>、项目绩效情况</w:t>
          </w:r>
          <w:r>
            <w:rPr>
              <w:sz w:val="30"/>
              <w:szCs w:val="30"/>
            </w:rPr>
            <w:tab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2</w:t>
          </w:r>
          <w:r>
            <w:rPr>
              <w:sz w:val="30"/>
              <w:szCs w:val="30"/>
            </w:rPr>
            <w:fldChar w:fldCharType="end"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4</w:t>
          </w:r>
        </w:p>
        <w:p w14:paraId="76D6779C">
          <w:pPr>
            <w:pStyle w:val="12"/>
            <w:tabs>
              <w:tab w:val="right" w:leader="dot" w:pos="8336"/>
            </w:tabs>
            <w:rPr>
              <w:rFonts w:hint="eastAsia" w:eastAsia="宋体"/>
              <w:sz w:val="30"/>
              <w:szCs w:val="30"/>
              <w:lang w:val="en-US" w:eastAsia="zh-CN"/>
            </w:rPr>
          </w:pPr>
          <w:r>
            <w:rPr>
              <w:sz w:val="30"/>
              <w:szCs w:val="30"/>
            </w:rPr>
            <w:fldChar w:fldCharType="begin"/>
          </w:r>
          <w:r>
            <w:rPr>
              <w:sz w:val="30"/>
              <w:szCs w:val="30"/>
            </w:rPr>
            <w:instrText xml:space="preserve"> HYPERLINK \l _Toc4900 </w:instrText>
          </w:r>
          <w:r>
            <w:rPr>
              <w:sz w:val="30"/>
              <w:szCs w:val="30"/>
            </w:rPr>
            <w:fldChar w:fldCharType="separate"/>
          </w:r>
          <w:r>
            <w:rPr>
              <w:rFonts w:ascii="黑体" w:hAnsi="黑体" w:eastAsia="黑体" w:cs="黑体"/>
              <w:spacing w:val="12"/>
              <w:sz w:val="30"/>
              <w:szCs w:val="30"/>
            </w:rPr>
            <w:t>五</w:t>
          </w:r>
          <w:r>
            <w:rPr>
              <w:rFonts w:ascii="黑体" w:hAnsi="黑体" w:eastAsia="黑体" w:cs="黑体"/>
              <w:spacing w:val="7"/>
              <w:sz w:val="30"/>
              <w:szCs w:val="30"/>
            </w:rPr>
            <w:t>、评价结论及建议</w:t>
          </w:r>
          <w:r>
            <w:rPr>
              <w:sz w:val="30"/>
              <w:szCs w:val="30"/>
            </w:rPr>
            <w:tab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2</w:t>
          </w:r>
          <w:r>
            <w:rPr>
              <w:sz w:val="30"/>
              <w:szCs w:val="30"/>
            </w:rPr>
            <w:fldChar w:fldCharType="end"/>
          </w:r>
          <w:r>
            <w:rPr>
              <w:rFonts w:hint="eastAsia" w:eastAsia="宋体"/>
              <w:sz w:val="30"/>
              <w:szCs w:val="30"/>
              <w:lang w:val="en-US" w:eastAsia="zh-CN"/>
            </w:rPr>
            <w:t>5</w:t>
          </w:r>
        </w:p>
        <w:p w14:paraId="3EF59E3B">
          <w:pPr>
            <w:pStyle w:val="11"/>
            <w:tabs>
              <w:tab w:val="right" w:leader="dot" w:pos="8336"/>
            </w:tabs>
            <w:rPr>
              <w:rFonts w:hint="eastAsia" w:eastAsia="宋体"/>
              <w:b/>
              <w:sz w:val="30"/>
              <w:szCs w:val="30"/>
              <w:lang w:val="en-US" w:eastAsia="zh-CN"/>
            </w:rPr>
          </w:pPr>
          <w:r>
            <w:rPr>
              <w:b/>
              <w:sz w:val="30"/>
              <w:szCs w:val="30"/>
            </w:rPr>
            <w:fldChar w:fldCharType="begin"/>
          </w:r>
          <w:r>
            <w:rPr>
              <w:b/>
              <w:sz w:val="30"/>
              <w:szCs w:val="30"/>
            </w:rPr>
            <w:instrText xml:space="preserve"> HYPERLINK \l _Toc28328 </w:instrText>
          </w:r>
          <w:r>
            <w:rPr>
              <w:b/>
              <w:sz w:val="30"/>
              <w:szCs w:val="30"/>
            </w:rPr>
            <w:fldChar w:fldCharType="separate"/>
          </w:r>
          <w:r>
            <w:rPr>
              <w:rFonts w:ascii="黑体" w:hAnsi="黑体" w:eastAsia="黑体" w:cs="黑体"/>
              <w:b/>
              <w:spacing w:val="10"/>
              <w:sz w:val="30"/>
              <w:szCs w:val="30"/>
            </w:rPr>
            <w:t>第</w:t>
          </w:r>
          <w:r>
            <w:rPr>
              <w:rFonts w:ascii="黑体" w:hAnsi="黑体" w:eastAsia="黑体" w:cs="黑体"/>
              <w:b/>
              <w:spacing w:val="6"/>
              <w:sz w:val="30"/>
              <w:szCs w:val="30"/>
            </w:rPr>
            <w:t>五部分 附表</w:t>
          </w:r>
          <w:r>
            <w:rPr>
              <w:b/>
              <w:sz w:val="30"/>
              <w:szCs w:val="30"/>
            </w:rPr>
            <w:tab/>
          </w:r>
          <w:r>
            <w:rPr>
              <w:rFonts w:hint="eastAsia" w:eastAsia="宋体"/>
              <w:b/>
              <w:sz w:val="30"/>
              <w:szCs w:val="30"/>
              <w:lang w:val="en-US" w:eastAsia="zh-CN"/>
            </w:rPr>
            <w:t>2</w:t>
          </w:r>
          <w:r>
            <w:rPr>
              <w:b/>
              <w:sz w:val="30"/>
              <w:szCs w:val="30"/>
            </w:rPr>
            <w:fldChar w:fldCharType="end"/>
          </w:r>
          <w:r>
            <w:rPr>
              <w:rFonts w:hint="eastAsia" w:eastAsia="宋体"/>
              <w:b/>
              <w:sz w:val="30"/>
              <w:szCs w:val="30"/>
              <w:lang w:val="en-US" w:eastAsia="zh-CN"/>
            </w:rPr>
            <w:t>6</w:t>
          </w:r>
        </w:p>
        <w:p w14:paraId="65E5B4D6">
          <w:pPr>
            <w:pStyle w:val="2"/>
            <w:rPr>
              <w:sz w:val="30"/>
              <w:szCs w:val="30"/>
            </w:rPr>
          </w:pPr>
          <w:r>
            <w:rPr>
              <w:b/>
              <w:sz w:val="30"/>
              <w:szCs w:val="30"/>
            </w:rPr>
            <w:fldChar w:fldCharType="end"/>
          </w:r>
        </w:p>
      </w:sdtContent>
    </w:sdt>
    <w:p w14:paraId="5A475FC3">
      <w:pPr>
        <w:spacing w:before="155" w:line="228" w:lineRule="auto"/>
        <w:ind w:left="453"/>
        <w:rPr>
          <w:rFonts w:hint="eastAsia" w:ascii="仿宋" w:hAnsi="仿宋" w:eastAsia="仿宋" w:cs="仿宋"/>
          <w:b/>
          <w:bCs/>
          <w:spacing w:val="8"/>
          <w:sz w:val="23"/>
          <w:szCs w:val="23"/>
        </w:rPr>
      </w:pPr>
    </w:p>
    <w:p w14:paraId="16CC2A87">
      <w:pPr>
        <w:pStyle w:val="6"/>
        <w:pageBreakBefore w:val="0"/>
        <w:widowControl w:val="0"/>
        <w:tabs>
          <w:tab w:val="right" w:leader="middleDot" w:pos="884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</w:rPr>
        <w:instrText xml:space="preserve"> HYPERLINK \l _Toc22618 </w:instrTex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一、收入支出决算总表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</w:p>
    <w:p w14:paraId="27099973">
      <w:pPr>
        <w:pStyle w:val="6"/>
        <w:pageBreakBefore w:val="0"/>
        <w:widowControl w:val="0"/>
        <w:tabs>
          <w:tab w:val="right" w:leader="middleDot" w:pos="884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</w:rPr>
        <w:instrText xml:space="preserve"> HYPERLINK \l _Toc9098 </w:instrTex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二、收入决算表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</w:p>
    <w:p w14:paraId="4CFEB24D">
      <w:pPr>
        <w:pStyle w:val="6"/>
        <w:pageBreakBefore w:val="0"/>
        <w:widowControl w:val="0"/>
        <w:tabs>
          <w:tab w:val="right" w:leader="middleDot" w:pos="884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</w:rPr>
        <w:instrText xml:space="preserve"> HYPERLINK \l _Toc291 </w:instrTex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三、支出决算表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</w:p>
    <w:p w14:paraId="64494BCD">
      <w:pPr>
        <w:pStyle w:val="6"/>
        <w:pageBreakBefore w:val="0"/>
        <w:widowControl w:val="0"/>
        <w:tabs>
          <w:tab w:val="right" w:leader="middleDot" w:pos="884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</w:rPr>
        <w:instrText xml:space="preserve"> HYPERLINK \l _Toc19208 </w:instrTex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/>
          <w:bCs/>
          <w:sz w:val="32"/>
          <w:szCs w:val="32"/>
        </w:rPr>
        <w:t>四、财政拨款收入支出决算总表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</w:p>
    <w:p w14:paraId="5607D1AB">
      <w:pPr>
        <w:pStyle w:val="6"/>
        <w:pageBreakBefore w:val="0"/>
        <w:widowControl w:val="0"/>
        <w:tabs>
          <w:tab w:val="right" w:leader="middleDot" w:pos="884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</w:rPr>
        <w:instrText xml:space="preserve"> HYPERLINK \l _Toc9398 </w:instrTex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/>
          <w:bCs/>
          <w:sz w:val="32"/>
          <w:szCs w:val="32"/>
        </w:rPr>
        <w:t>五、财政拨款支出决算明细表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</w:p>
    <w:p w14:paraId="5CC4224B">
      <w:pPr>
        <w:pStyle w:val="6"/>
        <w:pageBreakBefore w:val="0"/>
        <w:widowControl w:val="0"/>
        <w:tabs>
          <w:tab w:val="right" w:leader="middleDot" w:pos="884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</w:rPr>
        <w:instrText xml:space="preserve"> HYPERLINK \l _Toc4935 </w:instrTex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/>
          <w:bCs/>
          <w:sz w:val="32"/>
          <w:szCs w:val="32"/>
        </w:rPr>
        <w:t>六、一般公共预算财政拨款支出决算表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</w:p>
    <w:p w14:paraId="687C647C">
      <w:pPr>
        <w:pStyle w:val="6"/>
        <w:pageBreakBefore w:val="0"/>
        <w:widowControl w:val="0"/>
        <w:tabs>
          <w:tab w:val="right" w:leader="middleDot" w:pos="884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</w:rPr>
        <w:instrText xml:space="preserve"> HYPERLINK \l _Toc12215 </w:instrTex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/>
          <w:bCs/>
          <w:sz w:val="32"/>
          <w:szCs w:val="32"/>
        </w:rPr>
        <w:t>七、一般公共预算财政拨款支出决算明细表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</w:p>
    <w:p w14:paraId="5F36DE8A">
      <w:pPr>
        <w:pStyle w:val="6"/>
        <w:pageBreakBefore w:val="0"/>
        <w:widowControl w:val="0"/>
        <w:tabs>
          <w:tab w:val="right" w:leader="middleDot" w:pos="884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</w:rPr>
        <w:instrText xml:space="preserve"> HYPERLINK \l _Toc20785 </w:instrTex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/>
          <w:bCs/>
          <w:sz w:val="32"/>
          <w:szCs w:val="32"/>
        </w:rPr>
        <w:t>八、一般公共预算财政拨款基本支出决算表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</w:p>
    <w:p w14:paraId="07E5FEA3">
      <w:pPr>
        <w:pStyle w:val="6"/>
        <w:pageBreakBefore w:val="0"/>
        <w:widowControl w:val="0"/>
        <w:tabs>
          <w:tab w:val="right" w:leader="middleDot" w:pos="884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</w:rPr>
        <w:instrText xml:space="preserve"> HYPERLINK \l _Toc15062 </w:instrTex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/>
          <w:bCs/>
          <w:sz w:val="32"/>
          <w:szCs w:val="32"/>
        </w:rPr>
        <w:t>九、一般公共预算财政拨款项目支出决算表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</w:p>
    <w:p w14:paraId="0F9DC731">
      <w:pPr>
        <w:pStyle w:val="6"/>
        <w:pageBreakBefore w:val="0"/>
        <w:widowControl w:val="0"/>
        <w:tabs>
          <w:tab w:val="right" w:leader="middleDot" w:pos="884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</w:rPr>
        <w:instrText xml:space="preserve"> HYPERLINK \l _Toc15454 </w:instrTex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/>
          <w:bCs/>
          <w:sz w:val="32"/>
          <w:szCs w:val="32"/>
        </w:rPr>
        <w:t>十、一般公共预算财政拨款“三公”经费支出决算表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</w:p>
    <w:p w14:paraId="6D987AD5">
      <w:pPr>
        <w:pStyle w:val="6"/>
        <w:pageBreakBefore w:val="0"/>
        <w:widowControl w:val="0"/>
        <w:tabs>
          <w:tab w:val="right" w:leader="middleDot" w:pos="884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</w:rPr>
        <w:instrText xml:space="preserve"> HYPERLINK \l _Toc16971 </w:instrTex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/>
          <w:bCs/>
          <w:sz w:val="32"/>
          <w:szCs w:val="32"/>
        </w:rPr>
        <w:t>十一、政府性基金预算财政拨款收入支出决算表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</w:p>
    <w:p w14:paraId="5BD522BE">
      <w:pPr>
        <w:pStyle w:val="6"/>
        <w:pageBreakBefore w:val="0"/>
        <w:widowControl w:val="0"/>
        <w:tabs>
          <w:tab w:val="right" w:leader="middleDot" w:pos="884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</w:rPr>
        <w:instrText xml:space="preserve"> HYPERLINK \l _Toc32548 </w:instrTex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/>
          <w:bCs/>
          <w:sz w:val="32"/>
          <w:szCs w:val="32"/>
        </w:rPr>
        <w:t>十二、政府性基金预算财政拨款“三公”经费支出决算表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</w:p>
    <w:p w14:paraId="6A4E9CC0">
      <w:pPr>
        <w:pStyle w:val="6"/>
        <w:pageBreakBefore w:val="0"/>
        <w:widowControl w:val="0"/>
        <w:tabs>
          <w:tab w:val="right" w:leader="middleDot" w:pos="884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</w:rPr>
        <w:instrText xml:space="preserve"> HYPERLINK \l _Toc21037 </w:instrTex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/>
          <w:bCs/>
          <w:sz w:val="32"/>
          <w:szCs w:val="32"/>
        </w:rPr>
        <w:t>十三、国有资本经营预算财政拨款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收人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支出决算表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</w:p>
    <w:p w14:paraId="1E0C99A5"/>
    <w:p w14:paraId="4EEA0001">
      <w:pPr>
        <w:pStyle w:val="6"/>
        <w:pageBreakBefore w:val="0"/>
        <w:widowControl w:val="0"/>
        <w:tabs>
          <w:tab w:val="right" w:leader="middleDot" w:pos="884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</w:rPr>
        <w:instrText xml:space="preserve"> HYPERLINK \l _Toc21037 </w:instrTex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/>
          <w:bCs/>
          <w:sz w:val="32"/>
          <w:szCs w:val="32"/>
        </w:rPr>
        <w:t>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、国有资本经营预算财政拨款支出决算表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</w:p>
    <w:p w14:paraId="5A14CE3B">
      <w:pPr>
        <w:pStyle w:val="2"/>
        <w:sectPr>
          <w:footerReference r:id="rId5" w:type="default"/>
          <w:pgSz w:w="11906" w:h="16839"/>
          <w:pgMar w:top="1431" w:right="1785" w:bottom="1378" w:left="1785" w:header="0" w:footer="1215" w:gutter="0"/>
          <w:cols w:space="720" w:num="1"/>
        </w:sectPr>
      </w:pPr>
    </w:p>
    <w:p w14:paraId="66DDC914">
      <w:pPr>
        <w:spacing w:before="139" w:line="225" w:lineRule="auto"/>
        <w:outlineLvl w:val="0"/>
        <w:rPr>
          <w:rFonts w:ascii="黑体" w:hAnsi="黑体" w:eastAsia="黑体" w:cs="黑体"/>
          <w:sz w:val="43"/>
          <w:szCs w:val="43"/>
        </w:rPr>
      </w:pPr>
      <w:bookmarkStart w:id="3" w:name="_Toc31825"/>
      <w:r>
        <w:rPr>
          <w:rFonts w:ascii="黑体" w:hAnsi="黑体" w:eastAsia="黑体" w:cs="黑体"/>
          <w:spacing w:val="10"/>
          <w:sz w:val="43"/>
          <w:szCs w:val="43"/>
        </w:rPr>
        <w:t>第</w:t>
      </w:r>
      <w:r>
        <w:rPr>
          <w:rFonts w:ascii="黑体" w:hAnsi="黑体" w:eastAsia="黑体" w:cs="黑体"/>
          <w:spacing w:val="7"/>
          <w:sz w:val="43"/>
          <w:szCs w:val="43"/>
        </w:rPr>
        <w:t>一部分 部门概况</w:t>
      </w:r>
      <w:bookmarkEnd w:id="3"/>
    </w:p>
    <w:p w14:paraId="22A65326">
      <w:pPr>
        <w:spacing w:line="266" w:lineRule="auto"/>
        <w:rPr>
          <w:rFonts w:ascii="Arial"/>
          <w:sz w:val="21"/>
        </w:rPr>
      </w:pPr>
    </w:p>
    <w:p w14:paraId="2F41DF31">
      <w:pPr>
        <w:spacing w:line="266" w:lineRule="auto"/>
        <w:rPr>
          <w:rFonts w:ascii="Arial"/>
          <w:sz w:val="21"/>
        </w:rPr>
      </w:pPr>
    </w:p>
    <w:p w14:paraId="1A369ABC">
      <w:pPr>
        <w:spacing w:before="101" w:line="513" w:lineRule="exact"/>
        <w:ind w:left="31"/>
        <w:outlineLvl w:val="1"/>
        <w:rPr>
          <w:rFonts w:ascii="黑体" w:hAnsi="黑体" w:eastAsia="黑体" w:cs="黑体"/>
          <w:sz w:val="31"/>
          <w:szCs w:val="31"/>
        </w:rPr>
      </w:pPr>
      <w:bookmarkStart w:id="4" w:name="_Toc4590"/>
      <w:r>
        <w:rPr>
          <w:rFonts w:ascii="黑体" w:hAnsi="黑体" w:eastAsia="黑体" w:cs="黑体"/>
          <w:spacing w:val="10"/>
          <w:position w:val="4"/>
          <w:sz w:val="31"/>
          <w:szCs w:val="31"/>
        </w:rPr>
        <w:t>一</w:t>
      </w:r>
      <w:r>
        <w:rPr>
          <w:rFonts w:ascii="黑体" w:hAnsi="黑体" w:eastAsia="黑体" w:cs="黑体"/>
          <w:spacing w:val="8"/>
          <w:position w:val="4"/>
          <w:sz w:val="31"/>
          <w:szCs w:val="31"/>
        </w:rPr>
        <w:t>、基本职能及主要工作</w:t>
      </w:r>
      <w:bookmarkEnd w:id="4"/>
    </w:p>
    <w:p w14:paraId="7A7E49F3">
      <w:pPr>
        <w:spacing w:line="320" w:lineRule="auto"/>
        <w:rPr>
          <w:rFonts w:ascii="Arial"/>
          <w:sz w:val="21"/>
        </w:rPr>
      </w:pPr>
    </w:p>
    <w:p w14:paraId="735479A2">
      <w:pPr>
        <w:spacing w:before="100" w:line="227" w:lineRule="auto"/>
        <w:ind w:left="7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(一) 主要职能。  (职能参照省政</w:t>
      </w:r>
      <w:r>
        <w:rPr>
          <w:rFonts w:ascii="仿宋" w:hAnsi="仿宋" w:eastAsia="仿宋" w:cs="仿宋"/>
          <w:spacing w:val="1"/>
          <w:sz w:val="31"/>
          <w:szCs w:val="31"/>
        </w:rPr>
        <w:t>府批准的三定方案)</w:t>
      </w:r>
    </w:p>
    <w:p w14:paraId="51A29F21">
      <w:pPr>
        <w:spacing w:line="272" w:lineRule="auto"/>
        <w:rPr>
          <w:rFonts w:ascii="Arial"/>
          <w:sz w:val="21"/>
        </w:rPr>
      </w:pPr>
    </w:p>
    <w:p w14:paraId="2277215E">
      <w:pPr>
        <w:spacing w:before="101" w:line="229" w:lineRule="auto"/>
        <w:ind w:left="4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1</w:t>
      </w:r>
      <w:r>
        <w:rPr>
          <w:rFonts w:ascii="仿宋" w:hAnsi="仿宋" w:eastAsia="仿宋" w:cs="仿宋"/>
          <w:spacing w:val="-13"/>
          <w:sz w:val="31"/>
          <w:szCs w:val="31"/>
        </w:rPr>
        <w:t>、 国道 212 线、542 线 76 公里，省道 205 线 76.5 公里</w:t>
      </w:r>
    </w:p>
    <w:p w14:paraId="1E0D1632">
      <w:pPr>
        <w:spacing w:before="240" w:line="226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的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日常养护及大、 中、小修、水毁修复。</w:t>
      </w:r>
    </w:p>
    <w:p w14:paraId="797190C5">
      <w:pPr>
        <w:spacing w:line="353" w:lineRule="auto"/>
        <w:rPr>
          <w:rFonts w:ascii="Arial"/>
          <w:sz w:val="21"/>
        </w:rPr>
      </w:pPr>
    </w:p>
    <w:p w14:paraId="008BFD20">
      <w:pPr>
        <w:spacing w:before="102" w:line="379" w:lineRule="auto"/>
        <w:ind w:left="35" w:right="145" w:firstLine="4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2</w:t>
      </w:r>
      <w:r>
        <w:rPr>
          <w:rFonts w:ascii="仿宋" w:hAnsi="仿宋" w:eastAsia="仿宋" w:cs="仿宋"/>
          <w:spacing w:val="-3"/>
          <w:sz w:val="31"/>
          <w:szCs w:val="31"/>
        </w:rPr>
        <w:t>、全区所有县、乡道路 729.4 公里日常养护及大、 中、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小修、水毁修复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01CE37EB">
      <w:pPr>
        <w:spacing w:before="183" w:line="226" w:lineRule="auto"/>
        <w:ind w:left="4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3、全区通村公路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1800 公里养护管理和技术指导。</w:t>
      </w:r>
    </w:p>
    <w:p w14:paraId="0010B835">
      <w:pPr>
        <w:spacing w:line="352" w:lineRule="auto"/>
        <w:rPr>
          <w:rFonts w:ascii="Arial"/>
          <w:sz w:val="21"/>
        </w:rPr>
      </w:pPr>
    </w:p>
    <w:p w14:paraId="53978F06">
      <w:pPr>
        <w:spacing w:before="101" w:line="416" w:lineRule="exact"/>
        <w:ind w:left="4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position w:val="2"/>
          <w:sz w:val="31"/>
          <w:szCs w:val="31"/>
        </w:rPr>
        <w:t>4、</w:t>
      </w:r>
      <w:r>
        <w:rPr>
          <w:rFonts w:ascii="仿宋" w:hAnsi="仿宋" w:eastAsia="仿宋" w:cs="仿宋"/>
          <w:spacing w:val="8"/>
          <w:position w:val="2"/>
          <w:sz w:val="31"/>
          <w:szCs w:val="31"/>
        </w:rPr>
        <w:t>负责全区国，省，县，乡道路的抢险保通。</w:t>
      </w:r>
    </w:p>
    <w:p w14:paraId="56A5B922">
      <w:pPr>
        <w:spacing w:line="265" w:lineRule="auto"/>
        <w:rPr>
          <w:rFonts w:ascii="Arial"/>
          <w:sz w:val="21"/>
        </w:rPr>
      </w:pPr>
    </w:p>
    <w:p w14:paraId="0040D757">
      <w:pPr>
        <w:spacing w:before="101" w:line="226" w:lineRule="auto"/>
        <w:ind w:left="7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</w:t>
      </w:r>
      <w:r>
        <w:rPr>
          <w:rFonts w:ascii="仿宋" w:hAnsi="仿宋" w:eastAsia="仿宋" w:cs="仿宋"/>
          <w:spacing w:val="10"/>
          <w:sz w:val="31"/>
          <w:szCs w:val="31"/>
        </w:rPr>
        <w:t>二) 2020 年重点工作完成情况。</w:t>
      </w:r>
    </w:p>
    <w:p w14:paraId="48C26A55">
      <w:pPr>
        <w:spacing w:before="165" w:line="372" w:lineRule="auto"/>
        <w:ind w:left="36" w:firstLine="64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40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1</w:t>
      </w:r>
      <w:r>
        <w:rPr>
          <w:rFonts w:ascii="楷体" w:hAnsi="楷体" w:eastAsia="楷体" w:cs="楷体"/>
          <w:spacing w:val="21"/>
          <w:sz w:val="31"/>
          <w:szCs w:val="31"/>
        </w:rPr>
        <w:t>) 公路养护。</w:t>
      </w:r>
      <w:r>
        <w:rPr>
          <w:rFonts w:ascii="仿宋" w:hAnsi="仿宋" w:eastAsia="仿宋" w:cs="仿宋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一是</w:t>
      </w:r>
      <w:r>
        <w:rPr>
          <w:rFonts w:ascii="仿宋" w:hAnsi="仿宋" w:eastAsia="仿宋" w:cs="仿宋"/>
          <w:spacing w:val="21"/>
          <w:sz w:val="31"/>
          <w:szCs w:val="31"/>
        </w:rPr>
        <w:t>全区道路日常保洁做到常态化，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组</w:t>
      </w:r>
      <w:r>
        <w:rPr>
          <w:rFonts w:ascii="仿宋" w:hAnsi="仿宋" w:eastAsia="仿宋" w:cs="仿宋"/>
          <w:spacing w:val="13"/>
          <w:sz w:val="31"/>
          <w:szCs w:val="31"/>
        </w:rPr>
        <w:t>织</w:t>
      </w:r>
      <w:r>
        <w:rPr>
          <w:rFonts w:ascii="仿宋" w:hAnsi="仿宋" w:eastAsia="仿宋" w:cs="仿宋"/>
          <w:spacing w:val="8"/>
          <w:sz w:val="31"/>
          <w:szCs w:val="31"/>
        </w:rPr>
        <w:t>养护职工进行全天候清扫保洁，为确保我区创建卫生城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市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仿宋" w:hAnsi="仿宋" w:eastAsia="仿宋" w:cs="仿宋"/>
          <w:spacing w:val="10"/>
          <w:sz w:val="31"/>
          <w:szCs w:val="31"/>
        </w:rPr>
        <w:t>加强了对公路沿线的环境治理，对路面、路肩杂物、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垃</w:t>
      </w:r>
      <w:r>
        <w:rPr>
          <w:rFonts w:ascii="仿宋" w:hAnsi="仿宋" w:eastAsia="仿宋" w:cs="仿宋"/>
          <w:sz w:val="31"/>
          <w:szCs w:val="31"/>
        </w:rPr>
        <w:t xml:space="preserve">圾、堆积物及时进行了清理。做到了人在路上，路在心中， </w:t>
      </w:r>
      <w:r>
        <w:rPr>
          <w:rFonts w:ascii="仿宋" w:hAnsi="仿宋" w:eastAsia="仿宋" w:cs="仿宋"/>
          <w:spacing w:val="14"/>
          <w:sz w:val="31"/>
          <w:szCs w:val="31"/>
        </w:rPr>
        <w:t>达</w:t>
      </w:r>
      <w:r>
        <w:rPr>
          <w:rFonts w:ascii="仿宋" w:hAnsi="仿宋" w:eastAsia="仿宋" w:cs="仿宋"/>
          <w:spacing w:val="10"/>
          <w:sz w:val="31"/>
          <w:szCs w:val="31"/>
        </w:rPr>
        <w:t>到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“</w:t>
      </w:r>
      <w:r>
        <w:rPr>
          <w:rFonts w:ascii="仿宋" w:hAnsi="仿宋" w:eastAsia="仿宋" w:cs="仿宋"/>
          <w:spacing w:val="10"/>
          <w:sz w:val="31"/>
          <w:szCs w:val="31"/>
        </w:rPr>
        <w:t>畅、安、舒、美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”</w:t>
      </w:r>
      <w:r>
        <w:rPr>
          <w:rFonts w:ascii="仿宋" w:hAnsi="仿宋" w:eastAsia="仿宋" w:cs="仿宋"/>
          <w:spacing w:val="10"/>
          <w:sz w:val="31"/>
          <w:szCs w:val="31"/>
        </w:rPr>
        <w:t>的通行环境。</w:t>
      </w:r>
      <w:r>
        <w:rPr>
          <w:rFonts w:ascii="仿宋" w:hAnsi="仿宋" w:eastAsia="仿宋" w:cs="仿宋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二是</w:t>
      </w:r>
      <w:r>
        <w:rPr>
          <w:rFonts w:ascii="仿宋" w:hAnsi="仿宋" w:eastAsia="仿宋" w:cs="仿宋"/>
          <w:spacing w:val="10"/>
          <w:sz w:val="31"/>
          <w:szCs w:val="31"/>
        </w:rPr>
        <w:t>每月进行养护、安</w:t>
      </w:r>
    </w:p>
    <w:p w14:paraId="63B33A7B">
      <w:pPr>
        <w:spacing w:before="1" w:line="225" w:lineRule="auto"/>
        <w:ind w:left="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全</w:t>
      </w:r>
      <w:r>
        <w:rPr>
          <w:rFonts w:ascii="仿宋" w:hAnsi="仿宋" w:eastAsia="仿宋" w:cs="仿宋"/>
          <w:spacing w:val="9"/>
          <w:sz w:val="31"/>
          <w:szCs w:val="31"/>
        </w:rPr>
        <w:t>大检查，对垮方、</w:t>
      </w:r>
      <w:bookmarkStart w:id="30" w:name="_GoBack"/>
      <w:bookmarkEnd w:id="30"/>
      <w:r>
        <w:rPr>
          <w:rFonts w:ascii="仿宋" w:hAnsi="仿宋" w:eastAsia="仿宋" w:cs="仿宋"/>
          <w:spacing w:val="9"/>
          <w:sz w:val="31"/>
          <w:szCs w:val="31"/>
        </w:rPr>
        <w:t>断道进行了及时抢修，对危险路段、重</w:t>
      </w:r>
    </w:p>
    <w:p w14:paraId="029670D8">
      <w:pPr>
        <w:sectPr>
          <w:footerReference r:id="rId6" w:type="default"/>
          <w:pgSz w:w="11906" w:h="16839"/>
          <w:pgMar w:top="1431" w:right="1711" w:bottom="1376" w:left="1785" w:header="0" w:footer="1215" w:gutter="0"/>
          <w:cols w:space="720" w:num="1"/>
        </w:sectPr>
      </w:pPr>
    </w:p>
    <w:p w14:paraId="298572F0">
      <w:pPr>
        <w:spacing w:before="159" w:line="372" w:lineRule="auto"/>
        <w:ind w:left="37" w:right="13" w:firstLine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点地段采取了有效措施，及时进行了抢修或设立警示标志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仿宋" w:hAnsi="仿宋" w:eastAsia="仿宋" w:cs="仿宋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是</w:t>
      </w:r>
      <w:r>
        <w:rPr>
          <w:rFonts w:ascii="仿宋" w:hAnsi="仿宋" w:eastAsia="仿宋" w:cs="仿宋"/>
          <w:spacing w:val="14"/>
          <w:sz w:val="31"/>
          <w:szCs w:val="31"/>
        </w:rPr>
        <w:t>加强 日常督导，每周不少于三次上路对各路段进行检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查</w:t>
      </w:r>
      <w:r>
        <w:rPr>
          <w:rFonts w:ascii="仿宋" w:hAnsi="仿宋" w:eastAsia="仿宋" w:cs="仿宋"/>
          <w:spacing w:val="14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把上路率作为督查重点，每月都下发督查通报，对存在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的</w:t>
      </w:r>
      <w:r>
        <w:rPr>
          <w:rFonts w:ascii="仿宋" w:hAnsi="仿宋" w:eastAsia="仿宋" w:cs="仿宋"/>
          <w:spacing w:val="14"/>
          <w:sz w:val="31"/>
          <w:szCs w:val="31"/>
        </w:rPr>
        <w:t>问</w:t>
      </w:r>
      <w:r>
        <w:rPr>
          <w:rFonts w:ascii="仿宋" w:hAnsi="仿宋" w:eastAsia="仿宋" w:cs="仿宋"/>
          <w:spacing w:val="8"/>
          <w:sz w:val="31"/>
          <w:szCs w:val="31"/>
        </w:rPr>
        <w:t>题责令限期整改，对不按时出勤者，给予经济处罚，大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大</w:t>
      </w:r>
      <w:r>
        <w:rPr>
          <w:rFonts w:ascii="仿宋" w:hAnsi="仿宋" w:eastAsia="仿宋" w:cs="仿宋"/>
          <w:spacing w:val="5"/>
          <w:sz w:val="31"/>
          <w:szCs w:val="31"/>
        </w:rPr>
        <w:t>提高了上路率。</w:t>
      </w:r>
    </w:p>
    <w:p w14:paraId="53B27199">
      <w:pPr>
        <w:spacing w:before="4" w:line="371" w:lineRule="auto"/>
        <w:ind w:left="35" w:right="12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年，全年清理垮塌方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17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000 </w:t>
      </w:r>
      <w:r>
        <w:rPr>
          <w:rFonts w:ascii="仿宋" w:hAnsi="仿宋" w:eastAsia="仿宋" w:cs="仿宋"/>
          <w:sz w:val="31"/>
          <w:szCs w:val="31"/>
        </w:rPr>
        <w:t xml:space="preserve">余方，清理水沟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800 </w:t>
      </w:r>
      <w:r>
        <w:rPr>
          <w:rFonts w:ascii="仿宋" w:hAnsi="仿宋" w:eastAsia="仿宋" w:cs="仿宋"/>
          <w:sz w:val="31"/>
          <w:szCs w:val="31"/>
        </w:rPr>
        <w:t xml:space="preserve">余 </w:t>
      </w:r>
      <w:r>
        <w:rPr>
          <w:rFonts w:ascii="仿宋" w:hAnsi="仿宋" w:eastAsia="仿宋" w:cs="仿宋"/>
          <w:spacing w:val="12"/>
          <w:sz w:val="31"/>
          <w:szCs w:val="31"/>
        </w:rPr>
        <w:t>公里，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抢修油路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460000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余平方，抢修混凝土路面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30000 </w:t>
      </w:r>
      <w:r>
        <w:rPr>
          <w:rFonts w:ascii="仿宋" w:hAnsi="仿宋" w:eastAsia="仿宋" w:cs="仿宋"/>
          <w:spacing w:val="6"/>
          <w:sz w:val="31"/>
          <w:szCs w:val="31"/>
        </w:rPr>
        <w:t>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平方</w:t>
      </w:r>
      <w:r>
        <w:rPr>
          <w:rFonts w:ascii="仿宋" w:hAnsi="仿宋" w:eastAsia="仿宋" w:cs="仿宋"/>
          <w:spacing w:val="3"/>
          <w:sz w:val="31"/>
          <w:szCs w:val="31"/>
        </w:rPr>
        <w:t>、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修复桥涵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2"/>
          <w:sz w:val="31"/>
          <w:szCs w:val="31"/>
        </w:rPr>
        <w:t>处、疏通涵洞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余个，设立警示桩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1800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余个，警示标牌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00 </w:t>
      </w:r>
      <w:r>
        <w:rPr>
          <w:rFonts w:ascii="仿宋" w:hAnsi="仿宋" w:eastAsia="仿宋" w:cs="仿宋"/>
          <w:sz w:val="31"/>
          <w:szCs w:val="31"/>
        </w:rPr>
        <w:t>余个。</w:t>
      </w:r>
    </w:p>
    <w:p w14:paraId="1AFDD7FD">
      <w:pPr>
        <w:spacing w:before="8" w:line="371" w:lineRule="auto"/>
        <w:ind w:left="32" w:right="13" w:firstLine="65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38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2</w:t>
      </w:r>
      <w:r>
        <w:rPr>
          <w:rFonts w:ascii="楷体" w:hAnsi="楷体" w:eastAsia="楷体" w:cs="楷体"/>
          <w:spacing w:val="19"/>
          <w:sz w:val="31"/>
          <w:szCs w:val="31"/>
        </w:rPr>
        <w:t>) 应急保通。</w:t>
      </w:r>
      <w:r>
        <w:rPr>
          <w:rFonts w:ascii="仿宋" w:hAnsi="仿宋" w:eastAsia="仿宋" w:cs="仿宋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一是</w:t>
      </w:r>
      <w:r>
        <w:rPr>
          <w:rFonts w:ascii="仿宋" w:hAnsi="仿宋" w:eastAsia="仿宋" w:cs="仿宋"/>
          <w:spacing w:val="19"/>
          <w:sz w:val="31"/>
          <w:szCs w:val="31"/>
        </w:rPr>
        <w:t>制定并完善了突发性地质灾害应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急抢</w:t>
      </w:r>
      <w:r>
        <w:rPr>
          <w:rFonts w:ascii="仿宋" w:hAnsi="仿宋" w:eastAsia="仿宋" w:cs="仿宋"/>
          <w:spacing w:val="8"/>
          <w:sz w:val="31"/>
          <w:szCs w:val="31"/>
        </w:rPr>
        <w:t>险以及安全生产事故应急救援等各项预案，严格落实责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任制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在突发事件中做到信息反应快、应急到位快、抢险进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度快</w:t>
      </w:r>
      <w:r>
        <w:rPr>
          <w:rFonts w:ascii="仿宋" w:hAnsi="仿宋" w:eastAsia="仿宋" w:cs="仿宋"/>
          <w:spacing w:val="11"/>
          <w:sz w:val="31"/>
          <w:szCs w:val="31"/>
        </w:rPr>
        <w:t>；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二是</w:t>
      </w:r>
      <w:r>
        <w:rPr>
          <w:rFonts w:ascii="仿宋" w:hAnsi="仿宋" w:eastAsia="仿宋" w:cs="仿宋"/>
          <w:spacing w:val="8"/>
          <w:sz w:val="31"/>
          <w:szCs w:val="31"/>
        </w:rPr>
        <w:t>加强道路安全保通。针对进港公路大面积破损、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路基</w:t>
      </w:r>
      <w:r>
        <w:rPr>
          <w:rFonts w:ascii="仿宋" w:hAnsi="仿宋" w:eastAsia="仿宋" w:cs="仿宋"/>
          <w:spacing w:val="11"/>
          <w:sz w:val="31"/>
          <w:szCs w:val="31"/>
        </w:rPr>
        <w:t>下</w:t>
      </w:r>
      <w:r>
        <w:rPr>
          <w:rFonts w:ascii="仿宋" w:hAnsi="仿宋" w:eastAsia="仿宋" w:cs="仿宋"/>
          <w:spacing w:val="8"/>
          <w:sz w:val="31"/>
          <w:szCs w:val="31"/>
        </w:rPr>
        <w:t>沉，我段及时制定维修方案、建立台账、压实责任，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保障</w:t>
      </w:r>
      <w:r>
        <w:rPr>
          <w:rFonts w:ascii="仿宋" w:hAnsi="仿宋" w:eastAsia="仿宋" w:cs="仿宋"/>
          <w:spacing w:val="11"/>
          <w:sz w:val="31"/>
          <w:szCs w:val="31"/>
        </w:rPr>
        <w:t>人</w:t>
      </w:r>
      <w:r>
        <w:rPr>
          <w:rFonts w:ascii="仿宋" w:hAnsi="仿宋" w:eastAsia="仿宋" w:cs="仿宋"/>
          <w:spacing w:val="8"/>
          <w:sz w:val="31"/>
          <w:szCs w:val="31"/>
        </w:rPr>
        <w:t>民群众安全出行。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三是</w:t>
      </w:r>
      <w:r>
        <w:rPr>
          <w:rFonts w:ascii="仿宋" w:hAnsi="仿宋" w:eastAsia="仿宋" w:cs="仿宋"/>
          <w:spacing w:val="8"/>
          <w:sz w:val="31"/>
          <w:szCs w:val="31"/>
        </w:rPr>
        <w:t>加强养护作业安全，工作中穿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着统</w:t>
      </w:r>
      <w:r>
        <w:rPr>
          <w:rFonts w:ascii="仿宋" w:hAnsi="仿宋" w:eastAsia="仿宋" w:cs="仿宋"/>
          <w:spacing w:val="11"/>
          <w:sz w:val="31"/>
          <w:szCs w:val="31"/>
        </w:rPr>
        <w:t>一</w:t>
      </w:r>
      <w:r>
        <w:rPr>
          <w:rFonts w:ascii="仿宋" w:hAnsi="仿宋" w:eastAsia="仿宋" w:cs="仿宋"/>
          <w:spacing w:val="8"/>
          <w:sz w:val="31"/>
          <w:szCs w:val="31"/>
        </w:rPr>
        <w:t>养护服装，设置必要的安全警示标志，累计设置安全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标</w:t>
      </w:r>
      <w:r>
        <w:rPr>
          <w:rFonts w:ascii="仿宋" w:hAnsi="仿宋" w:eastAsia="仿宋" w:cs="仿宋"/>
          <w:spacing w:val="-7"/>
          <w:sz w:val="31"/>
          <w:szCs w:val="31"/>
        </w:rPr>
        <w:t>识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牌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-5"/>
          <w:sz w:val="31"/>
          <w:szCs w:val="31"/>
        </w:rPr>
        <w:t>余个。 同时做好设备的</w:t>
      </w:r>
    </w:p>
    <w:p w14:paraId="1C8C3D7C">
      <w:pPr>
        <w:spacing w:before="2" w:line="371" w:lineRule="auto"/>
        <w:ind w:left="40" w:right="11" w:firstLine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管</w:t>
      </w:r>
      <w:r>
        <w:rPr>
          <w:rFonts w:ascii="仿宋" w:hAnsi="仿宋" w:eastAsia="仿宋" w:cs="仿宋"/>
          <w:spacing w:val="8"/>
          <w:sz w:val="31"/>
          <w:szCs w:val="31"/>
        </w:rPr>
        <w:t>理、验收、定期检查、维修保养工作，提高了设备的安全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性和</w:t>
      </w:r>
    </w:p>
    <w:p w14:paraId="77EAD697">
      <w:pPr>
        <w:spacing w:line="226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使</w:t>
      </w:r>
      <w:r>
        <w:rPr>
          <w:rFonts w:ascii="仿宋" w:hAnsi="仿宋" w:eastAsia="仿宋" w:cs="仿宋"/>
          <w:spacing w:val="3"/>
          <w:sz w:val="31"/>
          <w:szCs w:val="31"/>
        </w:rPr>
        <w:t>用寿命。</w:t>
      </w:r>
    </w:p>
    <w:p w14:paraId="27CC5124">
      <w:pPr>
        <w:spacing w:before="243" w:line="377" w:lineRule="auto"/>
        <w:ind w:left="35" w:right="16" w:firstLine="65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38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3</w:t>
      </w:r>
      <w:r>
        <w:rPr>
          <w:rFonts w:ascii="楷体" w:hAnsi="楷体" w:eastAsia="楷体" w:cs="楷体"/>
          <w:spacing w:val="19"/>
          <w:sz w:val="31"/>
          <w:szCs w:val="31"/>
        </w:rPr>
        <w:t>) 桥隧养护。</w:t>
      </w:r>
      <w:r>
        <w:rPr>
          <w:rFonts w:ascii="仿宋" w:hAnsi="仿宋" w:eastAsia="仿宋" w:cs="仿宋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一是</w:t>
      </w:r>
      <w:r>
        <w:rPr>
          <w:rFonts w:ascii="仿宋" w:hAnsi="仿宋" w:eastAsia="仿宋" w:cs="仿宋"/>
          <w:spacing w:val="19"/>
          <w:sz w:val="31"/>
          <w:szCs w:val="31"/>
        </w:rPr>
        <w:t>严格按照《四川省普通公路桥梁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养</w:t>
      </w:r>
      <w:r>
        <w:rPr>
          <w:rFonts w:ascii="仿宋" w:hAnsi="仿宋" w:eastAsia="仿宋" w:cs="仿宋"/>
          <w:spacing w:val="14"/>
          <w:sz w:val="31"/>
          <w:szCs w:val="31"/>
        </w:rPr>
        <w:t>护</w:t>
      </w:r>
      <w:r>
        <w:rPr>
          <w:rFonts w:ascii="仿宋" w:hAnsi="仿宋" w:eastAsia="仿宋" w:cs="仿宋"/>
          <w:spacing w:val="8"/>
          <w:sz w:val="31"/>
          <w:szCs w:val="31"/>
        </w:rPr>
        <w:t>管理工作制度》要求对辖区内的桥梁每月一次定检，并</w:t>
      </w:r>
    </w:p>
    <w:p w14:paraId="2499F218">
      <w:pPr>
        <w:sectPr>
          <w:footerReference r:id="rId7" w:type="default"/>
          <w:pgSz w:w="11906" w:h="16839"/>
          <w:pgMar w:top="1431" w:right="1785" w:bottom="1376" w:left="1785" w:header="0" w:footer="1215" w:gutter="0"/>
          <w:cols w:space="720" w:num="1"/>
        </w:sectPr>
      </w:pPr>
    </w:p>
    <w:p w14:paraId="40B30B25">
      <w:pPr>
        <w:spacing w:before="164" w:line="370" w:lineRule="auto"/>
        <w:ind w:left="30" w:firstLine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做好</w:t>
      </w:r>
      <w:r>
        <w:rPr>
          <w:rFonts w:ascii="仿宋" w:hAnsi="仿宋" w:eastAsia="仿宋" w:cs="仿宋"/>
          <w:spacing w:val="9"/>
          <w:sz w:val="31"/>
          <w:szCs w:val="31"/>
        </w:rPr>
        <w:t>记</w:t>
      </w:r>
      <w:r>
        <w:rPr>
          <w:rFonts w:ascii="仿宋" w:hAnsi="仿宋" w:eastAsia="仿宋" w:cs="仿宋"/>
          <w:spacing w:val="8"/>
          <w:sz w:val="31"/>
          <w:szCs w:val="31"/>
        </w:rPr>
        <w:t>录，对检查中存在问题及时上报主管部门。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二是</w:t>
      </w:r>
      <w:r>
        <w:rPr>
          <w:rFonts w:ascii="仿宋" w:hAnsi="仿宋" w:eastAsia="仿宋" w:cs="仿宋"/>
          <w:spacing w:val="8"/>
          <w:sz w:val="31"/>
          <w:szCs w:val="31"/>
        </w:rPr>
        <w:t>建立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桥梁检查台账，每月动态更新桥梁技术状况，完善全区桥</w:t>
      </w:r>
      <w:r>
        <w:rPr>
          <w:rFonts w:ascii="仿宋" w:hAnsi="仿宋" w:eastAsia="仿宋" w:cs="仿宋"/>
          <w:spacing w:val="4"/>
          <w:sz w:val="31"/>
          <w:szCs w:val="31"/>
        </w:rPr>
        <w:t>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资料。汛期前中后期对全段管养的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74 </w:t>
      </w:r>
      <w:r>
        <w:rPr>
          <w:rFonts w:ascii="仿宋" w:hAnsi="仿宋" w:eastAsia="仿宋" w:cs="仿宋"/>
          <w:spacing w:val="11"/>
          <w:sz w:val="31"/>
          <w:szCs w:val="31"/>
        </w:rPr>
        <w:t>座公路桥梁进行全</w:t>
      </w:r>
      <w:r>
        <w:rPr>
          <w:rFonts w:ascii="仿宋" w:hAnsi="仿宋" w:eastAsia="仿宋" w:cs="仿宋"/>
          <w:spacing w:val="7"/>
          <w:sz w:val="31"/>
          <w:szCs w:val="31"/>
        </w:rPr>
        <w:t>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排査，重点对公路三</w:t>
      </w:r>
      <w:r>
        <w:rPr>
          <w:rFonts w:ascii="仿宋" w:hAnsi="仿宋" w:eastAsia="仿宋" w:cs="仿宋"/>
          <w:spacing w:val="2"/>
          <w:sz w:val="31"/>
          <w:szCs w:val="31"/>
        </w:rPr>
        <w:t>、 四类桥梁、上次定期检査确定存在安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全隐患的桥梁进行排查。对桥梁状况及存在的问题进行现</w:t>
      </w:r>
      <w:r>
        <w:rPr>
          <w:rFonts w:ascii="仿宋" w:hAnsi="仿宋" w:eastAsia="仿宋" w:cs="仿宋"/>
          <w:spacing w:val="4"/>
          <w:sz w:val="31"/>
          <w:szCs w:val="31"/>
        </w:rPr>
        <w:t>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登记</w:t>
      </w:r>
      <w:r>
        <w:rPr>
          <w:rFonts w:ascii="仿宋" w:hAnsi="仿宋" w:eastAsia="仿宋" w:cs="仿宋"/>
          <w:spacing w:val="11"/>
          <w:sz w:val="31"/>
          <w:szCs w:val="31"/>
        </w:rPr>
        <w:t>造</w:t>
      </w:r>
      <w:r>
        <w:rPr>
          <w:rFonts w:ascii="仿宋" w:hAnsi="仿宋" w:eastAsia="仿宋" w:cs="仿宋"/>
          <w:spacing w:val="8"/>
          <w:sz w:val="31"/>
          <w:szCs w:val="31"/>
        </w:rPr>
        <w:t>册，对桥梁各个结构部位及存在的病害进行拍摄，对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排查</w:t>
      </w:r>
      <w:r>
        <w:rPr>
          <w:rFonts w:ascii="仿宋" w:hAnsi="仿宋" w:eastAsia="仿宋" w:cs="仿宋"/>
          <w:spacing w:val="11"/>
          <w:sz w:val="31"/>
          <w:szCs w:val="31"/>
        </w:rPr>
        <w:t>中</w:t>
      </w:r>
      <w:r>
        <w:rPr>
          <w:rFonts w:ascii="仿宋" w:hAnsi="仿宋" w:eastAsia="仿宋" w:cs="仿宋"/>
          <w:spacing w:val="8"/>
          <w:sz w:val="31"/>
          <w:szCs w:val="31"/>
        </w:rPr>
        <w:t>发现的技术状况较差的桥梁及时限制通行。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三是</w:t>
      </w:r>
      <w:r>
        <w:rPr>
          <w:rFonts w:ascii="仿宋" w:hAnsi="仿宋" w:eastAsia="仿宋" w:cs="仿宋"/>
          <w:spacing w:val="8"/>
          <w:sz w:val="31"/>
          <w:szCs w:val="31"/>
        </w:rPr>
        <w:t>加大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对危桥的监测监控，对三、四类桥梁设立警示标志。对存</w:t>
      </w:r>
      <w:r>
        <w:rPr>
          <w:rFonts w:ascii="仿宋" w:hAnsi="仿宋" w:eastAsia="仿宋" w:cs="仿宋"/>
          <w:spacing w:val="4"/>
          <w:sz w:val="31"/>
          <w:szCs w:val="31"/>
        </w:rPr>
        <w:t>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其他</w:t>
      </w:r>
      <w:r>
        <w:rPr>
          <w:rFonts w:ascii="仿宋" w:hAnsi="仿宋" w:eastAsia="仿宋" w:cs="仿宋"/>
          <w:spacing w:val="11"/>
          <w:sz w:val="31"/>
          <w:szCs w:val="31"/>
        </w:rPr>
        <w:t>安</w:t>
      </w:r>
      <w:r>
        <w:rPr>
          <w:rFonts w:ascii="仿宋" w:hAnsi="仿宋" w:eastAsia="仿宋" w:cs="仿宋"/>
          <w:spacing w:val="8"/>
          <w:sz w:val="31"/>
          <w:szCs w:val="31"/>
        </w:rPr>
        <w:t>全隐患的桥梁，及时会同交通管理部门采取交通管制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措</w:t>
      </w:r>
      <w:r>
        <w:rPr>
          <w:rFonts w:ascii="仿宋" w:hAnsi="仿宋" w:eastAsia="仿宋" w:cs="仿宋"/>
          <w:spacing w:val="13"/>
          <w:sz w:val="31"/>
          <w:szCs w:val="31"/>
        </w:rPr>
        <w:t>施</w:t>
      </w:r>
      <w:r>
        <w:rPr>
          <w:rFonts w:ascii="仿宋" w:hAnsi="仿宋" w:eastAsia="仿宋" w:cs="仿宋"/>
          <w:spacing w:val="8"/>
          <w:sz w:val="31"/>
          <w:szCs w:val="31"/>
        </w:rPr>
        <w:t>和设立警示标志。  建立桥梁安全责任制，做到制度严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明、职责明确、责任落实。对辖区内的所有桥梁，实行具</w:t>
      </w:r>
      <w:r>
        <w:rPr>
          <w:rFonts w:ascii="仿宋" w:hAnsi="仿宋" w:eastAsia="仿宋" w:cs="仿宋"/>
          <w:spacing w:val="4"/>
          <w:sz w:val="31"/>
          <w:szCs w:val="31"/>
        </w:rPr>
        <w:t>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路段管养责任人负责制，落实具体养护责任人姓名，签订</w:t>
      </w:r>
      <w:r>
        <w:rPr>
          <w:rFonts w:ascii="仿宋" w:hAnsi="仿宋" w:eastAsia="仿宋" w:cs="仿宋"/>
          <w:spacing w:val="4"/>
          <w:sz w:val="31"/>
          <w:szCs w:val="31"/>
        </w:rPr>
        <w:t>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路桥梁养护责任书，将安全责任落到实处。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四是</w:t>
      </w:r>
      <w:r>
        <w:rPr>
          <w:rFonts w:ascii="仿宋" w:hAnsi="仿宋" w:eastAsia="仿宋" w:cs="仿宋"/>
          <w:spacing w:val="9"/>
          <w:sz w:val="31"/>
          <w:szCs w:val="31"/>
        </w:rPr>
        <w:t>国省干线</w:t>
      </w:r>
      <w:r>
        <w:rPr>
          <w:rFonts w:ascii="仿宋" w:hAnsi="仿宋" w:eastAsia="仿宋" w:cs="仿宋"/>
          <w:spacing w:val="4"/>
          <w:sz w:val="31"/>
          <w:szCs w:val="31"/>
        </w:rPr>
        <w:t>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路桥梁共检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38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座、隧道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座，检查结果一类桥梁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4"/>
          <w:sz w:val="31"/>
          <w:szCs w:val="31"/>
        </w:rPr>
        <w:t>座、二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类桥梁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 xml:space="preserve">33 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座、三类桥梁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座、四类桥梁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9"/>
          <w:sz w:val="31"/>
          <w:szCs w:val="31"/>
        </w:rPr>
        <w:t>座、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类隧道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9"/>
          <w:sz w:val="31"/>
          <w:szCs w:val="31"/>
        </w:rPr>
        <w:t>座，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国</w:t>
      </w:r>
      <w:r>
        <w:rPr>
          <w:rFonts w:ascii="仿宋" w:hAnsi="仿宋" w:eastAsia="仿宋" w:cs="仿宋"/>
          <w:spacing w:val="14"/>
          <w:sz w:val="31"/>
          <w:szCs w:val="31"/>
        </w:rPr>
        <w:t>省干线公路三 、 四类桥梁 占全区国省干线桥梁总数的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10.5%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，县乡道公路桥梁共检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36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座，检查结果一类桥梁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4"/>
          <w:sz w:val="31"/>
          <w:szCs w:val="31"/>
        </w:rPr>
        <w:t>座、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二类桥梁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5 </w:t>
      </w:r>
      <w:r>
        <w:rPr>
          <w:rFonts w:ascii="仿宋" w:hAnsi="仿宋" w:eastAsia="仿宋" w:cs="仿宋"/>
          <w:sz w:val="31"/>
          <w:szCs w:val="31"/>
        </w:rPr>
        <w:t xml:space="preserve">座、三类桥梁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7 </w:t>
      </w:r>
      <w:r>
        <w:rPr>
          <w:rFonts w:ascii="仿宋" w:hAnsi="仿宋" w:eastAsia="仿宋" w:cs="仿宋"/>
          <w:sz w:val="31"/>
          <w:szCs w:val="31"/>
        </w:rPr>
        <w:t xml:space="preserve">座、 四类桥梁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 </w:t>
      </w:r>
      <w:r>
        <w:rPr>
          <w:rFonts w:ascii="仿宋" w:hAnsi="仿宋" w:eastAsia="仿宋" w:cs="仿宋"/>
          <w:sz w:val="31"/>
          <w:szCs w:val="31"/>
        </w:rPr>
        <w:t>座，县乡道公</w:t>
      </w:r>
    </w:p>
    <w:p w14:paraId="1DDBE249">
      <w:pPr>
        <w:spacing w:line="418" w:lineRule="exact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2"/>
          <w:sz w:val="31"/>
          <w:szCs w:val="31"/>
        </w:rPr>
        <w:t xml:space="preserve">路三、 </w:t>
      </w:r>
      <w:r>
        <w:rPr>
          <w:rFonts w:ascii="仿宋" w:hAnsi="仿宋" w:eastAsia="仿宋" w:cs="仿宋"/>
          <w:position w:val="2"/>
          <w:sz w:val="31"/>
          <w:szCs w:val="31"/>
        </w:rPr>
        <w:t xml:space="preserve">四类桥梁占全区管养县乡道公路桥梁总数的 </w:t>
      </w: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30.6%</w:t>
      </w:r>
      <w:r>
        <w:rPr>
          <w:rFonts w:ascii="仿宋" w:hAnsi="仿宋" w:eastAsia="仿宋" w:cs="仿宋"/>
          <w:position w:val="2"/>
          <w:sz w:val="31"/>
          <w:szCs w:val="31"/>
        </w:rPr>
        <w:t>。</w:t>
      </w:r>
    </w:p>
    <w:p w14:paraId="0CB5F62A">
      <w:pPr>
        <w:spacing w:before="250" w:line="376" w:lineRule="auto"/>
        <w:ind w:left="32" w:right="105" w:firstLine="65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4</w:t>
      </w:r>
      <w:r>
        <w:rPr>
          <w:rFonts w:ascii="楷体" w:hAnsi="楷体" w:eastAsia="楷体" w:cs="楷体"/>
          <w:spacing w:val="9"/>
          <w:sz w:val="31"/>
          <w:szCs w:val="31"/>
        </w:rPr>
        <w:t>) 工程建设。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一是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在国省干线方面。 国道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212 </w:t>
      </w:r>
      <w:r>
        <w:rPr>
          <w:rFonts w:ascii="仿宋" w:hAnsi="仿宋" w:eastAsia="仿宋" w:cs="仿宋"/>
          <w:spacing w:val="9"/>
          <w:sz w:val="31"/>
          <w:szCs w:val="31"/>
        </w:rPr>
        <w:t>线大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中修工程已全面完工，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11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13  </w:t>
      </w:r>
      <w:r>
        <w:rPr>
          <w:rFonts w:ascii="仿宋" w:hAnsi="仿宋" w:eastAsia="仿宋" w:cs="仿宋"/>
          <w:spacing w:val="5"/>
          <w:sz w:val="31"/>
          <w:szCs w:val="31"/>
        </w:rPr>
        <w:t>日，交通部、省市区领</w:t>
      </w:r>
      <w:r>
        <w:rPr>
          <w:rFonts w:ascii="仿宋" w:hAnsi="仿宋" w:eastAsia="仿宋" w:cs="仿宋"/>
          <w:spacing w:val="4"/>
          <w:sz w:val="31"/>
          <w:szCs w:val="31"/>
        </w:rPr>
        <w:t>导</w:t>
      </w:r>
      <w:r>
        <w:rPr>
          <w:rFonts w:ascii="仿宋" w:hAnsi="仿宋" w:eastAsia="仿宋" w:cs="仿宋"/>
          <w:sz w:val="31"/>
          <w:szCs w:val="31"/>
        </w:rPr>
        <w:t xml:space="preserve">对 </w:t>
      </w:r>
      <w:r>
        <w:rPr>
          <w:rFonts w:ascii="仿宋" w:hAnsi="仿宋" w:eastAsia="仿宋" w:cs="仿宋"/>
          <w:spacing w:val="16"/>
          <w:sz w:val="31"/>
          <w:szCs w:val="31"/>
        </w:rPr>
        <w:t>路面</w:t>
      </w:r>
      <w:r>
        <w:rPr>
          <w:rFonts w:ascii="仿宋" w:hAnsi="仿宋" w:eastAsia="仿宋" w:cs="仿宋"/>
          <w:spacing w:val="8"/>
          <w:sz w:val="31"/>
          <w:szCs w:val="31"/>
        </w:rPr>
        <w:t>以及桥梁进行了检查，获得一致好评，顺利完成了迎部</w:t>
      </w:r>
    </w:p>
    <w:p w14:paraId="32F45F2A">
      <w:pPr>
        <w:sectPr>
          <w:footerReference r:id="rId8" w:type="default"/>
          <w:pgSz w:w="11906" w:h="16839"/>
          <w:pgMar w:top="1431" w:right="1694" w:bottom="1378" w:left="1785" w:header="0" w:footer="1215" w:gutter="0"/>
          <w:cols w:space="720" w:num="1"/>
        </w:sectPr>
      </w:pPr>
    </w:p>
    <w:p w14:paraId="51780F06">
      <w:pPr>
        <w:spacing w:before="165" w:line="371" w:lineRule="auto"/>
        <w:ind w:left="35" w:right="113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评</w:t>
      </w:r>
      <w:r>
        <w:rPr>
          <w:rFonts w:ascii="仿宋" w:hAnsi="仿宋" w:eastAsia="仿宋" w:cs="仿宋"/>
          <w:spacing w:val="-9"/>
          <w:sz w:val="31"/>
          <w:szCs w:val="31"/>
        </w:rPr>
        <w:t>工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作， 目前正在进行内业资料整理。 国道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212 </w:t>
      </w:r>
      <w:r>
        <w:rPr>
          <w:rFonts w:ascii="仿宋" w:hAnsi="仿宋" w:eastAsia="仿宋" w:cs="仿宋"/>
          <w:spacing w:val="-5"/>
          <w:sz w:val="31"/>
          <w:szCs w:val="31"/>
        </w:rPr>
        <w:t>线紫云桥、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金华寺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4"/>
          <w:sz w:val="31"/>
          <w:szCs w:val="31"/>
        </w:rPr>
        <w:t>号桥和</w:t>
      </w:r>
      <w:r>
        <w:rPr>
          <w:rFonts w:ascii="仿宋" w:hAnsi="仿宋" w:eastAsia="仿宋" w:cs="仿宋"/>
          <w:spacing w:val="-3"/>
          <w:sz w:val="31"/>
          <w:szCs w:val="31"/>
        </w:rPr>
        <w:t>金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华寺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号桥以及国道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542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线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K42+500  </w:t>
      </w:r>
      <w:r>
        <w:rPr>
          <w:rFonts w:ascii="仿宋" w:hAnsi="仿宋" w:eastAsia="仿宋" w:cs="仿宋"/>
          <w:spacing w:val="-2"/>
          <w:sz w:val="31"/>
          <w:szCs w:val="31"/>
        </w:rPr>
        <w:t>(昭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化</w:t>
      </w:r>
      <w:r>
        <w:rPr>
          <w:rFonts w:ascii="仿宋" w:hAnsi="仿宋" w:eastAsia="仿宋" w:cs="仿宋"/>
          <w:spacing w:val="8"/>
          <w:sz w:val="31"/>
          <w:szCs w:val="31"/>
        </w:rPr>
        <w:t>区旺苍县交界) 处边坡灾害处治工程现已完成施工合同签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订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，即将开工建设。国道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542 </w:t>
      </w:r>
      <w:r>
        <w:rPr>
          <w:rFonts w:ascii="仿宋" w:hAnsi="仿宋" w:eastAsia="仿宋" w:cs="仿宋"/>
          <w:spacing w:val="5"/>
          <w:sz w:val="31"/>
          <w:szCs w:val="31"/>
        </w:rPr>
        <w:t>线中修工程已开工建设。省道</w:t>
      </w:r>
    </w:p>
    <w:p w14:paraId="4C702075">
      <w:pPr>
        <w:spacing w:before="1" w:line="365" w:lineRule="auto"/>
        <w:ind w:left="19" w:firstLine="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05 </w:t>
      </w:r>
      <w:r>
        <w:rPr>
          <w:rFonts w:ascii="仿宋" w:hAnsi="仿宋" w:eastAsia="仿宋" w:cs="仿宋"/>
          <w:spacing w:val="11"/>
          <w:sz w:val="31"/>
          <w:szCs w:val="31"/>
        </w:rPr>
        <w:t>线昭化镇黄莲铺至柏杨大桥段改扩建工程正在进行勘察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设计财</w:t>
      </w:r>
      <w:r>
        <w:rPr>
          <w:rFonts w:ascii="仿宋" w:hAnsi="仿宋" w:eastAsia="仿宋" w:cs="仿宋"/>
          <w:spacing w:val="8"/>
          <w:sz w:val="31"/>
          <w:szCs w:val="31"/>
        </w:rPr>
        <w:t>评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工作。已完成国道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542 </w:t>
      </w:r>
      <w:r>
        <w:rPr>
          <w:rFonts w:ascii="仿宋" w:hAnsi="仿宋" w:eastAsia="仿宋" w:cs="仿宋"/>
          <w:spacing w:val="5"/>
          <w:sz w:val="31"/>
          <w:szCs w:val="31"/>
        </w:rPr>
        <w:t>线远望涯隧道交通工程与附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属设施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改造工程，国道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108 </w:t>
      </w:r>
      <w:r>
        <w:rPr>
          <w:rFonts w:ascii="仿宋" w:hAnsi="仿宋" w:eastAsia="仿宋" w:cs="仿宋"/>
          <w:spacing w:val="5"/>
          <w:sz w:val="31"/>
          <w:szCs w:val="31"/>
        </w:rPr>
        <w:t>线马桑树梁隧道交通工程与附属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设施改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造工程已完成前期工作，即将进场施工。国道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212 </w:t>
      </w:r>
      <w:r>
        <w:rPr>
          <w:rFonts w:ascii="仿宋" w:hAnsi="仿宋" w:eastAsia="仿宋" w:cs="仿宋"/>
          <w:spacing w:val="5"/>
          <w:sz w:val="31"/>
          <w:szCs w:val="31"/>
        </w:rPr>
        <w:t>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K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7+625-</w:t>
      </w:r>
      <w:r>
        <w:rPr>
          <w:rFonts w:ascii="Times New Roman" w:hAnsi="Times New Roman" w:eastAsia="Times New Roman" w:cs="Times New Roman"/>
          <w:sz w:val="31"/>
          <w:szCs w:val="31"/>
        </w:rPr>
        <w:t>K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847+765  </w:t>
      </w:r>
      <w:r>
        <w:rPr>
          <w:rFonts w:ascii="仿宋" w:hAnsi="仿宋" w:eastAsia="仿宋" w:cs="仿宋"/>
          <w:spacing w:val="3"/>
          <w:sz w:val="31"/>
          <w:szCs w:val="31"/>
        </w:rPr>
        <w:t>(卫子高速出 口) 段路基水毁整治工程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我</w:t>
      </w:r>
      <w:r>
        <w:rPr>
          <w:rFonts w:ascii="仿宋" w:hAnsi="仿宋" w:eastAsia="仿宋" w:cs="仿宋"/>
          <w:spacing w:val="9"/>
          <w:sz w:val="31"/>
          <w:szCs w:val="31"/>
        </w:rPr>
        <w:t>段作为项目监督单位，该项目已通过昭化区政府常务会以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及区委常委会，目前正在进行项目立项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  <w:r>
        <w:rPr>
          <w:rFonts w:ascii="仿宋" w:hAnsi="仿宋" w:eastAsia="仿宋" w:cs="仿宋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二是</w:t>
      </w:r>
      <w:r>
        <w:rPr>
          <w:rFonts w:ascii="仿宋" w:hAnsi="仿宋" w:eastAsia="仿宋" w:cs="仿宋"/>
          <w:spacing w:val="1"/>
          <w:sz w:val="31"/>
          <w:szCs w:val="31"/>
        </w:rPr>
        <w:t>在县乡道方面。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石</w:t>
      </w:r>
      <w:r>
        <w:rPr>
          <w:rFonts w:ascii="仿宋" w:hAnsi="仿宋" w:eastAsia="仿宋" w:cs="仿宋"/>
          <w:spacing w:val="9"/>
          <w:sz w:val="31"/>
          <w:szCs w:val="31"/>
        </w:rPr>
        <w:t>白路水毁修复工程已完成发改实施方案批复，现进行施工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图</w:t>
      </w:r>
      <w:r>
        <w:rPr>
          <w:rFonts w:ascii="仿宋" w:hAnsi="仿宋" w:eastAsia="仿宋" w:cs="仿宋"/>
          <w:spacing w:val="18"/>
          <w:sz w:val="31"/>
          <w:szCs w:val="31"/>
        </w:rPr>
        <w:t>审</w:t>
      </w:r>
      <w:r>
        <w:rPr>
          <w:rFonts w:ascii="仿宋" w:hAnsi="仿宋" w:eastAsia="仿宋" w:cs="仿宋"/>
          <w:spacing w:val="10"/>
          <w:sz w:val="31"/>
          <w:szCs w:val="31"/>
        </w:rPr>
        <w:t>查。全区县乡道畅返不畅道路整治工程 (江口至陈江、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青</w:t>
      </w:r>
      <w:r>
        <w:rPr>
          <w:rFonts w:ascii="仿宋" w:hAnsi="仿宋" w:eastAsia="仿宋" w:cs="仿宋"/>
          <w:spacing w:val="9"/>
          <w:sz w:val="31"/>
          <w:szCs w:val="31"/>
        </w:rPr>
        <w:t>牛道路损毁应急修复工程、黑射路修复工程、金潼路水毁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修复、</w:t>
      </w:r>
      <w:r>
        <w:rPr>
          <w:rFonts w:ascii="仿宋" w:hAnsi="仿宋" w:eastAsia="仿宋" w:cs="仿宋"/>
          <w:spacing w:val="7"/>
          <w:sz w:val="31"/>
          <w:szCs w:val="31"/>
        </w:rPr>
        <w:t>广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元市昭化区广永路 </w:t>
      </w:r>
      <w:r>
        <w:rPr>
          <w:rFonts w:ascii="Times New Roman" w:hAnsi="Times New Roman" w:eastAsia="Times New Roman" w:cs="Times New Roman"/>
          <w:sz w:val="31"/>
          <w:szCs w:val="31"/>
        </w:rPr>
        <w:t>K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31+550</w:t>
      </w:r>
      <w:r>
        <w:rPr>
          <w:rFonts w:ascii="仿宋" w:hAnsi="仿宋" w:eastAsia="仿宋" w:cs="仿宋"/>
          <w:spacing w:val="4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z w:val="31"/>
          <w:szCs w:val="31"/>
        </w:rPr>
        <w:t>K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89+870 </w:t>
      </w:r>
      <w:r>
        <w:rPr>
          <w:rFonts w:ascii="仿宋" w:hAnsi="仿宋" w:eastAsia="仿宋" w:cs="仿宋"/>
          <w:spacing w:val="4"/>
          <w:sz w:val="31"/>
          <w:szCs w:val="31"/>
        </w:rPr>
        <w:t>处水毁修复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工</w:t>
      </w:r>
      <w:r>
        <w:rPr>
          <w:rFonts w:ascii="仿宋" w:hAnsi="仿宋" w:eastAsia="仿宋" w:cs="仿宋"/>
          <w:spacing w:val="3"/>
          <w:sz w:val="31"/>
          <w:szCs w:val="31"/>
        </w:rPr>
        <w:t>程) 我段作为项目监管单位， 目前该项目已全面完工，正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进行竣工结算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。广永路 </w:t>
      </w:r>
      <w:r>
        <w:rPr>
          <w:rFonts w:ascii="Times New Roman" w:hAnsi="Times New Roman" w:eastAsia="Times New Roman" w:cs="Times New Roman"/>
          <w:sz w:val="31"/>
          <w:szCs w:val="31"/>
        </w:rPr>
        <w:t>K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40+500  </w:t>
      </w:r>
      <w:r>
        <w:rPr>
          <w:rFonts w:ascii="仿宋" w:hAnsi="仿宋" w:eastAsia="仿宋" w:cs="仿宋"/>
          <w:spacing w:val="4"/>
          <w:sz w:val="31"/>
          <w:szCs w:val="31"/>
        </w:rPr>
        <w:t>(射箭镇李家沟) 处水毁挡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土</w:t>
      </w:r>
      <w:r>
        <w:rPr>
          <w:rFonts w:ascii="仿宋" w:hAnsi="仿宋" w:eastAsia="仿宋" w:cs="仿宋"/>
          <w:spacing w:val="14"/>
          <w:sz w:val="31"/>
          <w:szCs w:val="31"/>
        </w:rPr>
        <w:t>墙</w:t>
      </w:r>
      <w:r>
        <w:rPr>
          <w:rFonts w:ascii="仿宋" w:hAnsi="仿宋" w:eastAsia="仿宋" w:cs="仿宋"/>
          <w:spacing w:val="8"/>
          <w:sz w:val="31"/>
          <w:szCs w:val="31"/>
        </w:rPr>
        <w:t>修复工程、朝沙路 (金鸡岭至沙坝场镇段) 路面水毁整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治</w:t>
      </w:r>
      <w:r>
        <w:rPr>
          <w:rFonts w:ascii="仿宋" w:hAnsi="仿宋" w:eastAsia="仿宋" w:cs="仿宋"/>
          <w:spacing w:val="9"/>
          <w:sz w:val="31"/>
          <w:szCs w:val="31"/>
        </w:rPr>
        <w:t>、泥朝路水毁挡土墙修复工程、红岩嘉陵江大桥助导航标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志</w:t>
      </w:r>
      <w:r>
        <w:rPr>
          <w:rFonts w:ascii="仿宋" w:hAnsi="仿宋" w:eastAsia="仿宋" w:cs="仿宋"/>
          <w:spacing w:val="11"/>
          <w:sz w:val="31"/>
          <w:szCs w:val="31"/>
        </w:rPr>
        <w:t>工程、石板河石桥水毁修复工程我段作为项目监管单位，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0"/>
          <w:sz w:val="31"/>
          <w:szCs w:val="31"/>
        </w:rPr>
        <w:t>目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前 该 六 个 工 程 正 在 进 行 项 目 立 项 。 </w:t>
      </w:r>
      <w:r>
        <w:rPr>
          <w:rFonts w:ascii="Times New Roman" w:hAnsi="Times New Roman" w:eastAsia="Times New Roman" w:cs="Times New Roman"/>
          <w:spacing w:val="-28"/>
          <w:sz w:val="31"/>
          <w:szCs w:val="31"/>
        </w:rPr>
        <w:t xml:space="preserve">Y007  </w:t>
      </w:r>
      <w:r>
        <w:rPr>
          <w:rFonts w:ascii="仿宋" w:hAnsi="仿宋" w:eastAsia="仿宋" w:cs="仿宋"/>
          <w:spacing w:val="-28"/>
          <w:sz w:val="31"/>
          <w:szCs w:val="31"/>
        </w:rPr>
        <w:t>白 石 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K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8+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40-</w:t>
      </w:r>
      <w:r>
        <w:rPr>
          <w:rFonts w:ascii="Times New Roman" w:hAnsi="Times New Roman" w:eastAsia="Times New Roman" w:cs="Times New Roman"/>
          <w:sz w:val="31"/>
          <w:szCs w:val="31"/>
        </w:rPr>
        <w:t>K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10+890 </w:t>
      </w:r>
      <w:r>
        <w:rPr>
          <w:rFonts w:ascii="仿宋" w:hAnsi="仿宋" w:eastAsia="仿宋" w:cs="仿宋"/>
          <w:spacing w:val="10"/>
          <w:sz w:val="31"/>
          <w:szCs w:val="31"/>
        </w:rPr>
        <w:t>段改扩建工程已完成勘察设计招标工作，</w:t>
      </w:r>
    </w:p>
    <w:p w14:paraId="57A1A88E">
      <w:pPr>
        <w:sectPr>
          <w:footerReference r:id="rId9" w:type="default"/>
          <w:pgSz w:w="11906" w:h="16839"/>
          <w:pgMar w:top="1431" w:right="1685" w:bottom="1376" w:left="1785" w:header="0" w:footer="1215" w:gutter="0"/>
          <w:cols w:space="720" w:num="1"/>
        </w:sectPr>
      </w:pPr>
    </w:p>
    <w:p w14:paraId="6F0AA858">
      <w:pPr>
        <w:spacing w:before="163" w:line="226" w:lineRule="auto"/>
        <w:ind w:left="9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目前进行项目勘察设计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 w14:paraId="7C696983">
      <w:pPr>
        <w:spacing w:before="241" w:line="372" w:lineRule="auto"/>
        <w:ind w:left="37" w:firstLine="65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0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5</w:t>
      </w:r>
      <w:r>
        <w:rPr>
          <w:rFonts w:ascii="楷体" w:hAnsi="楷体" w:eastAsia="楷体" w:cs="楷体"/>
          <w:spacing w:val="10"/>
          <w:sz w:val="31"/>
          <w:szCs w:val="31"/>
        </w:rPr>
        <w:t>) 站房建设。</w:t>
      </w:r>
      <w:r>
        <w:rPr>
          <w:rFonts w:ascii="仿宋" w:hAnsi="仿宋" w:eastAsia="仿宋" w:cs="仿宋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一是</w:t>
      </w:r>
      <w:r>
        <w:rPr>
          <w:rFonts w:ascii="仿宋" w:hAnsi="仿宋" w:eastAsia="仿宋" w:cs="仿宋"/>
          <w:spacing w:val="10"/>
          <w:sz w:val="31"/>
          <w:szCs w:val="31"/>
        </w:rPr>
        <w:t>卫子机械化养护中心建设已完工，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并</w:t>
      </w:r>
      <w:r>
        <w:rPr>
          <w:rFonts w:ascii="仿宋" w:hAnsi="仿宋" w:eastAsia="仿宋" w:cs="仿宋"/>
          <w:spacing w:val="14"/>
          <w:sz w:val="31"/>
          <w:szCs w:val="31"/>
        </w:rPr>
        <w:t>已</w:t>
      </w:r>
      <w:r>
        <w:rPr>
          <w:rFonts w:ascii="仿宋" w:hAnsi="仿宋" w:eastAsia="仿宋" w:cs="仿宋"/>
          <w:spacing w:val="8"/>
          <w:sz w:val="31"/>
          <w:szCs w:val="31"/>
        </w:rPr>
        <w:t>交工验收。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二是</w:t>
      </w:r>
      <w:r>
        <w:rPr>
          <w:rFonts w:ascii="仿宋" w:hAnsi="仿宋" w:eastAsia="仿宋" w:cs="仿宋"/>
          <w:spacing w:val="8"/>
          <w:sz w:val="31"/>
          <w:szCs w:val="31"/>
        </w:rPr>
        <w:t>对元坝养护站房进行了风貌塑造。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对</w:t>
      </w:r>
      <w:r>
        <w:rPr>
          <w:rFonts w:ascii="仿宋" w:hAnsi="仿宋" w:eastAsia="仿宋" w:cs="仿宋"/>
          <w:spacing w:val="12"/>
          <w:sz w:val="31"/>
          <w:szCs w:val="31"/>
        </w:rPr>
        <w:t>机</w:t>
      </w:r>
      <w:r>
        <w:rPr>
          <w:rFonts w:ascii="仿宋" w:hAnsi="仿宋" w:eastAsia="仿宋" w:cs="仿宋"/>
          <w:spacing w:val="8"/>
          <w:sz w:val="31"/>
          <w:szCs w:val="31"/>
        </w:rPr>
        <w:t>关办公楼厕所、档案室进行了改建，对机关办公楼外墙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进</w:t>
      </w:r>
      <w:r>
        <w:rPr>
          <w:rFonts w:ascii="仿宋" w:hAnsi="仿宋" w:eastAsia="仿宋" w:cs="仿宋"/>
          <w:spacing w:val="5"/>
          <w:sz w:val="31"/>
          <w:szCs w:val="31"/>
        </w:rPr>
        <w:t>行了风貌塑造。</w:t>
      </w:r>
    </w:p>
    <w:p w14:paraId="47DDE0AD">
      <w:pPr>
        <w:spacing w:before="1" w:line="373" w:lineRule="auto"/>
        <w:ind w:left="34" w:right="87" w:firstLine="646"/>
        <w:rPr>
          <w:rFonts w:ascii="Arial"/>
          <w:sz w:val="21"/>
        </w:rPr>
      </w:pPr>
      <w:r>
        <w:rPr>
          <w:rFonts w:ascii="楷体" w:hAnsi="楷体" w:eastAsia="楷体" w:cs="楷体"/>
          <w:spacing w:val="10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6</w:t>
      </w:r>
      <w:r>
        <w:rPr>
          <w:rFonts w:ascii="楷体" w:hAnsi="楷体" w:eastAsia="楷体" w:cs="楷体"/>
          <w:spacing w:val="10"/>
          <w:sz w:val="31"/>
          <w:szCs w:val="31"/>
        </w:rPr>
        <w:t>) 信息报送。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严格实行领导带班制度及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24 </w:t>
      </w:r>
      <w:r>
        <w:rPr>
          <w:rFonts w:ascii="仿宋" w:hAnsi="仿宋" w:eastAsia="仿宋" w:cs="仿宋"/>
          <w:spacing w:val="10"/>
          <w:sz w:val="31"/>
          <w:szCs w:val="31"/>
        </w:rPr>
        <w:t>小时防</w:t>
      </w:r>
      <w:r>
        <w:rPr>
          <w:rFonts w:ascii="仿宋" w:hAnsi="仿宋" w:eastAsia="仿宋" w:cs="仿宋"/>
          <w:spacing w:val="4"/>
          <w:sz w:val="31"/>
          <w:szCs w:val="31"/>
        </w:rPr>
        <w:t>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值班</w:t>
      </w:r>
      <w:r>
        <w:rPr>
          <w:rFonts w:ascii="仿宋" w:hAnsi="仿宋" w:eastAsia="仿宋" w:cs="仿宋"/>
          <w:spacing w:val="10"/>
          <w:sz w:val="31"/>
          <w:szCs w:val="31"/>
        </w:rPr>
        <w:t>制</w:t>
      </w:r>
      <w:r>
        <w:rPr>
          <w:rFonts w:ascii="仿宋" w:hAnsi="仿宋" w:eastAsia="仿宋" w:cs="仿宋"/>
          <w:spacing w:val="8"/>
          <w:sz w:val="31"/>
          <w:szCs w:val="31"/>
        </w:rPr>
        <w:t>度。值班期间，值班电话有专人值守，值班人员及时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收</w:t>
      </w:r>
      <w:r>
        <w:rPr>
          <w:rFonts w:ascii="仿宋" w:hAnsi="仿宋" w:eastAsia="仿宋" w:cs="仿宋"/>
          <w:spacing w:val="15"/>
          <w:sz w:val="31"/>
          <w:szCs w:val="31"/>
        </w:rPr>
        <w:t>听</w:t>
      </w:r>
      <w:r>
        <w:rPr>
          <w:rFonts w:ascii="仿宋" w:hAnsi="仿宋" w:eastAsia="仿宋" w:cs="仿宋"/>
          <w:spacing w:val="8"/>
          <w:sz w:val="31"/>
          <w:szCs w:val="31"/>
        </w:rPr>
        <w:t>和记录气象预报、水情警报，防汛工作有关人员保持手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机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24 </w:t>
      </w:r>
      <w:r>
        <w:rPr>
          <w:rFonts w:ascii="仿宋" w:hAnsi="仿宋" w:eastAsia="仿宋" w:cs="仿宋"/>
          <w:spacing w:val="5"/>
          <w:sz w:val="31"/>
          <w:szCs w:val="31"/>
        </w:rPr>
        <w:t>小时开机，确保信息畅通。 同时认真抓好信息和报表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的</w:t>
      </w:r>
      <w:r>
        <w:rPr>
          <w:rFonts w:ascii="仿宋" w:hAnsi="仿宋" w:eastAsia="仿宋" w:cs="仿宋"/>
          <w:spacing w:val="15"/>
          <w:sz w:val="31"/>
          <w:szCs w:val="31"/>
        </w:rPr>
        <w:t>报</w:t>
      </w:r>
      <w:r>
        <w:rPr>
          <w:rFonts w:ascii="仿宋" w:hAnsi="仿宋" w:eastAsia="仿宋" w:cs="仿宋"/>
          <w:spacing w:val="8"/>
          <w:sz w:val="31"/>
          <w:szCs w:val="31"/>
        </w:rPr>
        <w:t>送工作，落实专人负责，按照要求填写相关报表，及时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报送</w:t>
      </w:r>
      <w:r>
        <w:rPr>
          <w:rFonts w:ascii="仿宋" w:hAnsi="仿宋" w:eastAsia="仿宋" w:cs="仿宋"/>
          <w:spacing w:val="12"/>
          <w:sz w:val="31"/>
          <w:szCs w:val="31"/>
        </w:rPr>
        <w:t>上</w:t>
      </w:r>
      <w:r>
        <w:rPr>
          <w:rFonts w:ascii="仿宋" w:hAnsi="仿宋" w:eastAsia="仿宋" w:cs="仿宋"/>
          <w:spacing w:val="8"/>
          <w:sz w:val="31"/>
          <w:szCs w:val="31"/>
        </w:rPr>
        <w:t>级部门。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一是</w:t>
      </w:r>
      <w:r>
        <w:rPr>
          <w:rFonts w:ascii="仿宋" w:hAnsi="仿宋" w:eastAsia="仿宋" w:cs="仿宋"/>
          <w:spacing w:val="8"/>
          <w:sz w:val="31"/>
          <w:szCs w:val="31"/>
        </w:rPr>
        <w:t>做好路况信息报送工作。灾情发生后，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现场</w:t>
      </w:r>
      <w:r>
        <w:rPr>
          <w:rFonts w:ascii="仿宋" w:hAnsi="仿宋" w:eastAsia="仿宋" w:cs="仿宋"/>
          <w:spacing w:val="10"/>
          <w:sz w:val="31"/>
          <w:szCs w:val="31"/>
        </w:rPr>
        <w:t>巡</w:t>
      </w:r>
      <w:r>
        <w:rPr>
          <w:rFonts w:ascii="仿宋" w:hAnsi="仿宋" w:eastAsia="仿宋" w:cs="仿宋"/>
          <w:spacing w:val="8"/>
          <w:sz w:val="31"/>
          <w:szCs w:val="31"/>
        </w:rPr>
        <w:t>查人员立即将现场情况报告带班领导，将灾害情况按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规定</w:t>
      </w:r>
      <w:r>
        <w:rPr>
          <w:rFonts w:ascii="仿宋" w:hAnsi="仿宋" w:eastAsia="仿宋" w:cs="仿宋"/>
          <w:spacing w:val="12"/>
          <w:sz w:val="31"/>
          <w:szCs w:val="31"/>
        </w:rPr>
        <w:t>逐</w:t>
      </w:r>
      <w:r>
        <w:rPr>
          <w:rFonts w:ascii="仿宋" w:hAnsi="仿宋" w:eastAsia="仿宋" w:cs="仿宋"/>
          <w:spacing w:val="8"/>
          <w:sz w:val="31"/>
          <w:szCs w:val="31"/>
        </w:rPr>
        <w:t>级上报。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二是</w:t>
      </w:r>
      <w:r>
        <w:rPr>
          <w:rFonts w:ascii="仿宋" w:hAnsi="仿宋" w:eastAsia="仿宋" w:cs="仿宋"/>
          <w:spacing w:val="8"/>
          <w:sz w:val="31"/>
          <w:szCs w:val="31"/>
        </w:rPr>
        <w:t>做好灾损信息报送。按时上报水毁损失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统</w:t>
      </w:r>
      <w:r>
        <w:rPr>
          <w:rFonts w:ascii="仿宋" w:hAnsi="仿宋" w:eastAsia="仿宋" w:cs="仿宋"/>
          <w:spacing w:val="15"/>
          <w:sz w:val="31"/>
          <w:szCs w:val="31"/>
        </w:rPr>
        <w:t>计</w:t>
      </w:r>
      <w:r>
        <w:rPr>
          <w:rFonts w:ascii="仿宋" w:hAnsi="仿宋" w:eastAsia="仿宋" w:cs="仿宋"/>
          <w:spacing w:val="8"/>
          <w:sz w:val="31"/>
          <w:szCs w:val="31"/>
        </w:rPr>
        <w:t>报表和自然灾害损失统计表，及时更新信息，以便上级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部</w:t>
      </w:r>
      <w:r>
        <w:rPr>
          <w:rFonts w:ascii="仿宋" w:hAnsi="仿宋" w:eastAsia="仿宋" w:cs="仿宋"/>
          <w:spacing w:val="6"/>
          <w:sz w:val="31"/>
          <w:szCs w:val="31"/>
        </w:rPr>
        <w:t>门及时掌握情况。</w:t>
      </w:r>
    </w:p>
    <w:p w14:paraId="2DC81D1A">
      <w:pPr>
        <w:spacing w:before="101" w:line="416" w:lineRule="exact"/>
        <w:ind w:left="31"/>
        <w:outlineLvl w:val="1"/>
        <w:rPr>
          <w:rFonts w:ascii="Arial"/>
          <w:sz w:val="21"/>
        </w:rPr>
      </w:pPr>
      <w:bookmarkStart w:id="5" w:name="_Toc7533"/>
      <w:r>
        <w:rPr>
          <w:rFonts w:ascii="黑体" w:hAnsi="黑体" w:eastAsia="黑体" w:cs="黑体"/>
          <w:spacing w:val="7"/>
          <w:position w:val="2"/>
          <w:sz w:val="31"/>
          <w:szCs w:val="31"/>
        </w:rPr>
        <w:t>二、机构设置</w:t>
      </w:r>
      <w:bookmarkEnd w:id="5"/>
    </w:p>
    <w:p w14:paraId="6827227F">
      <w:pPr>
        <w:spacing w:before="101" w:line="375" w:lineRule="auto"/>
        <w:ind w:left="35" w:right="2" w:firstLine="432"/>
        <w:rPr>
          <w:rFonts w:ascii="宋体" w:hAnsi="宋体" w:eastAsia="宋体" w:cs="宋体"/>
          <w:sz w:val="23"/>
          <w:szCs w:val="23"/>
        </w:rPr>
      </w:pPr>
      <w:r>
        <w:rPr>
          <w:rFonts w:ascii="仿宋" w:hAnsi="仿宋" w:eastAsia="仿宋" w:cs="仿宋"/>
          <w:spacing w:val="-2"/>
          <w:sz w:val="31"/>
          <w:szCs w:val="31"/>
        </w:rPr>
        <w:t>昭化区公路养护段是 1998 年 1 月经区机构编制委</w:t>
      </w:r>
      <w:r>
        <w:rPr>
          <w:rFonts w:ascii="仿宋" w:hAnsi="仿宋" w:eastAsia="仿宋" w:cs="仿宋"/>
          <w:spacing w:val="-1"/>
          <w:sz w:val="31"/>
          <w:szCs w:val="31"/>
        </w:rPr>
        <w:t>员</w:t>
      </w:r>
      <w:r>
        <w:rPr>
          <w:rFonts w:ascii="仿宋" w:hAnsi="仿宋" w:eastAsia="仿宋" w:cs="仿宋"/>
          <w:sz w:val="31"/>
          <w:szCs w:val="31"/>
        </w:rPr>
        <w:t xml:space="preserve">会批 </w:t>
      </w:r>
      <w:r>
        <w:rPr>
          <w:rFonts w:ascii="仿宋" w:hAnsi="仿宋" w:eastAsia="仿宋" w:cs="仿宋"/>
          <w:spacing w:val="4"/>
          <w:sz w:val="31"/>
          <w:szCs w:val="31"/>
        </w:rPr>
        <w:t>准成立的</w:t>
      </w:r>
      <w:r>
        <w:rPr>
          <w:rFonts w:ascii="仿宋" w:hAnsi="仿宋" w:eastAsia="仿宋" w:cs="仿宋"/>
          <w:spacing w:val="3"/>
          <w:sz w:val="31"/>
          <w:szCs w:val="31"/>
        </w:rPr>
        <w:t>正</w:t>
      </w:r>
      <w:r>
        <w:rPr>
          <w:rFonts w:ascii="仿宋" w:hAnsi="仿宋" w:eastAsia="仿宋" w:cs="仿宋"/>
          <w:spacing w:val="2"/>
          <w:sz w:val="31"/>
          <w:szCs w:val="31"/>
        </w:rPr>
        <w:t>科级事业单位，核定事业编制 111 个，现有在编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在</w:t>
      </w:r>
      <w:r>
        <w:rPr>
          <w:rFonts w:ascii="仿宋" w:hAnsi="仿宋" w:eastAsia="仿宋" w:cs="仿宋"/>
          <w:spacing w:val="-9"/>
          <w:sz w:val="31"/>
          <w:szCs w:val="31"/>
        </w:rPr>
        <w:t>岗事业人员 83 人，退休职工 98 人，享受医嘱补助 19 人，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聘请农村公</w:t>
      </w:r>
      <w:r>
        <w:rPr>
          <w:rFonts w:ascii="仿宋" w:hAnsi="仿宋" w:eastAsia="仿宋" w:cs="仿宋"/>
          <w:spacing w:val="4"/>
          <w:sz w:val="31"/>
          <w:szCs w:val="31"/>
        </w:rPr>
        <w:t>路</w:t>
      </w:r>
      <w:r>
        <w:rPr>
          <w:rFonts w:ascii="仿宋" w:hAnsi="仿宋" w:eastAsia="仿宋" w:cs="仿宋"/>
          <w:spacing w:val="3"/>
          <w:sz w:val="31"/>
          <w:szCs w:val="31"/>
        </w:rPr>
        <w:t>养护人员 (群养人员) 183 人</w:t>
      </w:r>
      <w:r>
        <w:rPr>
          <w:rFonts w:ascii="宋体" w:hAnsi="宋体" w:eastAsia="宋体" w:cs="宋体"/>
          <w:spacing w:val="3"/>
          <w:sz w:val="23"/>
          <w:szCs w:val="23"/>
        </w:rPr>
        <w:t>。</w:t>
      </w:r>
    </w:p>
    <w:p w14:paraId="1F79A440">
      <w:pPr>
        <w:sectPr>
          <w:footerReference r:id="rId10" w:type="default"/>
          <w:pgSz w:w="11906" w:h="16839"/>
          <w:pgMar w:top="1431" w:right="1709" w:bottom="1378" w:left="1785" w:header="0" w:footer="1215" w:gutter="0"/>
          <w:cols w:space="720" w:num="1"/>
        </w:sectPr>
      </w:pPr>
    </w:p>
    <w:p w14:paraId="4A568636">
      <w:pPr>
        <w:spacing w:line="245" w:lineRule="auto"/>
        <w:rPr>
          <w:rFonts w:ascii="Arial"/>
          <w:sz w:val="21"/>
        </w:rPr>
      </w:pPr>
    </w:p>
    <w:p w14:paraId="279E0BFC">
      <w:pPr>
        <w:spacing w:line="245" w:lineRule="auto"/>
        <w:rPr>
          <w:rFonts w:ascii="Arial"/>
          <w:sz w:val="21"/>
        </w:rPr>
      </w:pPr>
    </w:p>
    <w:p w14:paraId="608B111A">
      <w:pPr>
        <w:spacing w:line="245" w:lineRule="auto"/>
        <w:rPr>
          <w:rFonts w:ascii="Arial"/>
          <w:sz w:val="21"/>
        </w:rPr>
      </w:pPr>
    </w:p>
    <w:p w14:paraId="3E97E2B4">
      <w:pPr>
        <w:spacing w:line="246" w:lineRule="auto"/>
        <w:rPr>
          <w:rFonts w:ascii="Arial"/>
          <w:sz w:val="21"/>
        </w:rPr>
      </w:pPr>
    </w:p>
    <w:p w14:paraId="20C2444B">
      <w:pPr>
        <w:spacing w:before="140" w:line="225" w:lineRule="auto"/>
        <w:ind w:left="528"/>
        <w:outlineLvl w:val="0"/>
        <w:rPr>
          <w:rFonts w:ascii="黑体" w:hAnsi="黑体" w:eastAsia="黑体" w:cs="黑体"/>
          <w:sz w:val="43"/>
          <w:szCs w:val="43"/>
        </w:rPr>
      </w:pPr>
      <w:bookmarkStart w:id="6" w:name="_Toc7393"/>
      <w:r>
        <w:rPr>
          <w:rFonts w:ascii="黑体" w:hAnsi="黑体" w:eastAsia="黑体" w:cs="黑体"/>
          <w:spacing w:val="2"/>
          <w:sz w:val="43"/>
          <w:szCs w:val="43"/>
        </w:rPr>
        <w:t>第二部分 2020 年度部门决算情况说明</w:t>
      </w:r>
      <w:bookmarkEnd w:id="6"/>
    </w:p>
    <w:p w14:paraId="142490D1">
      <w:pPr>
        <w:spacing w:line="271" w:lineRule="auto"/>
        <w:rPr>
          <w:rFonts w:ascii="Arial"/>
          <w:sz w:val="21"/>
        </w:rPr>
      </w:pPr>
    </w:p>
    <w:p w14:paraId="57F68367">
      <w:pPr>
        <w:spacing w:line="272" w:lineRule="auto"/>
        <w:rPr>
          <w:rFonts w:ascii="Arial"/>
          <w:sz w:val="21"/>
        </w:rPr>
      </w:pPr>
    </w:p>
    <w:p w14:paraId="0002591E">
      <w:pPr>
        <w:spacing w:line="272" w:lineRule="auto"/>
        <w:rPr>
          <w:rFonts w:ascii="Arial"/>
          <w:sz w:val="21"/>
        </w:rPr>
      </w:pPr>
    </w:p>
    <w:p w14:paraId="348C7DFD">
      <w:pPr>
        <w:spacing w:before="101" w:line="226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bookmarkStart w:id="7" w:name="_Toc25568"/>
      <w:r>
        <w:rPr>
          <w:rFonts w:ascii="黑体" w:hAnsi="黑体" w:eastAsia="黑体" w:cs="黑体"/>
          <w:spacing w:val="3"/>
          <w:sz w:val="31"/>
          <w:szCs w:val="31"/>
        </w:rPr>
        <w:t>一、 收入支出决算总体情况说</w:t>
      </w:r>
      <w:r>
        <w:rPr>
          <w:rFonts w:ascii="黑体" w:hAnsi="黑体" w:eastAsia="黑体" w:cs="黑体"/>
          <w:spacing w:val="2"/>
          <w:sz w:val="31"/>
          <w:szCs w:val="31"/>
        </w:rPr>
        <w:t>明</w:t>
      </w:r>
      <w:bookmarkEnd w:id="7"/>
    </w:p>
    <w:p w14:paraId="477E1DCB">
      <w:pPr>
        <w:spacing w:before="221" w:line="357" w:lineRule="auto"/>
        <w:ind w:left="35" w:right="86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2020 年度收支总计 1845.22 万元。与 2019 年相</w:t>
      </w:r>
      <w:r>
        <w:rPr>
          <w:rFonts w:ascii="仿宋" w:hAnsi="仿宋" w:eastAsia="仿宋" w:cs="仿宋"/>
          <w:spacing w:val="-1"/>
          <w:sz w:val="31"/>
          <w:szCs w:val="31"/>
        </w:rPr>
        <w:t>比</w:t>
      </w:r>
      <w:r>
        <w:rPr>
          <w:rFonts w:ascii="仿宋" w:hAnsi="仿宋" w:eastAsia="仿宋" w:cs="仿宋"/>
          <w:sz w:val="31"/>
          <w:szCs w:val="31"/>
        </w:rPr>
        <w:t xml:space="preserve">，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收支总计增加 </w:t>
      </w:r>
      <w:r>
        <w:rPr>
          <w:rFonts w:ascii="仿宋" w:hAnsi="仿宋" w:eastAsia="仿宋" w:cs="仿宋"/>
          <w:spacing w:val="-3"/>
          <w:sz w:val="31"/>
          <w:szCs w:val="31"/>
        </w:rPr>
        <w:t>2</w:t>
      </w:r>
      <w:r>
        <w:rPr>
          <w:rFonts w:ascii="仿宋" w:hAnsi="仿宋" w:eastAsia="仿宋" w:cs="仿宋"/>
          <w:spacing w:val="-2"/>
          <w:sz w:val="31"/>
          <w:szCs w:val="31"/>
        </w:rPr>
        <w:t>29.57 万元，增加 12.4%。主要变动原因是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机养中心改建项目建设。</w:t>
      </w:r>
    </w:p>
    <w:p w14:paraId="4BDD18BD">
      <w:pPr>
        <w:spacing w:line="226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bookmarkStart w:id="8" w:name="_Toc32060"/>
      <w:r>
        <w:rPr>
          <w:rFonts w:ascii="黑体" w:hAnsi="黑体" w:eastAsia="黑体" w:cs="黑体"/>
          <w:spacing w:val="1"/>
          <w:sz w:val="31"/>
          <w:szCs w:val="31"/>
        </w:rPr>
        <w:t>二、 收入</w:t>
      </w:r>
      <w:r>
        <w:rPr>
          <w:rFonts w:ascii="黑体" w:hAnsi="黑体" w:eastAsia="黑体" w:cs="黑体"/>
          <w:sz w:val="31"/>
          <w:szCs w:val="31"/>
        </w:rPr>
        <w:t>决算情况说明</w:t>
      </w:r>
      <w:bookmarkEnd w:id="8"/>
    </w:p>
    <w:p w14:paraId="25B99308">
      <w:pPr>
        <w:spacing w:before="222" w:line="357" w:lineRule="auto"/>
        <w:ind w:left="35" w:right="86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20</w:t>
      </w:r>
      <w:r>
        <w:rPr>
          <w:rFonts w:ascii="仿宋" w:hAnsi="仿宋" w:eastAsia="仿宋" w:cs="仿宋"/>
          <w:spacing w:val="-4"/>
          <w:sz w:val="31"/>
          <w:szCs w:val="31"/>
        </w:rPr>
        <w:t>2</w:t>
      </w:r>
      <w:r>
        <w:rPr>
          <w:rFonts w:ascii="仿宋" w:hAnsi="仿宋" w:eastAsia="仿宋" w:cs="仿宋"/>
          <w:spacing w:val="-3"/>
          <w:sz w:val="31"/>
          <w:szCs w:val="31"/>
        </w:rPr>
        <w:t>0 年本年收入合计 1845.22 万元，其中：一般公共预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算财政拨款收入 18</w:t>
      </w:r>
      <w:r>
        <w:rPr>
          <w:rFonts w:ascii="仿宋" w:hAnsi="仿宋" w:eastAsia="仿宋" w:cs="仿宋"/>
          <w:spacing w:val="-2"/>
          <w:sz w:val="31"/>
          <w:szCs w:val="31"/>
        </w:rPr>
        <w:t>45.22 万元，占 100%；政府性基金预算财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政拨</w:t>
      </w:r>
      <w:r>
        <w:rPr>
          <w:rFonts w:ascii="仿宋" w:hAnsi="仿宋" w:eastAsia="仿宋" w:cs="仿宋"/>
          <w:spacing w:val="-17"/>
          <w:sz w:val="31"/>
          <w:szCs w:val="31"/>
        </w:rPr>
        <w:t>款</w:t>
      </w:r>
      <w:r>
        <w:rPr>
          <w:rFonts w:ascii="仿宋" w:hAnsi="仿宋" w:eastAsia="仿宋" w:cs="仿宋"/>
          <w:spacing w:val="-11"/>
          <w:sz w:val="31"/>
          <w:szCs w:val="31"/>
        </w:rPr>
        <w:t>收入 0 万元，占 0%；上级补助收入 0 万元</w:t>
      </w:r>
      <w:r>
        <w:rPr>
          <w:rFonts w:hint="eastAsia" w:ascii="仿宋" w:hAnsi="仿宋" w:eastAsia="仿宋" w:cs="仿宋"/>
          <w:spacing w:val="-11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-11"/>
          <w:sz w:val="31"/>
          <w:szCs w:val="31"/>
        </w:rPr>
        <w:t>占 0%；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1"/>
          <w:sz w:val="31"/>
          <w:szCs w:val="31"/>
        </w:rPr>
        <w:t>事</w:t>
      </w:r>
      <w:r>
        <w:rPr>
          <w:rFonts w:ascii="仿宋" w:hAnsi="仿宋" w:eastAsia="仿宋" w:cs="仿宋"/>
          <w:spacing w:val="-11"/>
          <w:sz w:val="31"/>
          <w:szCs w:val="31"/>
        </w:rPr>
        <w:t>业收入 0 万元，占 0%；经营收入 0 万元，占 0%；附属单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9"/>
          <w:sz w:val="31"/>
          <w:szCs w:val="31"/>
        </w:rPr>
        <w:t>位</w:t>
      </w:r>
      <w:r>
        <w:rPr>
          <w:rFonts w:ascii="仿宋" w:hAnsi="仿宋" w:eastAsia="仿宋" w:cs="仿宋"/>
          <w:spacing w:val="-17"/>
          <w:sz w:val="31"/>
          <w:szCs w:val="31"/>
        </w:rPr>
        <w:t>上缴收入 0 万元，占 0%；其他收入 0 万元，占 0%。</w:t>
      </w:r>
    </w:p>
    <w:p w14:paraId="5AA9528B">
      <w:pPr>
        <w:spacing w:before="1" w:line="226" w:lineRule="auto"/>
        <w:ind w:left="673"/>
        <w:outlineLvl w:val="1"/>
        <w:rPr>
          <w:rFonts w:ascii="黑体" w:hAnsi="黑体" w:eastAsia="黑体" w:cs="黑体"/>
          <w:sz w:val="31"/>
          <w:szCs w:val="31"/>
        </w:rPr>
      </w:pPr>
      <w:bookmarkStart w:id="9" w:name="_Toc27339"/>
      <w:r>
        <w:rPr>
          <w:rFonts w:ascii="黑体" w:hAnsi="黑体" w:eastAsia="黑体" w:cs="黑体"/>
          <w:spacing w:val="1"/>
          <w:sz w:val="31"/>
          <w:szCs w:val="31"/>
        </w:rPr>
        <w:t>三、 支</w:t>
      </w:r>
      <w:r>
        <w:rPr>
          <w:rFonts w:ascii="黑体" w:hAnsi="黑体" w:eastAsia="黑体" w:cs="黑体"/>
          <w:sz w:val="31"/>
          <w:szCs w:val="31"/>
        </w:rPr>
        <w:t>出决算情况说明</w:t>
      </w:r>
      <w:bookmarkEnd w:id="9"/>
    </w:p>
    <w:p w14:paraId="74C59B15">
      <w:pPr>
        <w:spacing w:before="222" w:line="357" w:lineRule="auto"/>
        <w:ind w:left="37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202</w:t>
      </w:r>
      <w:r>
        <w:rPr>
          <w:rFonts w:ascii="仿宋" w:hAnsi="仿宋" w:eastAsia="仿宋" w:cs="仿宋"/>
          <w:spacing w:val="10"/>
          <w:sz w:val="31"/>
          <w:szCs w:val="31"/>
        </w:rPr>
        <w:t>0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年本年支出合计 1605.25 万元，其中：基本支出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13</w:t>
      </w:r>
      <w:r>
        <w:rPr>
          <w:rFonts w:ascii="仿宋" w:hAnsi="仿宋" w:eastAsia="仿宋" w:cs="仿宋"/>
          <w:spacing w:val="-10"/>
          <w:sz w:val="31"/>
          <w:szCs w:val="31"/>
        </w:rPr>
        <w:t>5</w:t>
      </w:r>
      <w:r>
        <w:rPr>
          <w:rFonts w:ascii="仿宋" w:hAnsi="仿宋" w:eastAsia="仿宋" w:cs="仿宋"/>
          <w:spacing w:val="-7"/>
          <w:sz w:val="31"/>
          <w:szCs w:val="31"/>
        </w:rPr>
        <w:t>5.28 万元</w:t>
      </w:r>
      <w:r>
        <w:rPr>
          <w:rFonts w:hint="eastAsia" w:ascii="仿宋" w:hAnsi="仿宋" w:eastAsia="仿宋" w:cs="仿宋"/>
          <w:spacing w:val="-7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-7"/>
          <w:sz w:val="31"/>
          <w:szCs w:val="31"/>
        </w:rPr>
        <w:t>占 84.4%；项目支出 249.97 万元</w:t>
      </w:r>
      <w:r>
        <w:rPr>
          <w:rFonts w:hint="eastAsia" w:ascii="仿宋" w:hAnsi="仿宋" w:eastAsia="仿宋" w:cs="仿宋"/>
          <w:spacing w:val="-7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-7"/>
          <w:sz w:val="31"/>
          <w:szCs w:val="31"/>
        </w:rPr>
        <w:t>占 15.6%；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上</w:t>
      </w:r>
      <w:r>
        <w:rPr>
          <w:rFonts w:ascii="仿宋" w:hAnsi="仿宋" w:eastAsia="仿宋" w:cs="仿宋"/>
          <w:spacing w:val="-15"/>
          <w:sz w:val="31"/>
          <w:szCs w:val="31"/>
        </w:rPr>
        <w:t>缴</w:t>
      </w:r>
      <w:r>
        <w:rPr>
          <w:rFonts w:ascii="仿宋" w:hAnsi="仿宋" w:eastAsia="仿宋" w:cs="仿宋"/>
          <w:spacing w:val="-11"/>
          <w:sz w:val="31"/>
          <w:szCs w:val="31"/>
        </w:rPr>
        <w:t>上级支出 0 万元</w:t>
      </w:r>
      <w:r>
        <w:rPr>
          <w:rFonts w:hint="eastAsia" w:ascii="仿宋" w:hAnsi="仿宋" w:eastAsia="仿宋" w:cs="仿宋"/>
          <w:spacing w:val="-11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-11"/>
          <w:sz w:val="31"/>
          <w:szCs w:val="31"/>
        </w:rPr>
        <w:t>占 0%；经营支出 0 万元，占 0%；对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附</w:t>
      </w:r>
      <w:r>
        <w:rPr>
          <w:rFonts w:ascii="仿宋" w:hAnsi="仿宋" w:eastAsia="仿宋" w:cs="仿宋"/>
          <w:spacing w:val="-13"/>
          <w:sz w:val="31"/>
          <w:szCs w:val="31"/>
        </w:rPr>
        <w:t>属单位补助支出 0 万元，占 0%。</w:t>
      </w:r>
    </w:p>
    <w:p w14:paraId="202109F6">
      <w:pPr>
        <w:spacing w:line="232" w:lineRule="auto"/>
        <w:ind w:left="686"/>
        <w:outlineLvl w:val="1"/>
        <w:rPr>
          <w:rFonts w:ascii="黑体" w:hAnsi="黑体" w:eastAsia="黑体" w:cs="黑体"/>
          <w:sz w:val="31"/>
          <w:szCs w:val="31"/>
        </w:rPr>
      </w:pPr>
      <w:bookmarkStart w:id="10" w:name="_Toc10019"/>
      <w:r>
        <w:rPr>
          <w:rFonts w:ascii="黑体" w:hAnsi="黑体" w:eastAsia="黑体" w:cs="黑体"/>
          <w:spacing w:val="12"/>
          <w:sz w:val="31"/>
          <w:szCs w:val="31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、财政拨款收入支出决算总体情况说明</w:t>
      </w:r>
      <w:bookmarkEnd w:id="10"/>
    </w:p>
    <w:p w14:paraId="0B2DDABF">
      <w:pPr>
        <w:spacing w:before="208" w:line="363" w:lineRule="auto"/>
        <w:ind w:left="37" w:right="86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 xml:space="preserve">2020 年财政拨款收支总计 1845.22 万元。与 2019 </w:t>
      </w:r>
      <w:r>
        <w:rPr>
          <w:rFonts w:ascii="仿宋" w:hAnsi="仿宋" w:eastAsia="仿宋" w:cs="仿宋"/>
          <w:sz w:val="31"/>
          <w:szCs w:val="31"/>
        </w:rPr>
        <w:t xml:space="preserve">年 </w:t>
      </w:r>
      <w:r>
        <w:rPr>
          <w:rFonts w:ascii="仿宋" w:hAnsi="仿宋" w:eastAsia="仿宋" w:cs="仿宋"/>
          <w:spacing w:val="14"/>
          <w:sz w:val="31"/>
          <w:szCs w:val="31"/>
        </w:rPr>
        <w:t>相</w:t>
      </w:r>
      <w:r>
        <w:rPr>
          <w:rFonts w:ascii="仿宋" w:hAnsi="仿宋" w:eastAsia="仿宋" w:cs="仿宋"/>
          <w:spacing w:val="12"/>
          <w:sz w:val="31"/>
          <w:szCs w:val="31"/>
        </w:rPr>
        <w:t>比</w:t>
      </w:r>
      <w:r>
        <w:rPr>
          <w:rFonts w:ascii="仿宋" w:hAnsi="仿宋" w:eastAsia="仿宋" w:cs="仿宋"/>
          <w:spacing w:val="7"/>
          <w:sz w:val="31"/>
          <w:szCs w:val="31"/>
        </w:rPr>
        <w:t>，财政拨款收支总计各增加 229.57 万元，增长主要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变动原因是机养中心改建项目建设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12C3B0B4">
      <w:pPr>
        <w:sectPr>
          <w:footerReference r:id="rId11" w:type="default"/>
          <w:pgSz w:w="11906" w:h="16839"/>
          <w:pgMar w:top="1431" w:right="1713" w:bottom="1378" w:left="1785" w:header="0" w:footer="1215" w:gutter="0"/>
          <w:cols w:space="720" w:num="1"/>
        </w:sectPr>
      </w:pPr>
    </w:p>
    <w:p w14:paraId="1217285E">
      <w:pPr>
        <w:spacing w:before="216" w:line="226" w:lineRule="auto"/>
        <w:ind w:left="675"/>
        <w:outlineLvl w:val="1"/>
        <w:rPr>
          <w:rFonts w:ascii="黑体" w:hAnsi="黑体" w:eastAsia="黑体" w:cs="黑体"/>
          <w:sz w:val="31"/>
          <w:szCs w:val="31"/>
        </w:rPr>
      </w:pPr>
      <w:bookmarkStart w:id="11" w:name="_Toc3389"/>
      <w:r>
        <w:rPr>
          <w:rFonts w:ascii="黑体" w:hAnsi="黑体" w:eastAsia="黑体" w:cs="黑体"/>
          <w:spacing w:val="9"/>
          <w:sz w:val="31"/>
          <w:szCs w:val="31"/>
        </w:rPr>
        <w:t>五、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黑体" w:hAnsi="黑体" w:eastAsia="黑体" w:cs="黑体"/>
          <w:spacing w:val="9"/>
          <w:sz w:val="31"/>
          <w:szCs w:val="31"/>
        </w:rPr>
        <w:t>般公共预算财政拨款支出决算情况说</w:t>
      </w:r>
      <w:r>
        <w:rPr>
          <w:rFonts w:ascii="黑体" w:hAnsi="黑体" w:eastAsia="黑体" w:cs="黑体"/>
          <w:spacing w:val="5"/>
          <w:sz w:val="31"/>
          <w:szCs w:val="31"/>
        </w:rPr>
        <w:t>明</w:t>
      </w:r>
      <w:bookmarkEnd w:id="11"/>
    </w:p>
    <w:p w14:paraId="53EE7EF1">
      <w:pPr>
        <w:spacing w:before="220" w:line="229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一般公共预算财政拨款支出决算总体情况</w:t>
      </w:r>
    </w:p>
    <w:p w14:paraId="7E78FD5D">
      <w:pPr>
        <w:spacing w:before="217" w:line="357" w:lineRule="auto"/>
        <w:ind w:left="34" w:right="113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20</w:t>
      </w:r>
      <w:r>
        <w:rPr>
          <w:rFonts w:ascii="仿宋" w:hAnsi="仿宋" w:eastAsia="仿宋" w:cs="仿宋"/>
          <w:spacing w:val="-4"/>
          <w:sz w:val="31"/>
          <w:szCs w:val="31"/>
        </w:rPr>
        <w:t>2</w:t>
      </w:r>
      <w:r>
        <w:rPr>
          <w:rFonts w:ascii="仿宋" w:hAnsi="仿宋" w:eastAsia="仿宋" w:cs="仿宋"/>
          <w:spacing w:val="-3"/>
          <w:sz w:val="31"/>
          <w:szCs w:val="31"/>
        </w:rPr>
        <w:t>0 年一般公共预算财政拨款支出 1605.25 万元，占本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年支</w:t>
      </w:r>
      <w:r>
        <w:rPr>
          <w:rFonts w:ascii="仿宋" w:hAnsi="仿宋" w:eastAsia="仿宋" w:cs="仿宋"/>
          <w:spacing w:val="2"/>
          <w:sz w:val="31"/>
          <w:szCs w:val="31"/>
        </w:rPr>
        <w:t>出合计的 100%。与 2019 年相比，一般公共预算财政拨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款增加 571.8</w:t>
      </w:r>
      <w:r>
        <w:rPr>
          <w:rFonts w:ascii="仿宋" w:hAnsi="仿宋" w:eastAsia="仿宋" w:cs="仿宋"/>
          <w:spacing w:val="-3"/>
          <w:sz w:val="31"/>
          <w:szCs w:val="31"/>
        </w:rPr>
        <w:t>1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万元，增长 35.6%。主要变动原因是机养中心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改</w:t>
      </w:r>
      <w:r>
        <w:rPr>
          <w:rFonts w:ascii="仿宋" w:hAnsi="仿宋" w:eastAsia="仿宋" w:cs="仿宋"/>
          <w:spacing w:val="7"/>
          <w:sz w:val="31"/>
          <w:szCs w:val="31"/>
        </w:rPr>
        <w:t>建项目建设和人员增加。</w:t>
      </w:r>
    </w:p>
    <w:p w14:paraId="15021DFA">
      <w:pPr>
        <w:spacing w:line="229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一般公共预算财政拨款支出决算结构情况</w:t>
      </w:r>
    </w:p>
    <w:p w14:paraId="5AC8B9C7">
      <w:pPr>
        <w:spacing w:before="217" w:line="357" w:lineRule="auto"/>
        <w:ind w:left="25" w:right="27" w:firstLine="643"/>
        <w:rPr>
          <w:rFonts w:hint="eastAsia" w:ascii="仿宋" w:hAnsi="仿宋" w:eastAsia="宋体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6"/>
          <w:sz w:val="31"/>
          <w:szCs w:val="31"/>
        </w:rPr>
        <w:t>20</w:t>
      </w:r>
      <w:r>
        <w:rPr>
          <w:rFonts w:ascii="仿宋" w:hAnsi="仿宋" w:eastAsia="仿宋" w:cs="仿宋"/>
          <w:spacing w:val="-4"/>
          <w:sz w:val="31"/>
          <w:szCs w:val="31"/>
        </w:rPr>
        <w:t>2</w:t>
      </w:r>
      <w:r>
        <w:rPr>
          <w:rFonts w:ascii="仿宋" w:hAnsi="仿宋" w:eastAsia="仿宋" w:cs="仿宋"/>
          <w:spacing w:val="-3"/>
          <w:sz w:val="31"/>
          <w:szCs w:val="31"/>
        </w:rPr>
        <w:t>0 年一般公共预算财政拨款支出 1605.25 万元，主要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用于以下方面:</w:t>
      </w:r>
      <w:r>
        <w:rPr>
          <w:rFonts w:ascii="仿宋" w:hAnsi="仿宋" w:eastAsia="仿宋" w:cs="仿宋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社会保障和就业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(类)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支出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115. 1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9 </w:t>
      </w:r>
      <w:r>
        <w:rPr>
          <w:rFonts w:ascii="仿宋" w:hAnsi="仿宋" w:eastAsia="仿宋" w:cs="仿宋"/>
          <w:spacing w:val="-1"/>
          <w:sz w:val="31"/>
          <w:szCs w:val="31"/>
        </w:rPr>
        <w:t>万元， 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7.2%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；</w:t>
      </w:r>
      <w:r>
        <w:rPr>
          <w:rFonts w:ascii="仿宋" w:hAnsi="仿宋" w:eastAsia="仿宋" w:cs="仿宋"/>
          <w:spacing w:val="-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卫生健康支出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43.65 </w:t>
      </w:r>
      <w:r>
        <w:rPr>
          <w:rFonts w:ascii="仿宋" w:hAnsi="仿宋" w:eastAsia="仿宋" w:cs="仿宋"/>
          <w:spacing w:val="-3"/>
          <w:sz w:val="31"/>
          <w:szCs w:val="31"/>
        </w:rPr>
        <w:t>万元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占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2.7% </w:t>
      </w:r>
      <w:r>
        <w:rPr>
          <w:rFonts w:ascii="仿宋" w:hAnsi="仿宋" w:eastAsia="仿宋" w:cs="仿宋"/>
          <w:spacing w:val="-3"/>
          <w:sz w:val="31"/>
          <w:szCs w:val="31"/>
        </w:rPr>
        <w:t>；</w:t>
      </w:r>
      <w:r>
        <w:rPr>
          <w:rFonts w:ascii="仿宋" w:hAnsi="仿宋" w:eastAsia="仿宋" w:cs="仿宋"/>
          <w:spacing w:val="-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交通运输支出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8"/>
          <w:sz w:val="31"/>
          <w:szCs w:val="31"/>
        </w:rPr>
        <w:t>137</w:t>
      </w:r>
      <w:r>
        <w:rPr>
          <w:rFonts w:ascii="Times New Roman" w:hAnsi="Times New Roman" w:eastAsia="Times New Roman" w:cs="Times New Roman"/>
          <w:b/>
          <w:bCs/>
          <w:spacing w:val="-9"/>
          <w:sz w:val="31"/>
          <w:szCs w:val="31"/>
        </w:rPr>
        <w:t>0.43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万元，占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9"/>
          <w:sz w:val="31"/>
          <w:szCs w:val="31"/>
        </w:rPr>
        <w:t>85.4%</w:t>
      </w:r>
      <w:r>
        <w:rPr>
          <w:rFonts w:ascii="仿宋" w:hAnsi="仿宋" w:eastAsia="仿宋" w:cs="仿宋"/>
          <w:spacing w:val="-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，住房保障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支出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 xml:space="preserve">75.98 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万元，占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4.7%</w:t>
      </w:r>
      <w:r>
        <w:rPr>
          <w:rFonts w:hint="eastAsia" w:ascii="仿宋" w:hAnsi="仿宋" w:eastAsia="仿宋" w:cs="仿宋"/>
          <w:spacing w:val="-9"/>
          <w:sz w:val="31"/>
          <w:szCs w:val="31"/>
          <w:lang w:eastAsia="zh-CN"/>
        </w:rPr>
        <w:t>。</w:t>
      </w:r>
    </w:p>
    <w:p w14:paraId="54F9B51E">
      <w:pPr>
        <w:spacing w:line="229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三)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一般公共预算财政拨款支出决算具体情况</w:t>
      </w:r>
    </w:p>
    <w:p w14:paraId="6EFBF538">
      <w:pPr>
        <w:spacing w:before="213" w:line="352" w:lineRule="auto"/>
        <w:ind w:left="48" w:right="106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2020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年一般公共预算支出决算数为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1605.25</w:t>
      </w:r>
      <w:r>
        <w:rPr>
          <w:rFonts w:ascii="仿宋" w:hAnsi="仿宋" w:eastAsia="仿宋" w:cs="仿宋"/>
          <w:spacing w:val="2"/>
          <w:sz w:val="31"/>
          <w:szCs w:val="31"/>
        </w:rPr>
        <w:t>，</w:t>
      </w: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完成预</w:t>
      </w:r>
      <w:r>
        <w:rPr>
          <w:rFonts w:ascii="仿宋" w:hAnsi="仿宋" w:eastAsia="仿宋" w:cs="仿宋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100%。其中</w:t>
      </w: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29397252">
      <w:pPr>
        <w:spacing w:line="343" w:lineRule="auto"/>
        <w:ind w:left="37" w:right="105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1.社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会</w:t>
      </w: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保障和就业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(类)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行政事业单位离退休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(款)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关事业单位基本养老保险缴费支出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(项)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31"/>
          <w:szCs w:val="31"/>
        </w:rPr>
        <w:t>: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支出决算为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115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. 19 </w:t>
      </w:r>
      <w:r>
        <w:rPr>
          <w:rFonts w:ascii="仿宋" w:hAnsi="仿宋" w:eastAsia="仿宋" w:cs="仿宋"/>
          <w:spacing w:val="-1"/>
          <w:sz w:val="31"/>
          <w:szCs w:val="31"/>
        </w:rPr>
        <w:t>万元，完成预</w:t>
      </w:r>
      <w:r>
        <w:rPr>
          <w:rFonts w:ascii="仿宋" w:hAnsi="仿宋" w:eastAsia="仿宋" w:cs="仿宋"/>
          <w:sz w:val="31"/>
          <w:szCs w:val="31"/>
        </w:rPr>
        <w:t xml:space="preserve">算 </w:t>
      </w:r>
      <w:r>
        <w:rPr>
          <w:rFonts w:ascii="Times New Roman" w:hAnsi="Times New Roman" w:eastAsia="Times New Roman" w:cs="Times New Roman"/>
          <w:sz w:val="31"/>
          <w:szCs w:val="31"/>
        </w:rPr>
        <w:t>100%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30CE0A62">
      <w:pPr>
        <w:spacing w:line="343" w:lineRule="auto"/>
        <w:ind w:left="37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医</w:t>
      </w:r>
      <w:r>
        <w:rPr>
          <w:rFonts w:ascii="仿宋" w:hAnsi="仿宋" w:eastAsia="仿宋" w:cs="仿宋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疗</w:t>
      </w: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卫生与计划生育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(类)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行政事业单位医疗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(款)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行</w:t>
      </w:r>
      <w:r>
        <w:rPr>
          <w:rFonts w:ascii="仿宋" w:hAnsi="仿宋" w:eastAsia="仿宋" w:cs="仿宋"/>
          <w:spacing w:val="-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政单位医疗(项)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  <w:sz w:val="31"/>
          <w:szCs w:val="31"/>
        </w:rPr>
        <w:t>: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支出决算为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43.65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万元，完成预算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100%</w:t>
      </w:r>
      <w:r>
        <w:rPr>
          <w:rFonts w:ascii="仿宋" w:hAnsi="仿宋" w:eastAsia="仿宋" w:cs="仿宋"/>
          <w:spacing w:val="-5"/>
          <w:sz w:val="31"/>
          <w:szCs w:val="31"/>
        </w:rPr>
        <w:t>。</w:t>
      </w:r>
    </w:p>
    <w:p w14:paraId="21A7E7AF">
      <w:pPr>
        <w:spacing w:line="343" w:lineRule="auto"/>
        <w:ind w:left="40" w:right="111" w:firstLine="62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.  </w:t>
      </w: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住房保障支出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(类)：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支出决算数为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75.98 </w:t>
      </w:r>
      <w:r>
        <w:rPr>
          <w:rFonts w:ascii="仿宋" w:hAnsi="仿宋" w:eastAsia="仿宋" w:cs="仿宋"/>
          <w:spacing w:val="4"/>
          <w:sz w:val="31"/>
          <w:szCs w:val="31"/>
        </w:rPr>
        <w:t>万元，完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成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预算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100%</w:t>
      </w:r>
      <w:r>
        <w:rPr>
          <w:rFonts w:ascii="仿宋" w:hAnsi="仿宋" w:eastAsia="仿宋" w:cs="仿宋"/>
          <w:spacing w:val="-5"/>
          <w:sz w:val="31"/>
          <w:szCs w:val="31"/>
        </w:rPr>
        <w:t>。</w:t>
      </w:r>
    </w:p>
    <w:p w14:paraId="1B4EE571">
      <w:pPr>
        <w:spacing w:before="3" w:line="352" w:lineRule="auto"/>
        <w:ind w:left="39" w:right="109" w:firstLine="702"/>
        <w:rPr>
          <w:rFonts w:hint="eastAsia" w:eastAsia="宋体"/>
          <w:lang w:eastAsia="zh-CN"/>
        </w:rPr>
        <w:sectPr>
          <w:footerReference r:id="rId12" w:type="default"/>
          <w:pgSz w:w="11906" w:h="16839"/>
          <w:pgMar w:top="1431" w:right="1688" w:bottom="1378" w:left="1785" w:header="0" w:footer="1215" w:gutter="0"/>
          <w:cols w:space="720" w:num="1"/>
        </w:sectPr>
      </w:pPr>
      <w:r>
        <w:rPr>
          <w:rFonts w:ascii="宋体" w:hAnsi="宋体" w:eastAsia="宋体" w:cs="宋体"/>
          <w:spacing w:val="19"/>
          <w:sz w:val="23"/>
          <w:szCs w:val="23"/>
        </w:rPr>
        <w:t xml:space="preserve">4 </w:t>
      </w:r>
      <w:r>
        <w:rPr>
          <w:rFonts w:ascii="仿宋" w:hAnsi="仿宋" w:eastAsia="仿宋" w:cs="仿宋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一般公共服务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(类)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公路水路运输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(款)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公路养</w:t>
      </w:r>
      <w:r>
        <w:rPr>
          <w:rFonts w:ascii="仿宋" w:hAnsi="仿宋" w:eastAsia="仿宋" w:cs="仿宋"/>
          <w:spacing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(项)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: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支出决算为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1370.43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万元，完成预算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100%</w:t>
      </w:r>
      <w:r>
        <w:rPr>
          <w:rFonts w:hint="eastAsia" w:ascii="Times New Roman" w:hAnsi="Times New Roman" w:eastAsia="宋体" w:cs="Times New Roman"/>
          <w:spacing w:val="6"/>
          <w:sz w:val="31"/>
          <w:szCs w:val="31"/>
          <w:lang w:eastAsia="zh-CN"/>
        </w:rPr>
        <w:t>。</w:t>
      </w:r>
    </w:p>
    <w:p w14:paraId="0ADE1338">
      <w:pPr>
        <w:spacing w:line="262" w:lineRule="auto"/>
        <w:rPr>
          <w:rFonts w:ascii="Arial"/>
          <w:sz w:val="21"/>
        </w:rPr>
      </w:pPr>
    </w:p>
    <w:p w14:paraId="414B44A1">
      <w:pPr>
        <w:spacing w:before="101" w:line="226" w:lineRule="auto"/>
        <w:ind w:left="677"/>
        <w:outlineLvl w:val="1"/>
        <w:rPr>
          <w:rFonts w:ascii="黑体" w:hAnsi="黑体" w:eastAsia="黑体" w:cs="黑体"/>
          <w:sz w:val="31"/>
          <w:szCs w:val="31"/>
        </w:rPr>
      </w:pPr>
      <w:bookmarkStart w:id="12" w:name="_Toc19194"/>
      <w:r>
        <w:rPr>
          <w:rFonts w:ascii="黑体" w:hAnsi="黑体" w:eastAsia="黑体" w:cs="黑体"/>
          <w:spacing w:val="9"/>
          <w:sz w:val="31"/>
          <w:szCs w:val="31"/>
        </w:rPr>
        <w:t>六</w:t>
      </w: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、一</w:t>
      </w:r>
      <w:r>
        <w:rPr>
          <w:rFonts w:ascii="黑体" w:hAnsi="黑体" w:eastAsia="黑体" w:cs="黑体"/>
          <w:spacing w:val="9"/>
          <w:sz w:val="31"/>
          <w:szCs w:val="31"/>
        </w:rPr>
        <w:t>般公共预算财政拨款基本支出决算情况说</w:t>
      </w:r>
      <w:r>
        <w:rPr>
          <w:rFonts w:ascii="黑体" w:hAnsi="黑体" w:eastAsia="黑体" w:cs="黑体"/>
          <w:spacing w:val="7"/>
          <w:sz w:val="31"/>
          <w:szCs w:val="31"/>
        </w:rPr>
        <w:t>明</w:t>
      </w:r>
      <w:bookmarkEnd w:id="12"/>
    </w:p>
    <w:p w14:paraId="4CED9996">
      <w:pPr>
        <w:spacing w:before="221" w:line="357" w:lineRule="auto"/>
        <w:ind w:left="37" w:right="77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2020 年</w:t>
      </w:r>
      <w:r>
        <w:rPr>
          <w:rFonts w:ascii="仿宋" w:hAnsi="仿宋" w:eastAsia="仿宋" w:cs="仿宋"/>
          <w:spacing w:val="-3"/>
          <w:sz w:val="31"/>
          <w:szCs w:val="31"/>
        </w:rPr>
        <w:t>一</w:t>
      </w:r>
      <w:r>
        <w:rPr>
          <w:rFonts w:ascii="仿宋" w:hAnsi="仿宋" w:eastAsia="仿宋" w:cs="仿宋"/>
          <w:spacing w:val="-2"/>
          <w:sz w:val="31"/>
          <w:szCs w:val="31"/>
        </w:rPr>
        <w:t>般公共预算财政拨款基本支出 1355.28 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其中：</w:t>
      </w:r>
    </w:p>
    <w:p w14:paraId="18757E4E">
      <w:pPr>
        <w:spacing w:before="2" w:line="357" w:lineRule="auto"/>
        <w:ind w:left="3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人员经费 1147 万</w:t>
      </w:r>
      <w:r>
        <w:rPr>
          <w:rFonts w:ascii="仿宋" w:hAnsi="仿宋" w:eastAsia="仿宋" w:cs="仿宋"/>
          <w:sz w:val="31"/>
          <w:szCs w:val="31"/>
        </w:rPr>
        <w:t xml:space="preserve">元，主要包括：基本工资、津贴补贴、 </w:t>
      </w:r>
      <w:r>
        <w:rPr>
          <w:rFonts w:ascii="仿宋" w:hAnsi="仿宋" w:eastAsia="仿宋" w:cs="仿宋"/>
          <w:spacing w:val="16"/>
          <w:sz w:val="31"/>
          <w:szCs w:val="31"/>
        </w:rPr>
        <w:t>奖</w:t>
      </w:r>
      <w:r>
        <w:rPr>
          <w:rFonts w:ascii="仿宋" w:hAnsi="仿宋" w:eastAsia="仿宋" w:cs="仿宋"/>
          <w:spacing w:val="15"/>
          <w:sz w:val="31"/>
          <w:szCs w:val="31"/>
        </w:rPr>
        <w:t>金</w:t>
      </w:r>
      <w:r>
        <w:rPr>
          <w:rFonts w:ascii="仿宋" w:hAnsi="仿宋" w:eastAsia="仿宋" w:cs="仿宋"/>
          <w:spacing w:val="8"/>
          <w:sz w:val="31"/>
          <w:szCs w:val="31"/>
        </w:rPr>
        <w:t>、伙食补助费、绩效工资、机关事业单位基本养老保险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缴</w:t>
      </w:r>
      <w:r>
        <w:rPr>
          <w:rFonts w:ascii="仿宋" w:hAnsi="仿宋" w:eastAsia="仿宋" w:cs="仿宋"/>
          <w:spacing w:val="13"/>
          <w:sz w:val="31"/>
          <w:szCs w:val="31"/>
        </w:rPr>
        <w:t>费</w:t>
      </w:r>
      <w:r>
        <w:rPr>
          <w:rFonts w:ascii="仿宋" w:hAnsi="仿宋" w:eastAsia="仿宋" w:cs="仿宋"/>
          <w:spacing w:val="8"/>
          <w:sz w:val="31"/>
          <w:szCs w:val="31"/>
        </w:rPr>
        <w:t>、职业年金缴费、其他社会保障缴费、其他工资福利支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出、</w:t>
      </w:r>
      <w:r>
        <w:rPr>
          <w:rFonts w:ascii="仿宋" w:hAnsi="仿宋" w:eastAsia="仿宋" w:cs="仿宋"/>
          <w:spacing w:val="10"/>
          <w:sz w:val="31"/>
          <w:szCs w:val="31"/>
        </w:rPr>
        <w:t>离</w:t>
      </w:r>
      <w:r>
        <w:rPr>
          <w:rFonts w:ascii="仿宋" w:hAnsi="仿宋" w:eastAsia="仿宋" w:cs="仿宋"/>
          <w:spacing w:val="8"/>
          <w:sz w:val="31"/>
          <w:szCs w:val="31"/>
        </w:rPr>
        <w:t>休费、退休费、抚恤金、生活补助、医疗费补助、奖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励</w:t>
      </w:r>
      <w:r>
        <w:rPr>
          <w:rFonts w:ascii="仿宋" w:hAnsi="仿宋" w:eastAsia="仿宋" w:cs="仿宋"/>
          <w:spacing w:val="13"/>
          <w:sz w:val="31"/>
          <w:szCs w:val="31"/>
        </w:rPr>
        <w:t>金</w:t>
      </w:r>
      <w:r>
        <w:rPr>
          <w:rFonts w:ascii="仿宋" w:hAnsi="仿宋" w:eastAsia="仿宋" w:cs="仿宋"/>
          <w:spacing w:val="8"/>
          <w:sz w:val="31"/>
          <w:szCs w:val="31"/>
        </w:rPr>
        <w:t>、住房公积金、其他对个人和家庭的补助支出等。</w:t>
      </w:r>
    </w:p>
    <w:p w14:paraId="26EB6CE5">
      <w:pPr>
        <w:spacing w:before="11" w:line="359" w:lineRule="auto"/>
        <w:ind w:left="34" w:right="2" w:firstLine="721"/>
        <w:rPr>
          <w:rFonts w:ascii="Arial"/>
          <w:sz w:val="21"/>
        </w:rPr>
      </w:pPr>
      <w:r>
        <w:rPr>
          <w:rFonts w:ascii="仿宋" w:hAnsi="仿宋" w:eastAsia="仿宋" w:cs="仿宋"/>
          <w:spacing w:val="8"/>
          <w:sz w:val="31"/>
          <w:szCs w:val="31"/>
        </w:rPr>
        <w:t>日常</w:t>
      </w:r>
      <w:r>
        <w:rPr>
          <w:rFonts w:ascii="仿宋" w:hAnsi="仿宋" w:eastAsia="仿宋" w:cs="仿宋"/>
          <w:spacing w:val="6"/>
          <w:sz w:val="31"/>
          <w:szCs w:val="31"/>
        </w:rPr>
        <w:t>公</w:t>
      </w:r>
      <w:r>
        <w:rPr>
          <w:rFonts w:ascii="仿宋" w:hAnsi="仿宋" w:eastAsia="仿宋" w:cs="仿宋"/>
          <w:spacing w:val="4"/>
          <w:sz w:val="31"/>
          <w:szCs w:val="31"/>
        </w:rPr>
        <w:t>用经费 208.28 万元，主要包括：办公费、印刷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费、咨询费、手</w:t>
      </w:r>
      <w:r>
        <w:rPr>
          <w:rFonts w:ascii="仿宋" w:hAnsi="仿宋" w:eastAsia="仿宋" w:cs="仿宋"/>
          <w:spacing w:val="2"/>
          <w:sz w:val="31"/>
          <w:szCs w:val="31"/>
        </w:rPr>
        <w:t>续费、水费、 电费、邮电费、取暖费、物业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管理</w:t>
      </w:r>
      <w:r>
        <w:rPr>
          <w:rFonts w:ascii="仿宋" w:hAnsi="仿宋" w:eastAsia="仿宋" w:cs="仿宋"/>
          <w:spacing w:val="9"/>
          <w:sz w:val="31"/>
          <w:szCs w:val="31"/>
        </w:rPr>
        <w:t>费</w:t>
      </w:r>
      <w:r>
        <w:rPr>
          <w:rFonts w:ascii="仿宋" w:hAnsi="仿宋" w:eastAsia="仿宋" w:cs="仿宋"/>
          <w:spacing w:val="7"/>
          <w:sz w:val="31"/>
          <w:szCs w:val="31"/>
        </w:rPr>
        <w:t>、差旅费、因公出国 (境) 费用、维修 (护) 费、租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赁费、会议费、培训费、公务接待费、劳</w:t>
      </w:r>
      <w:r>
        <w:rPr>
          <w:rFonts w:ascii="仿宋" w:hAnsi="仿宋" w:eastAsia="仿宋" w:cs="仿宋"/>
          <w:sz w:val="31"/>
          <w:szCs w:val="31"/>
        </w:rPr>
        <w:t xml:space="preserve">务费、委托业务费、 </w:t>
      </w:r>
      <w:r>
        <w:rPr>
          <w:rFonts w:ascii="仿宋" w:hAnsi="仿宋" w:eastAsia="仿宋" w:cs="仿宋"/>
          <w:spacing w:val="16"/>
          <w:sz w:val="31"/>
          <w:szCs w:val="31"/>
        </w:rPr>
        <w:t>工会</w:t>
      </w:r>
      <w:r>
        <w:rPr>
          <w:rFonts w:ascii="仿宋" w:hAnsi="仿宋" w:eastAsia="仿宋" w:cs="仿宋"/>
          <w:spacing w:val="10"/>
          <w:sz w:val="31"/>
          <w:szCs w:val="31"/>
        </w:rPr>
        <w:t>经</w:t>
      </w:r>
      <w:r>
        <w:rPr>
          <w:rFonts w:ascii="仿宋" w:hAnsi="仿宋" w:eastAsia="仿宋" w:cs="仿宋"/>
          <w:spacing w:val="8"/>
          <w:sz w:val="31"/>
          <w:szCs w:val="31"/>
        </w:rPr>
        <w:t>费、福利费、公务用车运行维护费、其他交通费、税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金</w:t>
      </w:r>
      <w:r>
        <w:rPr>
          <w:rFonts w:ascii="仿宋" w:hAnsi="仿宋" w:eastAsia="仿宋" w:cs="仿宋"/>
          <w:spacing w:val="15"/>
          <w:sz w:val="31"/>
          <w:szCs w:val="31"/>
        </w:rPr>
        <w:t>及</w:t>
      </w:r>
      <w:r>
        <w:rPr>
          <w:rFonts w:ascii="仿宋" w:hAnsi="仿宋" w:eastAsia="仿宋" w:cs="仿宋"/>
          <w:spacing w:val="8"/>
          <w:sz w:val="31"/>
          <w:szCs w:val="31"/>
        </w:rPr>
        <w:t>附加费用、其他商品和服务支出、办公设备购置、专用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设备</w:t>
      </w:r>
      <w:r>
        <w:rPr>
          <w:rFonts w:ascii="仿宋" w:hAnsi="仿宋" w:eastAsia="仿宋" w:cs="仿宋"/>
          <w:spacing w:val="12"/>
          <w:sz w:val="31"/>
          <w:szCs w:val="31"/>
        </w:rPr>
        <w:t>购</w:t>
      </w:r>
      <w:r>
        <w:rPr>
          <w:rFonts w:ascii="仿宋" w:hAnsi="仿宋" w:eastAsia="仿宋" w:cs="仿宋"/>
          <w:spacing w:val="8"/>
          <w:sz w:val="31"/>
          <w:szCs w:val="31"/>
        </w:rPr>
        <w:t>置、信息网络及软件购置更新、其他资本性支出等。</w:t>
      </w:r>
    </w:p>
    <w:p w14:paraId="022D7E0B">
      <w:pPr>
        <w:spacing w:before="101" w:line="226" w:lineRule="auto"/>
        <w:ind w:left="666"/>
        <w:outlineLvl w:val="1"/>
        <w:rPr>
          <w:rFonts w:ascii="黑体" w:hAnsi="黑体" w:eastAsia="黑体" w:cs="黑体"/>
          <w:sz w:val="31"/>
          <w:szCs w:val="31"/>
        </w:rPr>
      </w:pPr>
      <w:bookmarkStart w:id="13" w:name="_Toc15700"/>
      <w:r>
        <w:rPr>
          <w:rFonts w:ascii="黑体" w:hAnsi="黑体" w:eastAsia="黑体" w:cs="黑体"/>
          <w:spacing w:val="2"/>
          <w:sz w:val="31"/>
          <w:szCs w:val="31"/>
        </w:rPr>
        <w:t>七、</w:t>
      </w:r>
      <w:r>
        <w:rPr>
          <w:rFonts w:ascii="黑体" w:hAnsi="黑体" w:eastAsia="黑体" w:cs="黑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“</w:t>
      </w:r>
      <w:r>
        <w:rPr>
          <w:rFonts w:ascii="黑体" w:hAnsi="黑体" w:eastAsia="黑体" w:cs="黑体"/>
          <w:spacing w:val="2"/>
          <w:sz w:val="31"/>
          <w:szCs w:val="31"/>
        </w:rPr>
        <w:t>三公”</w:t>
      </w:r>
      <w:r>
        <w:rPr>
          <w:rFonts w:ascii="黑体" w:hAnsi="黑体" w:eastAsia="黑体" w:cs="黑体"/>
          <w:spacing w:val="1"/>
          <w:sz w:val="31"/>
          <w:szCs w:val="31"/>
        </w:rPr>
        <w:t>经费财政拨款支出决算情况说明</w:t>
      </w:r>
      <w:bookmarkEnd w:id="13"/>
    </w:p>
    <w:p w14:paraId="2C48C5E5">
      <w:pPr>
        <w:spacing w:before="220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“三公”经费财政拨款支出决算总体情况</w:t>
      </w:r>
      <w:r>
        <w:rPr>
          <w:rFonts w:ascii="仿宋" w:hAnsi="仿宋" w:eastAsia="仿宋" w:cs="仿宋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说</w:t>
      </w:r>
      <w:r>
        <w:rPr>
          <w:rFonts w:ascii="仿宋" w:hAnsi="仿宋" w:eastAsia="仿宋" w:cs="仿宋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明</w:t>
      </w:r>
    </w:p>
    <w:p w14:paraId="37089E17">
      <w:pPr>
        <w:spacing w:before="219" w:line="360" w:lineRule="auto"/>
        <w:ind w:left="41" w:right="82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2020 年“</w:t>
      </w:r>
      <w:r>
        <w:rPr>
          <w:rFonts w:ascii="仿宋" w:hAnsi="仿宋" w:eastAsia="仿宋" w:cs="仿宋"/>
          <w:spacing w:val="-3"/>
          <w:sz w:val="31"/>
          <w:szCs w:val="31"/>
        </w:rPr>
        <w:t>三</w:t>
      </w:r>
      <w:r>
        <w:rPr>
          <w:rFonts w:ascii="仿宋" w:hAnsi="仿宋" w:eastAsia="仿宋" w:cs="仿宋"/>
          <w:spacing w:val="-2"/>
          <w:sz w:val="31"/>
          <w:szCs w:val="31"/>
        </w:rPr>
        <w:t>公”经费财政拨款支出决算为 11.87 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完成预算99%，决算数小于预算数的主要原因是按照落实</w:t>
      </w:r>
      <w:r>
        <w:rPr>
          <w:rFonts w:ascii="仿宋" w:hAnsi="仿宋" w:eastAsia="仿宋" w:cs="仿宋"/>
          <w:spacing w:val="9"/>
          <w:sz w:val="31"/>
          <w:szCs w:val="31"/>
        </w:rPr>
        <w:t>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委</w:t>
      </w:r>
      <w:r>
        <w:rPr>
          <w:rFonts w:ascii="仿宋" w:hAnsi="仿宋" w:eastAsia="仿宋" w:cs="仿宋"/>
          <w:spacing w:val="10"/>
          <w:sz w:val="31"/>
          <w:szCs w:val="31"/>
        </w:rPr>
        <w:t>区</w:t>
      </w:r>
      <w:r>
        <w:rPr>
          <w:rFonts w:ascii="仿宋" w:hAnsi="仿宋" w:eastAsia="仿宋" w:cs="仿宋"/>
          <w:spacing w:val="8"/>
          <w:sz w:val="31"/>
          <w:szCs w:val="31"/>
        </w:rPr>
        <w:t>政府关于压缩三公经费支出相关文件精神要求，主动厉</w:t>
      </w:r>
    </w:p>
    <w:p w14:paraId="3CEEABED">
      <w:pPr>
        <w:sectPr>
          <w:footerReference r:id="rId13" w:type="default"/>
          <w:pgSz w:w="11906" w:h="16839"/>
          <w:pgMar w:top="1431" w:right="1694" w:bottom="1377" w:left="1785" w:header="0" w:footer="1215" w:gutter="0"/>
          <w:cols w:space="720" w:num="1"/>
        </w:sectPr>
      </w:pPr>
    </w:p>
    <w:p w14:paraId="2C855C58">
      <w:pPr>
        <w:spacing w:before="216" w:line="226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行节</w:t>
      </w:r>
      <w:r>
        <w:rPr>
          <w:rFonts w:ascii="仿宋" w:hAnsi="仿宋" w:eastAsia="仿宋" w:cs="仿宋"/>
          <w:spacing w:val="1"/>
          <w:sz w:val="31"/>
          <w:szCs w:val="31"/>
        </w:rPr>
        <w:t>约。</w:t>
      </w:r>
    </w:p>
    <w:p w14:paraId="50BCCB07">
      <w:pPr>
        <w:spacing w:before="220" w:line="229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二)“三公”经费财政拨款支出决算具体情况说明</w:t>
      </w:r>
    </w:p>
    <w:p w14:paraId="40B60FDD">
      <w:pPr>
        <w:spacing w:before="217" w:line="357" w:lineRule="auto"/>
        <w:ind w:left="36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8"/>
          <w:sz w:val="31"/>
          <w:szCs w:val="31"/>
        </w:rPr>
        <w:t>2</w:t>
      </w:r>
      <w:r>
        <w:rPr>
          <w:rFonts w:ascii="仿宋" w:hAnsi="仿宋" w:eastAsia="仿宋" w:cs="仿宋"/>
          <w:spacing w:val="-14"/>
          <w:sz w:val="31"/>
          <w:szCs w:val="31"/>
        </w:rPr>
        <w:t>0</w:t>
      </w:r>
      <w:r>
        <w:rPr>
          <w:rFonts w:ascii="仿宋" w:hAnsi="仿宋" w:eastAsia="仿宋" w:cs="仿宋"/>
          <w:spacing w:val="-9"/>
          <w:sz w:val="31"/>
          <w:szCs w:val="31"/>
        </w:rPr>
        <w:t>20 年“三公”经费财政拨款支出决算中，因公出国(境)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费支出决算 0 万元，占 0%；公务用车购置及运行维护费支</w:t>
      </w:r>
      <w:r>
        <w:rPr>
          <w:rFonts w:ascii="仿宋" w:hAnsi="仿宋" w:eastAsia="仿宋" w:cs="仿宋"/>
          <w:spacing w:val="-2"/>
          <w:sz w:val="31"/>
          <w:szCs w:val="31"/>
        </w:rPr>
        <w:t>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决</w:t>
      </w:r>
      <w:r>
        <w:rPr>
          <w:rFonts w:ascii="仿宋" w:hAnsi="仿宋" w:eastAsia="仿宋" w:cs="仿宋"/>
          <w:spacing w:val="-9"/>
          <w:sz w:val="31"/>
          <w:szCs w:val="31"/>
        </w:rPr>
        <w:t>算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 11 万元， 占 94.28%；公务接待费支出决算 0.79 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 5.72</w:t>
      </w:r>
      <w:r>
        <w:rPr>
          <w:rFonts w:ascii="仿宋" w:hAnsi="仿宋" w:eastAsia="仿宋" w:cs="仿宋"/>
          <w:sz w:val="31"/>
          <w:szCs w:val="31"/>
        </w:rPr>
        <w:t>%。具体情况如下：</w:t>
      </w:r>
    </w:p>
    <w:p w14:paraId="07802A27">
      <w:pPr>
        <w:numPr>
          <w:ilvl w:val="0"/>
          <w:numId w:val="1"/>
        </w:numPr>
        <w:spacing w:line="576" w:lineRule="exact"/>
        <w:ind w:firstLine="596" w:firstLineChars="200"/>
        <w:rPr>
          <w:rStyle w:val="9"/>
          <w:rFonts w:eastAsia="仿宋"/>
          <w:b w:val="0"/>
          <w:bCs/>
          <w:color w:val="000000"/>
          <w:sz w:val="32"/>
          <w:szCs w:val="32"/>
        </w:rPr>
      </w:pPr>
      <w:r>
        <w:rPr>
          <w:rFonts w:ascii="仿宋" w:hAnsi="仿宋" w:eastAsia="仿宋" w:cs="仿宋"/>
          <w:spacing w:val="-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1.因公出国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-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境)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经费支出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0 万元，</w:t>
      </w:r>
      <w:r>
        <w:rPr>
          <w:rFonts w:hint="eastAsia" w:hAnsi="仿宋" w:eastAsia="仿宋"/>
          <w:color w:val="000000"/>
          <w:sz w:val="32"/>
          <w:szCs w:val="32"/>
          <w:lang w:eastAsia="zh-CN"/>
        </w:rPr>
        <w:t>年初未安排预算，与上年数持平</w:t>
      </w:r>
      <w:r>
        <w:rPr>
          <w:rStyle w:val="9"/>
          <w:rFonts w:hAnsi="仿宋" w:eastAsia="仿宋"/>
          <w:b w:val="0"/>
          <w:bCs/>
          <w:color w:val="000000"/>
          <w:sz w:val="32"/>
          <w:szCs w:val="32"/>
        </w:rPr>
        <w:t>。</w:t>
      </w:r>
    </w:p>
    <w:p w14:paraId="12C6756B">
      <w:pPr>
        <w:spacing w:before="2" w:line="357" w:lineRule="auto"/>
        <w:ind w:left="37" w:right="132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仿宋" w:hAnsi="仿宋" w:eastAsia="仿宋" w:cs="仿宋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仿宋" w:hAnsi="仿宋" w:eastAsia="仿宋" w:cs="仿宋"/>
          <w:spacing w:val="1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公务用车购置及运行维护费支出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11 万元,完成预算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100%。公务用车购置</w:t>
      </w:r>
      <w:r>
        <w:rPr>
          <w:rFonts w:ascii="仿宋" w:hAnsi="仿宋" w:eastAsia="仿宋" w:cs="仿宋"/>
          <w:spacing w:val="-3"/>
          <w:sz w:val="31"/>
          <w:szCs w:val="31"/>
        </w:rPr>
        <w:t>及</w:t>
      </w:r>
      <w:r>
        <w:rPr>
          <w:rFonts w:ascii="仿宋" w:hAnsi="仿宋" w:eastAsia="仿宋" w:cs="仿宋"/>
          <w:spacing w:val="-2"/>
          <w:sz w:val="31"/>
          <w:szCs w:val="31"/>
        </w:rPr>
        <w:t>运行维护费支出决算比 2019 年减少 1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</w:t>
      </w:r>
      <w:r>
        <w:rPr>
          <w:rFonts w:ascii="仿宋" w:hAnsi="仿宋" w:eastAsia="仿宋" w:cs="仿宋"/>
          <w:spacing w:val="3"/>
          <w:sz w:val="31"/>
          <w:szCs w:val="31"/>
        </w:rPr>
        <w:t>下</w:t>
      </w:r>
      <w:r>
        <w:rPr>
          <w:rFonts w:ascii="仿宋" w:hAnsi="仿宋" w:eastAsia="仿宋" w:cs="仿宋"/>
          <w:spacing w:val="2"/>
          <w:sz w:val="31"/>
          <w:szCs w:val="31"/>
        </w:rPr>
        <w:t>降 0.9%。主要原因是按照落实区委区政府关于压缩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三</w:t>
      </w:r>
      <w:r>
        <w:rPr>
          <w:rFonts w:ascii="仿宋" w:hAnsi="仿宋" w:eastAsia="仿宋" w:cs="仿宋"/>
          <w:spacing w:val="9"/>
          <w:sz w:val="31"/>
          <w:szCs w:val="31"/>
        </w:rPr>
        <w:t>公</w:t>
      </w:r>
      <w:r>
        <w:rPr>
          <w:rFonts w:ascii="仿宋" w:hAnsi="仿宋" w:eastAsia="仿宋" w:cs="仿宋"/>
          <w:spacing w:val="8"/>
          <w:sz w:val="31"/>
          <w:szCs w:val="31"/>
        </w:rPr>
        <w:t>经费支出相关文件精神要求，主动厉行节约。</w:t>
      </w:r>
    </w:p>
    <w:p w14:paraId="4C4724FB">
      <w:pPr>
        <w:spacing w:before="5" w:line="360" w:lineRule="auto"/>
        <w:ind w:left="34" w:right="29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其中：</w:t>
      </w: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公务用车购置支出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0 万元。全年按</w:t>
      </w:r>
      <w:r>
        <w:rPr>
          <w:rFonts w:ascii="仿宋" w:hAnsi="仿宋" w:eastAsia="仿宋" w:cs="仿宋"/>
          <w:spacing w:val="1"/>
          <w:sz w:val="31"/>
          <w:szCs w:val="31"/>
        </w:rPr>
        <w:t>规定更新购置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1"/>
          <w:sz w:val="31"/>
          <w:szCs w:val="31"/>
        </w:rPr>
        <w:t>公</w:t>
      </w:r>
      <w:r>
        <w:rPr>
          <w:rFonts w:ascii="仿宋" w:hAnsi="仿宋" w:eastAsia="仿宋" w:cs="仿宋"/>
          <w:spacing w:val="-17"/>
          <w:sz w:val="31"/>
          <w:szCs w:val="31"/>
        </w:rPr>
        <w:t>务用车 0 辆，其中：轿车 0 辆、金额 0 万元，越野车 0 辆、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4"/>
          <w:sz w:val="31"/>
          <w:szCs w:val="31"/>
        </w:rPr>
        <w:t>金</w:t>
      </w:r>
      <w:r>
        <w:rPr>
          <w:rFonts w:ascii="仿宋" w:hAnsi="仿宋" w:eastAsia="仿宋" w:cs="仿宋"/>
          <w:spacing w:val="-16"/>
          <w:sz w:val="31"/>
          <w:szCs w:val="31"/>
        </w:rPr>
        <w:t>额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 0 万元，载客汽车 0 辆、金额 0 万元，截至 2020 年 12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月底，单位共有公务用车 1 辆，其中：轿车 0 辆、越野车 </w:t>
      </w:r>
      <w:r>
        <w:rPr>
          <w:rFonts w:ascii="仿宋" w:hAnsi="仿宋" w:eastAsia="仿宋" w:cs="仿宋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9"/>
          <w:sz w:val="31"/>
          <w:szCs w:val="31"/>
        </w:rPr>
        <w:t>辆、载客汽车 0 辆</w:t>
      </w:r>
      <w:r>
        <w:rPr>
          <w:rFonts w:ascii="仿宋" w:hAnsi="仿宋" w:eastAsia="仿宋" w:cs="仿宋"/>
          <w:spacing w:val="-7"/>
          <w:sz w:val="31"/>
          <w:szCs w:val="31"/>
        </w:rPr>
        <w:t>。</w:t>
      </w:r>
    </w:p>
    <w:p w14:paraId="2221B621">
      <w:pPr>
        <w:spacing w:before="5" w:line="360" w:lineRule="auto"/>
        <w:ind w:left="34" w:right="29" w:firstLine="644"/>
        <w:rPr>
          <w:rFonts w:ascii="仿宋" w:hAnsi="仿宋" w:eastAsia="仿宋" w:cs="仿宋"/>
          <w:spacing w:val="-5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公</w:t>
      </w:r>
      <w:r>
        <w:rPr>
          <w:rFonts w:ascii="仿宋" w:hAnsi="仿宋" w:eastAsia="仿宋" w:cs="仿宋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务用车运行维护费支出</w:t>
      </w:r>
      <w:r>
        <w:rPr>
          <w:rFonts w:ascii="仿宋" w:hAnsi="仿宋" w:eastAsia="仿宋" w:cs="仿宋"/>
          <w:sz w:val="31"/>
          <w:szCs w:val="31"/>
        </w:rPr>
        <w:t xml:space="preserve"> 11 万元。</w:t>
      </w:r>
      <w:r>
        <w:rPr>
          <w:rFonts w:ascii="仿宋" w:hAnsi="仿宋" w:eastAsia="仿宋" w:cs="仿宋"/>
          <w:spacing w:val="-5"/>
          <w:sz w:val="31"/>
          <w:szCs w:val="31"/>
        </w:rPr>
        <w:t>主要用于抢险保通，项 目建设等所需的公务用车燃料费、维修费、过路过桥费、保险费 等支出。等所需的公务用车燃料费、维修费、过路过桥费、保险 费等支出。</w:t>
      </w:r>
    </w:p>
    <w:p w14:paraId="505DA0BA">
      <w:pPr>
        <w:spacing w:before="5" w:line="360" w:lineRule="auto"/>
        <w:ind w:left="34" w:right="29" w:firstLine="644"/>
        <w:rPr>
          <w:rFonts w:ascii="仿宋" w:hAnsi="仿宋" w:eastAsia="仿宋" w:cs="仿宋"/>
          <w:spacing w:val="-5"/>
          <w:sz w:val="31"/>
          <w:szCs w:val="31"/>
        </w:rPr>
        <w:sectPr>
          <w:footerReference r:id="rId14" w:type="default"/>
          <w:pgSz w:w="11906" w:h="16839"/>
          <w:pgMar w:top="1431" w:right="1664" w:bottom="1378" w:left="1785" w:header="0" w:footer="1215" w:gutter="0"/>
          <w:cols w:space="720" w:num="1"/>
        </w:sectPr>
      </w:pPr>
    </w:p>
    <w:p w14:paraId="153D6023">
      <w:pPr>
        <w:spacing w:before="213" w:line="362" w:lineRule="auto"/>
        <w:ind w:left="35" w:right="90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3.公务接待费支出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0.79 万元，完成预</w:t>
      </w:r>
      <w:r>
        <w:rPr>
          <w:rFonts w:ascii="仿宋" w:hAnsi="仿宋" w:eastAsia="仿宋" w:cs="仿宋"/>
          <w:spacing w:val="1"/>
          <w:sz w:val="31"/>
          <w:szCs w:val="31"/>
        </w:rPr>
        <w:t>算 100%。公务接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待费支出决算比 </w:t>
      </w:r>
      <w:r>
        <w:rPr>
          <w:rFonts w:ascii="仿宋" w:hAnsi="仿宋" w:eastAsia="仿宋" w:cs="仿宋"/>
          <w:spacing w:val="-2"/>
          <w:sz w:val="31"/>
          <w:szCs w:val="31"/>
        </w:rPr>
        <w:t>2019 年减少 0.01 万元，下降 0.98%。主要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原</w:t>
      </w:r>
      <w:r>
        <w:rPr>
          <w:rFonts w:ascii="仿宋" w:hAnsi="仿宋" w:eastAsia="仿宋" w:cs="仿宋"/>
          <w:spacing w:val="21"/>
          <w:sz w:val="31"/>
          <w:szCs w:val="31"/>
        </w:rPr>
        <w:t>因</w:t>
      </w:r>
      <w:r>
        <w:rPr>
          <w:rFonts w:hint="eastAsia" w:ascii="仿宋" w:hAnsi="仿宋" w:eastAsia="仿宋" w:cs="仿宋"/>
          <w:spacing w:val="21"/>
          <w:sz w:val="31"/>
          <w:szCs w:val="31"/>
          <w:lang w:eastAsia="zh-CN"/>
        </w:rPr>
        <w:t>是</w:t>
      </w:r>
      <w:r>
        <w:rPr>
          <w:rFonts w:ascii="仿宋" w:hAnsi="仿宋" w:eastAsia="仿宋" w:cs="仿宋"/>
          <w:spacing w:val="21"/>
          <w:sz w:val="31"/>
          <w:szCs w:val="31"/>
        </w:rPr>
        <w:t>按照落实区委区政府关于压缩三公经费支出相关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文件精神要求，主动厉行节约其中</w:t>
      </w:r>
      <w:r>
        <w:rPr>
          <w:rFonts w:ascii="仿宋" w:hAnsi="仿宋" w:eastAsia="仿宋" w:cs="仿宋"/>
          <w:spacing w:val="6"/>
          <w:sz w:val="31"/>
          <w:szCs w:val="31"/>
        </w:rPr>
        <w:t>：</w:t>
      </w:r>
    </w:p>
    <w:p w14:paraId="4A808EE8">
      <w:pPr>
        <w:spacing w:before="129" w:line="374" w:lineRule="auto"/>
        <w:ind w:left="35" w:firstLine="4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国内公务接待支出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0.79 万元，主要用于执行公务、</w:t>
      </w:r>
      <w:r>
        <w:rPr>
          <w:rFonts w:ascii="仿宋" w:hAnsi="仿宋" w:eastAsia="仿宋" w:cs="仿宋"/>
          <w:sz w:val="31"/>
          <w:szCs w:val="31"/>
        </w:rPr>
        <w:t xml:space="preserve">开展 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务活动开支的交通费、住宿费、用餐费)。 国内公务接待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15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批次，40 人次 (不包括陪同人员) ，共计支出 0.79 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具</w:t>
      </w:r>
      <w:r>
        <w:rPr>
          <w:rFonts w:ascii="仿宋" w:hAnsi="仿宋" w:eastAsia="仿宋" w:cs="仿宋"/>
          <w:spacing w:val="14"/>
          <w:sz w:val="31"/>
          <w:szCs w:val="31"/>
        </w:rPr>
        <w:t>体</w:t>
      </w:r>
      <w:r>
        <w:rPr>
          <w:rFonts w:ascii="仿宋" w:hAnsi="仿宋" w:eastAsia="仿宋" w:cs="仿宋"/>
          <w:spacing w:val="8"/>
          <w:sz w:val="31"/>
          <w:szCs w:val="31"/>
        </w:rPr>
        <w:t>内容包括：省市养护工作、路况检测，安全工作检查用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餐及抢修保通工作用餐。</w:t>
      </w:r>
    </w:p>
    <w:p w14:paraId="675EAE89">
      <w:pPr>
        <w:spacing w:before="242" w:line="357" w:lineRule="auto"/>
        <w:ind w:left="67" w:right="90" w:firstLine="6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外事接待支出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0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万元，外事接待 0 批次，0 人，共计支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6"/>
          <w:sz w:val="31"/>
          <w:szCs w:val="31"/>
        </w:rPr>
        <w:t>出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0 万元。</w:t>
      </w:r>
    </w:p>
    <w:p w14:paraId="225A8591">
      <w:pPr>
        <w:spacing w:line="233" w:lineRule="auto"/>
        <w:ind w:left="667"/>
        <w:outlineLvl w:val="1"/>
        <w:rPr>
          <w:rFonts w:ascii="黑体" w:hAnsi="黑体" w:eastAsia="黑体" w:cs="黑体"/>
          <w:sz w:val="31"/>
          <w:szCs w:val="31"/>
        </w:rPr>
      </w:pPr>
      <w:bookmarkStart w:id="14" w:name="_Toc12427"/>
      <w:r>
        <w:rPr>
          <w:rFonts w:ascii="黑体" w:hAnsi="黑体" w:eastAsia="黑体" w:cs="黑体"/>
          <w:spacing w:val="11"/>
          <w:sz w:val="31"/>
          <w:szCs w:val="31"/>
        </w:rPr>
        <w:t>八</w:t>
      </w:r>
      <w:r>
        <w:rPr>
          <w:rFonts w:ascii="黑体" w:hAnsi="黑体" w:eastAsia="黑体" w:cs="黑体"/>
          <w:spacing w:val="9"/>
          <w:sz w:val="31"/>
          <w:szCs w:val="31"/>
        </w:rPr>
        <w:t>、政府性基金预算支出决算情况说明</w:t>
      </w:r>
      <w:bookmarkEnd w:id="14"/>
    </w:p>
    <w:p w14:paraId="5CEA9432">
      <w:pPr>
        <w:spacing w:before="242" w:line="357" w:lineRule="auto"/>
        <w:ind w:left="67" w:right="90" w:firstLine="612"/>
        <w:rPr>
          <w:rFonts w:ascii="仿宋" w:hAnsi="仿宋" w:eastAsia="仿宋" w:cs="仿宋"/>
          <w:spacing w:val="-3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2020 年</w:t>
      </w:r>
      <w:r>
        <w:rPr>
          <w:rFonts w:hint="eastAsia" w:ascii="仿宋" w:hAnsi="仿宋" w:eastAsia="仿宋" w:cs="仿宋"/>
          <w:spacing w:val="-3"/>
          <w:sz w:val="31"/>
          <w:szCs w:val="31"/>
          <w:lang w:val="en-US" w:eastAsia="zh-CN"/>
        </w:rPr>
        <w:t>本单位在政府性基金预算拨款安排“三公”经费支出，2020年</w:t>
      </w:r>
      <w:r>
        <w:rPr>
          <w:rFonts w:ascii="仿宋" w:hAnsi="仿宋" w:eastAsia="仿宋" w:cs="仿宋"/>
          <w:spacing w:val="-3"/>
          <w:sz w:val="31"/>
          <w:szCs w:val="31"/>
        </w:rPr>
        <w:t>政府性基金预算拨款支出 0 万元。</w:t>
      </w:r>
    </w:p>
    <w:p w14:paraId="5D262660">
      <w:pPr>
        <w:spacing w:before="101" w:line="228" w:lineRule="auto"/>
        <w:ind w:left="674"/>
        <w:outlineLvl w:val="1"/>
        <w:rPr>
          <w:rFonts w:ascii="黑体" w:hAnsi="黑体" w:eastAsia="黑体" w:cs="黑体"/>
          <w:sz w:val="31"/>
          <w:szCs w:val="31"/>
        </w:rPr>
      </w:pPr>
      <w:bookmarkStart w:id="15" w:name="_Toc20808"/>
      <w:r>
        <w:rPr>
          <w:rFonts w:ascii="黑体" w:hAnsi="黑体" w:eastAsia="黑体" w:cs="黑体"/>
          <w:spacing w:val="16"/>
          <w:sz w:val="31"/>
          <w:szCs w:val="31"/>
        </w:rPr>
        <w:t>九</w:t>
      </w:r>
      <w:r>
        <w:rPr>
          <w:rFonts w:ascii="黑体" w:hAnsi="黑体" w:eastAsia="黑体" w:cs="黑体"/>
          <w:spacing w:val="13"/>
          <w:sz w:val="31"/>
          <w:szCs w:val="31"/>
        </w:rPr>
        <w:t>、</w:t>
      </w:r>
      <w:r>
        <w:rPr>
          <w:rFonts w:ascii="黑体" w:hAnsi="黑体" w:eastAsia="黑体" w:cs="黑体"/>
          <w:spacing w:val="8"/>
          <w:sz w:val="31"/>
          <w:szCs w:val="31"/>
        </w:rPr>
        <w:t>国有资本经营预算支出决算情况说明</w:t>
      </w:r>
      <w:bookmarkEnd w:id="15"/>
    </w:p>
    <w:p w14:paraId="1F456695">
      <w:pPr>
        <w:spacing w:before="217" w:line="227" w:lineRule="auto"/>
        <w:ind w:left="669"/>
        <w:rPr>
          <w:rFonts w:ascii="Arial"/>
          <w:sz w:val="21"/>
        </w:rPr>
      </w:pPr>
      <w:r>
        <w:rPr>
          <w:rFonts w:ascii="仿宋" w:hAnsi="仿宋" w:eastAsia="仿宋" w:cs="仿宋"/>
          <w:spacing w:val="-3"/>
          <w:sz w:val="31"/>
          <w:szCs w:val="31"/>
        </w:rPr>
        <w:t>2020 年国有资本经营预算拨款支出 0 万元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685DD0E1">
      <w:pPr>
        <w:spacing w:before="102" w:line="226" w:lineRule="auto"/>
        <w:ind w:left="829"/>
        <w:outlineLvl w:val="1"/>
        <w:rPr>
          <w:rFonts w:ascii="黑体" w:hAnsi="黑体" w:eastAsia="黑体" w:cs="黑体"/>
          <w:sz w:val="31"/>
          <w:szCs w:val="31"/>
        </w:rPr>
      </w:pPr>
      <w:bookmarkStart w:id="16" w:name="_Toc13402"/>
      <w:r>
        <w:rPr>
          <w:rFonts w:ascii="黑体" w:hAnsi="黑体" w:eastAsia="黑体" w:cs="黑体"/>
          <w:spacing w:val="16"/>
          <w:sz w:val="31"/>
          <w:szCs w:val="31"/>
        </w:rPr>
        <w:t>十</w:t>
      </w:r>
      <w:r>
        <w:rPr>
          <w:rFonts w:ascii="黑体" w:hAnsi="黑体" w:eastAsia="黑体" w:cs="黑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黑体" w:hAnsi="黑体" w:eastAsia="黑体" w:cs="黑体"/>
          <w:spacing w:val="8"/>
          <w:sz w:val="31"/>
          <w:szCs w:val="31"/>
        </w:rPr>
        <w:t>其他重要事项的情况说明</w:t>
      </w:r>
      <w:bookmarkEnd w:id="16"/>
    </w:p>
    <w:p w14:paraId="51D61BC1">
      <w:pPr>
        <w:spacing w:before="220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机关运行经费支出情</w:t>
      </w: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况</w:t>
      </w:r>
    </w:p>
    <w:p w14:paraId="144CFF35">
      <w:pPr>
        <w:spacing w:before="221" w:line="226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本</w:t>
      </w:r>
      <w:r>
        <w:rPr>
          <w:rFonts w:ascii="仿宋" w:hAnsi="仿宋" w:eastAsia="仿宋" w:cs="仿宋"/>
          <w:spacing w:val="14"/>
          <w:sz w:val="31"/>
          <w:szCs w:val="31"/>
        </w:rPr>
        <w:t>单</w:t>
      </w:r>
      <w:r>
        <w:rPr>
          <w:rFonts w:ascii="仿宋" w:hAnsi="仿宋" w:eastAsia="仿宋" w:cs="仿宋"/>
          <w:spacing w:val="8"/>
          <w:sz w:val="31"/>
          <w:szCs w:val="31"/>
        </w:rPr>
        <w:t>位属于事业单位，不填报机关运行经费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。</w:t>
      </w:r>
      <w:r>
        <w:rPr>
          <w:rFonts w:ascii="仿宋" w:hAnsi="仿宋" w:eastAsia="仿宋" w:cs="仿宋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(二)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政府采购支出情</w:t>
      </w:r>
      <w:r>
        <w:rPr>
          <w:rFonts w:ascii="仿宋" w:hAnsi="仿宋" w:eastAsia="仿宋" w:cs="仿宋"/>
          <w:spacing w:val="2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况</w:t>
      </w:r>
    </w:p>
    <w:p w14:paraId="14A2BFF0">
      <w:pPr>
        <w:spacing w:line="576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2020年，政府采购支出总额0万元。</w:t>
      </w:r>
    </w:p>
    <w:p w14:paraId="72F397F8">
      <w:pPr>
        <w:spacing w:before="218" w:line="228" w:lineRule="auto"/>
        <w:ind w:left="709"/>
        <w:rPr>
          <w:rFonts w:ascii="仿宋" w:hAnsi="仿宋" w:eastAsia="仿宋" w:cs="仿宋"/>
          <w:sz w:val="31"/>
          <w:szCs w:val="31"/>
        </w:rPr>
      </w:pPr>
    </w:p>
    <w:p w14:paraId="6E2CE0BE">
      <w:pPr>
        <w:sectPr>
          <w:footerReference r:id="rId15" w:type="default"/>
          <w:pgSz w:w="11906" w:h="16839"/>
          <w:pgMar w:top="1431" w:right="1709" w:bottom="1378" w:left="1785" w:header="0" w:footer="1215" w:gutter="0"/>
          <w:cols w:space="720" w:num="1"/>
        </w:sectPr>
      </w:pPr>
    </w:p>
    <w:p w14:paraId="5572687D">
      <w:pPr>
        <w:spacing w:before="215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三)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国有资产占有使用情况</w:t>
      </w:r>
    </w:p>
    <w:p w14:paraId="06F1BDF5">
      <w:pPr>
        <w:spacing w:before="219" w:line="357" w:lineRule="auto"/>
        <w:ind w:left="37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截至2020年12月31 日，养护段共有车辆1辆，其中：</w:t>
      </w:r>
      <w:r>
        <w:rPr>
          <w:rFonts w:ascii="仿宋" w:hAnsi="仿宋" w:eastAsia="仿宋" w:cs="仿宋"/>
          <w:spacing w:val="1"/>
          <w:sz w:val="31"/>
          <w:szCs w:val="31"/>
        </w:rPr>
        <w:t>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要</w:t>
      </w:r>
      <w:r>
        <w:rPr>
          <w:rFonts w:ascii="仿宋" w:hAnsi="仿宋" w:eastAsia="仿宋" w:cs="仿宋"/>
          <w:spacing w:val="11"/>
          <w:sz w:val="31"/>
          <w:szCs w:val="31"/>
        </w:rPr>
        <w:t>领</w:t>
      </w:r>
      <w:r>
        <w:rPr>
          <w:rFonts w:ascii="仿宋" w:hAnsi="仿宋" w:eastAsia="仿宋" w:cs="仿宋"/>
          <w:spacing w:val="6"/>
          <w:sz w:val="31"/>
          <w:szCs w:val="31"/>
        </w:rPr>
        <w:t>导干部用车0辆、机要通信用车0辆、应急保障用车1辆、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其</w:t>
      </w:r>
      <w:r>
        <w:rPr>
          <w:rFonts w:ascii="仿宋" w:hAnsi="仿宋" w:eastAsia="仿宋" w:cs="仿宋"/>
          <w:spacing w:val="15"/>
          <w:sz w:val="31"/>
          <w:szCs w:val="31"/>
        </w:rPr>
        <w:t>他</w:t>
      </w:r>
      <w:r>
        <w:rPr>
          <w:rFonts w:ascii="仿宋" w:hAnsi="仿宋" w:eastAsia="仿宋" w:cs="仿宋"/>
          <w:spacing w:val="8"/>
          <w:sz w:val="31"/>
          <w:szCs w:val="31"/>
        </w:rPr>
        <w:t>用车0辆主要是用于</w:t>
      </w:r>
      <w:r>
        <w:rPr>
          <w:rFonts w:ascii="宋体" w:hAnsi="宋体" w:eastAsia="宋体" w:cs="宋体"/>
          <w:spacing w:val="8"/>
          <w:sz w:val="29"/>
          <w:szCs w:val="29"/>
        </w:rPr>
        <w:t>抢险保通，项目建设等，</w:t>
      </w:r>
      <w:r>
        <w:rPr>
          <w:rFonts w:ascii="仿宋" w:hAnsi="仿宋" w:eastAsia="仿宋" w:cs="仿宋"/>
          <w:spacing w:val="8"/>
          <w:sz w:val="31"/>
          <w:szCs w:val="31"/>
        </w:rPr>
        <w:t>单价50万元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以上通用</w:t>
      </w:r>
      <w:r>
        <w:rPr>
          <w:rFonts w:ascii="仿宋" w:hAnsi="仿宋" w:eastAsia="仿宋" w:cs="仿宋"/>
          <w:spacing w:val="9"/>
          <w:sz w:val="31"/>
          <w:szCs w:val="31"/>
        </w:rPr>
        <w:t>设</w:t>
      </w:r>
      <w:r>
        <w:rPr>
          <w:rFonts w:ascii="仿宋" w:hAnsi="仿宋" w:eastAsia="仿宋" w:cs="仿宋"/>
          <w:spacing w:val="5"/>
          <w:sz w:val="31"/>
          <w:szCs w:val="31"/>
        </w:rPr>
        <w:t>备0台(套)，单价100万元以上专用设备2台(套)。</w:t>
      </w:r>
    </w:p>
    <w:p w14:paraId="43BA0A05">
      <w:pPr>
        <w:spacing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四)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预算绩效管理情况</w:t>
      </w:r>
      <w:r>
        <w:rPr>
          <w:rFonts w:ascii="仿宋" w:hAnsi="仿宋" w:eastAsia="仿宋" w:cs="仿宋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p w14:paraId="2106C579">
      <w:pPr>
        <w:spacing w:before="202" w:line="345" w:lineRule="auto"/>
        <w:ind w:left="36" w:right="11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根据预算绩效管理要求，本部门 (单位) 在年初预算</w:t>
      </w:r>
      <w:r>
        <w:rPr>
          <w:rFonts w:ascii="仿宋" w:hAnsi="仿宋" w:eastAsia="仿宋" w:cs="仿宋"/>
          <w:spacing w:val="3"/>
          <w:sz w:val="31"/>
          <w:szCs w:val="31"/>
        </w:rPr>
        <w:t>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制</w:t>
      </w:r>
      <w:r>
        <w:rPr>
          <w:rFonts w:ascii="仿宋" w:hAnsi="仿宋" w:eastAsia="仿宋" w:cs="仿宋"/>
          <w:spacing w:val="13"/>
          <w:sz w:val="31"/>
          <w:szCs w:val="31"/>
        </w:rPr>
        <w:t>阶</w:t>
      </w:r>
      <w:r>
        <w:rPr>
          <w:rFonts w:ascii="仿宋" w:hAnsi="仿宋" w:eastAsia="仿宋" w:cs="仿宋"/>
          <w:spacing w:val="8"/>
          <w:sz w:val="31"/>
          <w:szCs w:val="31"/>
        </w:rPr>
        <w:t>段，组织对隧道电费，乡村道路养护及灾损道路维修项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目两个项目</w:t>
      </w:r>
      <w:r>
        <w:rPr>
          <w:rFonts w:ascii="仿宋" w:hAnsi="仿宋" w:eastAsia="仿宋" w:cs="仿宋"/>
          <w:spacing w:val="2"/>
          <w:sz w:val="31"/>
          <w:szCs w:val="31"/>
        </w:rPr>
        <w:t>开展了预算事前绩效评估，对 2 个项目编制了绩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效目标，预算</w:t>
      </w:r>
      <w:r>
        <w:rPr>
          <w:rFonts w:ascii="仿宋" w:hAnsi="仿宋" w:eastAsia="仿宋" w:cs="仿宋"/>
          <w:spacing w:val="2"/>
          <w:sz w:val="31"/>
          <w:szCs w:val="31"/>
        </w:rPr>
        <w:t>执行过程中，选取 2 个项目开展绩效监控，年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终执行完毕</w:t>
      </w:r>
      <w:r>
        <w:rPr>
          <w:rFonts w:ascii="仿宋" w:hAnsi="仿宋" w:eastAsia="仿宋" w:cs="仿宋"/>
          <w:spacing w:val="1"/>
          <w:sz w:val="31"/>
          <w:szCs w:val="31"/>
        </w:rPr>
        <w:t>后，对 2 个项目开展了绩效目标完成情况自评。</w:t>
      </w:r>
    </w:p>
    <w:p w14:paraId="784A1A76">
      <w:pPr>
        <w:spacing w:before="4" w:line="343" w:lineRule="auto"/>
        <w:ind w:left="34" w:right="23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本</w:t>
      </w:r>
      <w:r>
        <w:rPr>
          <w:rFonts w:ascii="仿宋" w:hAnsi="仿宋" w:eastAsia="仿宋" w:cs="仿宋"/>
          <w:spacing w:val="15"/>
          <w:sz w:val="31"/>
          <w:szCs w:val="31"/>
        </w:rPr>
        <w:t>部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门按要求对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11"/>
          <w:sz w:val="31"/>
          <w:szCs w:val="31"/>
        </w:rPr>
        <w:t>年部门整体支出开展绩效自评，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从</w:t>
      </w:r>
      <w:r>
        <w:rPr>
          <w:rFonts w:ascii="仿宋" w:hAnsi="仿宋" w:eastAsia="仿宋" w:cs="仿宋"/>
          <w:spacing w:val="15"/>
          <w:sz w:val="31"/>
          <w:szCs w:val="31"/>
        </w:rPr>
        <w:t>评</w:t>
      </w:r>
      <w:r>
        <w:rPr>
          <w:rFonts w:ascii="仿宋" w:hAnsi="仿宋" w:eastAsia="仿宋" w:cs="仿宋"/>
          <w:spacing w:val="8"/>
          <w:sz w:val="31"/>
          <w:szCs w:val="31"/>
        </w:rPr>
        <w:t>价情况来看绩效目标明确，管理规范。本部门还自行组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织了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3"/>
          <w:sz w:val="31"/>
          <w:szCs w:val="31"/>
        </w:rPr>
        <w:t>个项目支出绩效评价，从评价情况来看项目管理规范</w:t>
      </w:r>
      <w:r>
        <w:rPr>
          <w:rFonts w:ascii="仿宋" w:hAnsi="仿宋" w:eastAsia="仿宋" w:cs="仿宋"/>
          <w:sz w:val="31"/>
          <w:szCs w:val="31"/>
        </w:rPr>
        <w:t xml:space="preserve">， </w:t>
      </w:r>
      <w:r>
        <w:rPr>
          <w:rFonts w:ascii="仿宋" w:hAnsi="仿宋" w:eastAsia="仿宋" w:cs="仿宋"/>
          <w:spacing w:val="10"/>
          <w:sz w:val="31"/>
          <w:szCs w:val="31"/>
        </w:rPr>
        <w:t>达</w:t>
      </w:r>
      <w:r>
        <w:rPr>
          <w:rFonts w:ascii="仿宋" w:hAnsi="仿宋" w:eastAsia="仿宋" w:cs="仿宋"/>
          <w:spacing w:val="6"/>
          <w:sz w:val="31"/>
          <w:szCs w:val="31"/>
        </w:rPr>
        <w:t>到项目预期目标。</w:t>
      </w:r>
    </w:p>
    <w:p w14:paraId="7A0F3382">
      <w:pPr>
        <w:spacing w:line="430" w:lineRule="exact"/>
        <w:ind w:left="68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position w:val="2"/>
          <w:sz w:val="31"/>
          <w:szCs w:val="31"/>
        </w:rPr>
        <w:t>1</w:t>
      </w:r>
      <w:r>
        <w:rPr>
          <w:rFonts w:ascii="楷体" w:hAnsi="楷体" w:eastAsia="楷体" w:cs="楷体"/>
          <w:spacing w:val="6"/>
          <w:position w:val="2"/>
          <w:sz w:val="31"/>
          <w:szCs w:val="31"/>
        </w:rPr>
        <w:t>.项目绩效目标完成情况。</w:t>
      </w:r>
    </w:p>
    <w:p w14:paraId="27CC600D">
      <w:pPr>
        <w:spacing w:before="145" w:line="346" w:lineRule="auto"/>
        <w:ind w:left="34" w:right="113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本部门在 2020 年度部门决算中</w:t>
      </w:r>
      <w:r>
        <w:rPr>
          <w:rFonts w:ascii="仿宋" w:hAnsi="仿宋" w:eastAsia="仿宋" w:cs="仿宋"/>
          <w:spacing w:val="1"/>
          <w:sz w:val="31"/>
          <w:szCs w:val="31"/>
        </w:rPr>
        <w:t>反映“隧道电费”” 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村</w:t>
      </w:r>
      <w:r>
        <w:rPr>
          <w:rFonts w:ascii="仿宋" w:hAnsi="仿宋" w:eastAsia="仿宋" w:cs="仿宋"/>
          <w:spacing w:val="8"/>
          <w:sz w:val="31"/>
          <w:szCs w:val="31"/>
        </w:rPr>
        <w:t>道路养护及灾损道路维修项目”2 个项目绩效目标实际完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成情况。(本单位部门项目绩效目标个数在 2 个以上的，</w:t>
      </w:r>
      <w:r>
        <w:rPr>
          <w:rFonts w:ascii="仿宋" w:hAnsi="仿宋" w:eastAsia="仿宋" w:cs="仿宋"/>
          <w:spacing w:val="7"/>
          <w:sz w:val="31"/>
          <w:szCs w:val="31"/>
        </w:rPr>
        <w:t>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取 2 个项</w:t>
      </w:r>
      <w:r>
        <w:rPr>
          <w:rFonts w:ascii="仿宋" w:hAnsi="仿宋" w:eastAsia="仿宋" w:cs="仿宋"/>
          <w:spacing w:val="2"/>
          <w:sz w:val="31"/>
          <w:szCs w:val="31"/>
        </w:rPr>
        <w:t>目进行全部公开，公开内容包括选取的全部项目完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成</w:t>
      </w:r>
      <w:r>
        <w:rPr>
          <w:rFonts w:ascii="仿宋" w:hAnsi="仿宋" w:eastAsia="仿宋" w:cs="仿宋"/>
          <w:spacing w:val="7"/>
          <w:sz w:val="31"/>
          <w:szCs w:val="31"/>
        </w:rPr>
        <w:t>情况综述和完成情况表)。</w:t>
      </w:r>
    </w:p>
    <w:p w14:paraId="51C3CD03">
      <w:pPr>
        <w:spacing w:before="1" w:line="353" w:lineRule="auto"/>
        <w:ind w:left="37" w:right="64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(</w:t>
      </w:r>
      <w:r>
        <w:rPr>
          <w:rFonts w:ascii="仿宋" w:hAnsi="仿宋" w:eastAsia="仿宋" w:cs="仿宋"/>
          <w:spacing w:val="20"/>
          <w:sz w:val="31"/>
          <w:szCs w:val="31"/>
        </w:rPr>
        <w:t>1) 隧道电费项目绩效目标完成情况综述。项目全年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预算数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26.4 万元，执行数为 26.4 万元，完成预算的 100%。</w:t>
      </w:r>
    </w:p>
    <w:p w14:paraId="7FAF2490">
      <w:pPr>
        <w:sectPr>
          <w:footerReference r:id="rId16" w:type="default"/>
          <w:pgSz w:w="11906" w:h="16839"/>
          <w:pgMar w:top="1431" w:right="1688" w:bottom="1377" w:left="1785" w:header="0" w:footer="1215" w:gutter="0"/>
          <w:cols w:space="720" w:num="1"/>
        </w:sectPr>
      </w:pPr>
    </w:p>
    <w:p w14:paraId="7A331806">
      <w:pPr>
        <w:spacing w:before="200" w:line="351" w:lineRule="auto"/>
        <w:ind w:left="872" w:right="816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通</w:t>
      </w:r>
      <w:r>
        <w:rPr>
          <w:rFonts w:ascii="仿宋" w:hAnsi="仿宋" w:eastAsia="仿宋" w:cs="仿宋"/>
          <w:spacing w:val="10"/>
          <w:sz w:val="31"/>
          <w:szCs w:val="31"/>
        </w:rPr>
        <w:t>过</w:t>
      </w:r>
      <w:r>
        <w:rPr>
          <w:rFonts w:ascii="仿宋" w:hAnsi="仿宋" w:eastAsia="仿宋" w:cs="仿宋"/>
          <w:spacing w:val="8"/>
          <w:sz w:val="31"/>
          <w:szCs w:val="31"/>
        </w:rPr>
        <w:t>项目实施，保障了过往车辆的安全通行，促进社会经济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可</w:t>
      </w:r>
      <w:r>
        <w:rPr>
          <w:rFonts w:ascii="仿宋" w:hAnsi="仿宋" w:eastAsia="仿宋" w:cs="仿宋"/>
          <w:spacing w:val="11"/>
          <w:sz w:val="31"/>
          <w:szCs w:val="31"/>
        </w:rPr>
        <w:t>持</w:t>
      </w:r>
      <w:r>
        <w:rPr>
          <w:rFonts w:ascii="仿宋" w:hAnsi="仿宋" w:eastAsia="仿宋" w:cs="仿宋"/>
          <w:spacing w:val="8"/>
          <w:sz w:val="31"/>
          <w:szCs w:val="31"/>
        </w:rPr>
        <w:t>续发展具有十分重要的作用、提高过往车辆人员的安全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性</w:t>
      </w:r>
      <w:r>
        <w:rPr>
          <w:rFonts w:ascii="仿宋" w:hAnsi="仿宋" w:eastAsia="仿宋" w:cs="仿宋"/>
          <w:spacing w:val="-8"/>
          <w:sz w:val="31"/>
          <w:szCs w:val="31"/>
        </w:rPr>
        <w:t>。</w:t>
      </w:r>
    </w:p>
    <w:p w14:paraId="2313A239">
      <w:pPr>
        <w:spacing w:before="143" w:line="226" w:lineRule="auto"/>
        <w:ind w:left="12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2) 乡村道路养护及灾损道路维修项目项目全年预算数</w:t>
      </w:r>
    </w:p>
    <w:p w14:paraId="30ADD9F3">
      <w:pPr>
        <w:spacing w:before="243" w:line="343" w:lineRule="auto"/>
        <w:ind w:left="866" w:right="819" w:hanging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70 万元，执行数为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70 万元，完成预算的 100%。通过项目实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施</w:t>
      </w:r>
      <w:r>
        <w:rPr>
          <w:rFonts w:ascii="仿宋" w:hAnsi="仿宋" w:eastAsia="仿宋" w:cs="仿宋"/>
          <w:spacing w:val="15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保障道路通行，支持经济发展、促进社会经济可持续发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展</w:t>
      </w:r>
      <w:r>
        <w:rPr>
          <w:rFonts w:ascii="仿宋" w:hAnsi="仿宋" w:eastAsia="仿宋" w:cs="仿宋"/>
          <w:spacing w:val="15"/>
          <w:sz w:val="31"/>
          <w:szCs w:val="31"/>
        </w:rPr>
        <w:t>具</w:t>
      </w:r>
      <w:r>
        <w:rPr>
          <w:rFonts w:ascii="仿宋" w:hAnsi="仿宋" w:eastAsia="仿宋" w:cs="仿宋"/>
          <w:spacing w:val="8"/>
          <w:sz w:val="31"/>
          <w:szCs w:val="31"/>
        </w:rPr>
        <w:t>有十分重要的作用、提高安全的通行，乡村道路养护及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灾</w:t>
      </w:r>
      <w:r>
        <w:rPr>
          <w:rFonts w:ascii="仿宋" w:hAnsi="仿宋" w:eastAsia="仿宋" w:cs="仿宋"/>
          <w:spacing w:val="15"/>
          <w:sz w:val="31"/>
          <w:szCs w:val="31"/>
        </w:rPr>
        <w:t>损</w:t>
      </w:r>
      <w:r>
        <w:rPr>
          <w:rFonts w:ascii="仿宋" w:hAnsi="仿宋" w:eastAsia="仿宋" w:cs="仿宋"/>
          <w:spacing w:val="8"/>
          <w:sz w:val="31"/>
          <w:szCs w:val="31"/>
        </w:rPr>
        <w:t>道路维修项目发现的主要问题：没及时跟进。下一步改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进</w:t>
      </w:r>
      <w:r>
        <w:rPr>
          <w:rFonts w:ascii="仿宋" w:hAnsi="仿宋" w:eastAsia="仿宋" w:cs="仿宋"/>
          <w:spacing w:val="6"/>
          <w:sz w:val="31"/>
          <w:szCs w:val="31"/>
        </w:rPr>
        <w:t>措施：加强管理。</w:t>
      </w:r>
    </w:p>
    <w:p w14:paraId="161D3D96">
      <w:pPr>
        <w:spacing w:line="263" w:lineRule="auto"/>
        <w:rPr>
          <w:rFonts w:ascii="Arial"/>
          <w:sz w:val="21"/>
        </w:rPr>
      </w:pPr>
    </w:p>
    <w:p w14:paraId="35F8516F">
      <w:pPr>
        <w:spacing w:line="263" w:lineRule="auto"/>
        <w:rPr>
          <w:rFonts w:ascii="Arial"/>
          <w:sz w:val="21"/>
        </w:rPr>
      </w:pPr>
    </w:p>
    <w:p w14:paraId="7F30C6F8">
      <w:pPr>
        <w:spacing w:line="263" w:lineRule="auto"/>
        <w:rPr>
          <w:rFonts w:ascii="Arial"/>
          <w:sz w:val="21"/>
        </w:rPr>
      </w:pPr>
    </w:p>
    <w:p w14:paraId="4B1C2A70">
      <w:pPr>
        <w:spacing w:line="264" w:lineRule="auto"/>
        <w:rPr>
          <w:rFonts w:ascii="Arial"/>
          <w:sz w:val="21"/>
        </w:rPr>
      </w:pPr>
    </w:p>
    <w:p w14:paraId="13AB8146">
      <w:pPr>
        <w:spacing w:line="264" w:lineRule="auto"/>
        <w:rPr>
          <w:rFonts w:ascii="Arial"/>
          <w:sz w:val="21"/>
        </w:rPr>
      </w:pPr>
    </w:p>
    <w:p w14:paraId="25D2A928">
      <w:pPr>
        <w:spacing w:line="264" w:lineRule="auto"/>
        <w:rPr>
          <w:rFonts w:ascii="Arial"/>
          <w:sz w:val="21"/>
        </w:rPr>
      </w:pPr>
    </w:p>
    <w:p w14:paraId="4F96264B">
      <w:pPr>
        <w:spacing w:line="264" w:lineRule="auto"/>
        <w:rPr>
          <w:rFonts w:ascii="Arial"/>
          <w:sz w:val="21"/>
        </w:rPr>
      </w:pPr>
    </w:p>
    <w:p w14:paraId="555BF23C">
      <w:pPr>
        <w:pStyle w:val="2"/>
        <w:rPr>
          <w:rFonts w:ascii="Arial"/>
          <w:sz w:val="21"/>
        </w:rPr>
      </w:pPr>
    </w:p>
    <w:p w14:paraId="3819D05C">
      <w:pPr>
        <w:pStyle w:val="3"/>
        <w:rPr>
          <w:rFonts w:ascii="Arial"/>
          <w:sz w:val="21"/>
        </w:rPr>
      </w:pPr>
    </w:p>
    <w:p w14:paraId="453DFC88">
      <w:pPr>
        <w:rPr>
          <w:rFonts w:ascii="Arial"/>
          <w:sz w:val="21"/>
        </w:rPr>
      </w:pPr>
    </w:p>
    <w:p w14:paraId="10204D76">
      <w:pPr>
        <w:pStyle w:val="2"/>
        <w:rPr>
          <w:rFonts w:ascii="Arial"/>
          <w:sz w:val="21"/>
        </w:rPr>
      </w:pPr>
    </w:p>
    <w:p w14:paraId="059D3FAD">
      <w:pPr>
        <w:pStyle w:val="3"/>
        <w:rPr>
          <w:rFonts w:ascii="Arial"/>
          <w:sz w:val="21"/>
        </w:rPr>
      </w:pPr>
    </w:p>
    <w:p w14:paraId="738CC34A">
      <w:pPr>
        <w:rPr>
          <w:rFonts w:ascii="Arial"/>
          <w:sz w:val="21"/>
        </w:rPr>
      </w:pPr>
    </w:p>
    <w:p w14:paraId="39B2D7A2">
      <w:pPr>
        <w:pStyle w:val="2"/>
        <w:rPr>
          <w:rFonts w:ascii="Arial"/>
          <w:sz w:val="21"/>
        </w:rPr>
      </w:pPr>
    </w:p>
    <w:p w14:paraId="0C0C8EB1">
      <w:pPr>
        <w:pStyle w:val="3"/>
        <w:rPr>
          <w:rFonts w:ascii="Arial"/>
          <w:sz w:val="21"/>
        </w:rPr>
      </w:pPr>
    </w:p>
    <w:p w14:paraId="3565BBFB">
      <w:pPr>
        <w:rPr>
          <w:rFonts w:ascii="Arial"/>
          <w:sz w:val="21"/>
        </w:rPr>
      </w:pPr>
    </w:p>
    <w:p w14:paraId="43255582">
      <w:pPr>
        <w:pStyle w:val="2"/>
        <w:rPr>
          <w:rFonts w:ascii="Arial"/>
          <w:sz w:val="21"/>
        </w:rPr>
      </w:pPr>
    </w:p>
    <w:p w14:paraId="1D909B4C">
      <w:pPr>
        <w:pStyle w:val="3"/>
        <w:rPr>
          <w:rFonts w:ascii="Arial"/>
          <w:sz w:val="21"/>
        </w:rPr>
      </w:pPr>
    </w:p>
    <w:p w14:paraId="18F1003A">
      <w:pPr>
        <w:rPr>
          <w:rFonts w:ascii="Arial"/>
          <w:sz w:val="21"/>
        </w:rPr>
      </w:pPr>
    </w:p>
    <w:p w14:paraId="3086BCD8">
      <w:pPr>
        <w:pStyle w:val="2"/>
        <w:rPr>
          <w:rFonts w:ascii="Arial"/>
          <w:sz w:val="21"/>
        </w:rPr>
      </w:pPr>
    </w:p>
    <w:p w14:paraId="7A8A81AA">
      <w:pPr>
        <w:pStyle w:val="3"/>
        <w:rPr>
          <w:rFonts w:ascii="Arial"/>
          <w:sz w:val="21"/>
        </w:rPr>
      </w:pPr>
    </w:p>
    <w:p w14:paraId="500D3575">
      <w:pPr>
        <w:rPr>
          <w:rFonts w:ascii="Arial"/>
          <w:sz w:val="21"/>
        </w:rPr>
      </w:pPr>
    </w:p>
    <w:p w14:paraId="15760718">
      <w:pPr>
        <w:pStyle w:val="2"/>
        <w:rPr>
          <w:rFonts w:ascii="Arial"/>
          <w:sz w:val="21"/>
        </w:rPr>
      </w:pPr>
    </w:p>
    <w:p w14:paraId="26363977">
      <w:pPr>
        <w:pStyle w:val="3"/>
        <w:rPr>
          <w:rFonts w:ascii="Arial"/>
          <w:sz w:val="21"/>
        </w:rPr>
      </w:pPr>
    </w:p>
    <w:p w14:paraId="6D7A55AE">
      <w:pPr>
        <w:rPr>
          <w:rFonts w:ascii="Arial"/>
          <w:sz w:val="21"/>
        </w:rPr>
      </w:pPr>
    </w:p>
    <w:p w14:paraId="5A825317">
      <w:pPr>
        <w:pStyle w:val="2"/>
        <w:rPr>
          <w:rFonts w:ascii="Arial"/>
          <w:sz w:val="21"/>
        </w:rPr>
      </w:pPr>
    </w:p>
    <w:p w14:paraId="695D10FE">
      <w:pPr>
        <w:pStyle w:val="3"/>
        <w:rPr>
          <w:rFonts w:ascii="Arial"/>
          <w:sz w:val="21"/>
        </w:rPr>
      </w:pPr>
    </w:p>
    <w:p w14:paraId="0E594F07">
      <w:pPr>
        <w:rPr>
          <w:rFonts w:ascii="Arial"/>
          <w:sz w:val="21"/>
        </w:rPr>
      </w:pPr>
    </w:p>
    <w:p w14:paraId="368C072E">
      <w:pPr>
        <w:pStyle w:val="2"/>
        <w:rPr>
          <w:rFonts w:ascii="Arial"/>
          <w:sz w:val="21"/>
        </w:rPr>
      </w:pPr>
    </w:p>
    <w:p w14:paraId="116D6BDF">
      <w:pPr>
        <w:pStyle w:val="3"/>
        <w:rPr>
          <w:rFonts w:ascii="Arial"/>
          <w:sz w:val="21"/>
        </w:rPr>
      </w:pPr>
    </w:p>
    <w:p w14:paraId="1E286691">
      <w:pPr>
        <w:rPr>
          <w:rFonts w:ascii="Arial"/>
          <w:sz w:val="21"/>
        </w:rPr>
      </w:pPr>
    </w:p>
    <w:p w14:paraId="41318E73">
      <w:pPr>
        <w:pStyle w:val="2"/>
        <w:rPr>
          <w:rFonts w:ascii="Arial"/>
          <w:sz w:val="21"/>
        </w:rPr>
      </w:pPr>
    </w:p>
    <w:p w14:paraId="43BA0EC4">
      <w:pPr>
        <w:pStyle w:val="3"/>
      </w:pPr>
    </w:p>
    <w:p w14:paraId="685B0142">
      <w:pPr>
        <w:spacing w:line="264" w:lineRule="auto"/>
        <w:rPr>
          <w:rFonts w:ascii="Arial"/>
          <w:sz w:val="21"/>
        </w:rPr>
      </w:pPr>
    </w:p>
    <w:p w14:paraId="68181AB3">
      <w:pPr>
        <w:spacing w:before="114" w:line="225" w:lineRule="auto"/>
        <w:ind w:left="3019"/>
        <w:rPr>
          <w:rFonts w:ascii="宋体" w:hAnsi="宋体" w:eastAsia="宋体" w:cs="宋体"/>
          <w:spacing w:val="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E8424A4">
      <w:pPr>
        <w:spacing w:before="114" w:line="225" w:lineRule="auto"/>
        <w:ind w:left="3019"/>
        <w:outlineLvl w:val="0"/>
        <w:rPr>
          <w:rFonts w:ascii="宋体" w:hAnsi="宋体" w:eastAsia="宋体" w:cs="宋体"/>
          <w:sz w:val="35"/>
          <w:szCs w:val="35"/>
        </w:rPr>
      </w:pPr>
      <w:bookmarkStart w:id="17" w:name="_Toc24057"/>
      <w:r>
        <w:rPr>
          <w:rFonts w:ascii="宋体" w:hAnsi="宋体" w:eastAsia="宋体" w:cs="宋体"/>
          <w:spacing w:val="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项</w:t>
      </w: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目绩效目标完成情况表</w:t>
      </w:r>
      <w:bookmarkEnd w:id="17"/>
    </w:p>
    <w:p w14:paraId="32606D76">
      <w:pPr>
        <w:spacing w:before="197" w:line="225" w:lineRule="auto"/>
        <w:ind w:left="411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6"/>
          <w:sz w:val="35"/>
          <w:szCs w:val="35"/>
        </w:rPr>
        <w:t>(</w:t>
      </w:r>
      <w:r>
        <w:rPr>
          <w:rFonts w:ascii="宋体" w:hAnsi="宋体" w:eastAsia="宋体" w:cs="宋体"/>
          <w:spacing w:val="-12"/>
          <w:sz w:val="35"/>
          <w:szCs w:val="35"/>
        </w:rPr>
        <w:t>2020 年度)</w:t>
      </w:r>
    </w:p>
    <w:p w14:paraId="242287C3">
      <w:pPr>
        <w:spacing w:line="65" w:lineRule="exact"/>
      </w:pPr>
    </w:p>
    <w:tbl>
      <w:tblPr>
        <w:tblStyle w:val="10"/>
        <w:tblW w:w="99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1"/>
        <w:gridCol w:w="1366"/>
        <w:gridCol w:w="1024"/>
        <w:gridCol w:w="2391"/>
        <w:gridCol w:w="2393"/>
        <w:gridCol w:w="2395"/>
      </w:tblGrid>
      <w:tr w14:paraId="3D07E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785" w:type="dxa"/>
            <w:gridSpan w:val="4"/>
            <w:vAlign w:val="top"/>
          </w:tcPr>
          <w:p w14:paraId="4068DDC4">
            <w:pPr>
              <w:spacing w:before="56" w:line="224" w:lineRule="auto"/>
              <w:ind w:left="9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目名称</w:t>
            </w:r>
          </w:p>
        </w:tc>
        <w:tc>
          <w:tcPr>
            <w:tcW w:w="7179" w:type="dxa"/>
            <w:gridSpan w:val="3"/>
            <w:vAlign w:val="top"/>
          </w:tcPr>
          <w:p w14:paraId="020A95FC">
            <w:pPr>
              <w:spacing w:before="56" w:line="224" w:lineRule="auto"/>
              <w:ind w:left="20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村道路养护及灾损道路维修</w:t>
            </w:r>
          </w:p>
        </w:tc>
      </w:tr>
      <w:tr w14:paraId="20423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785" w:type="dxa"/>
            <w:gridSpan w:val="4"/>
            <w:vAlign w:val="top"/>
          </w:tcPr>
          <w:p w14:paraId="223260C4">
            <w:pPr>
              <w:spacing w:before="51" w:line="224" w:lineRule="auto"/>
              <w:ind w:left="9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预算单位</w:t>
            </w:r>
          </w:p>
        </w:tc>
        <w:tc>
          <w:tcPr>
            <w:tcW w:w="7179" w:type="dxa"/>
            <w:gridSpan w:val="3"/>
            <w:vAlign w:val="top"/>
          </w:tcPr>
          <w:p w14:paraId="0C5BB502">
            <w:pPr>
              <w:spacing w:before="51" w:line="224" w:lineRule="auto"/>
              <w:ind w:left="30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路养护段</w:t>
            </w:r>
          </w:p>
        </w:tc>
      </w:tr>
      <w:tr w14:paraId="2FC39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94" w:type="dxa"/>
            <w:vMerge w:val="restart"/>
            <w:tcBorders>
              <w:bottom w:val="nil"/>
            </w:tcBorders>
            <w:vAlign w:val="top"/>
          </w:tcPr>
          <w:p w14:paraId="075D21FB">
            <w:pPr>
              <w:spacing w:before="54" w:line="229" w:lineRule="auto"/>
              <w:ind w:left="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预</w:t>
            </w:r>
          </w:p>
          <w:p w14:paraId="2E5C7776">
            <w:pPr>
              <w:spacing w:before="27" w:line="228" w:lineRule="auto"/>
              <w:ind w:left="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算</w:t>
            </w:r>
          </w:p>
          <w:p w14:paraId="33BF5124">
            <w:pPr>
              <w:spacing w:before="27" w:line="228" w:lineRule="auto"/>
              <w:ind w:left="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执</w:t>
            </w:r>
          </w:p>
          <w:p w14:paraId="7A211D57">
            <w:pPr>
              <w:spacing w:before="27" w:line="229" w:lineRule="auto"/>
              <w:ind w:left="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行</w:t>
            </w:r>
          </w:p>
          <w:p w14:paraId="2785A457">
            <w:pPr>
              <w:spacing w:before="26" w:line="229" w:lineRule="auto"/>
              <w:ind w:left="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情</w:t>
            </w:r>
          </w:p>
          <w:p w14:paraId="7BA5D281">
            <w:pPr>
              <w:spacing w:before="27" w:line="229" w:lineRule="auto"/>
              <w:ind w:left="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况</w:t>
            </w:r>
          </w:p>
          <w:p w14:paraId="70769016">
            <w:pPr>
              <w:spacing w:before="27" w:line="229" w:lineRule="auto"/>
              <w:ind w:left="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万</w:t>
            </w:r>
          </w:p>
          <w:p w14:paraId="5FC9F58B">
            <w:pPr>
              <w:spacing w:before="27" w:line="221" w:lineRule="auto"/>
              <w:ind w:left="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元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)</w:t>
            </w:r>
          </w:p>
        </w:tc>
        <w:tc>
          <w:tcPr>
            <w:tcW w:w="2391" w:type="dxa"/>
            <w:gridSpan w:val="3"/>
            <w:vAlign w:val="top"/>
          </w:tcPr>
          <w:p w14:paraId="24350602">
            <w:pPr>
              <w:spacing w:before="55" w:line="222" w:lineRule="auto"/>
              <w:ind w:left="7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预算数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:</w:t>
            </w:r>
          </w:p>
        </w:tc>
        <w:tc>
          <w:tcPr>
            <w:tcW w:w="2391" w:type="dxa"/>
            <w:vAlign w:val="top"/>
          </w:tcPr>
          <w:p w14:paraId="736A2C83">
            <w:pPr>
              <w:spacing w:before="92" w:line="190" w:lineRule="auto"/>
              <w:ind w:left="10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7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</w:t>
            </w:r>
          </w:p>
        </w:tc>
        <w:tc>
          <w:tcPr>
            <w:tcW w:w="2393" w:type="dxa"/>
            <w:vAlign w:val="top"/>
          </w:tcPr>
          <w:p w14:paraId="3D2893BB">
            <w:pPr>
              <w:spacing w:before="55" w:line="222" w:lineRule="auto"/>
              <w:ind w:left="7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执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行数:</w:t>
            </w:r>
          </w:p>
        </w:tc>
        <w:tc>
          <w:tcPr>
            <w:tcW w:w="2395" w:type="dxa"/>
            <w:vAlign w:val="top"/>
          </w:tcPr>
          <w:p w14:paraId="36AEA412">
            <w:pPr>
              <w:spacing w:before="92" w:line="190" w:lineRule="auto"/>
              <w:ind w:left="10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7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</w:t>
            </w:r>
          </w:p>
        </w:tc>
      </w:tr>
      <w:tr w14:paraId="428A4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94" w:type="dxa"/>
            <w:vMerge w:val="continue"/>
            <w:tcBorders>
              <w:top w:val="nil"/>
              <w:bottom w:val="nil"/>
            </w:tcBorders>
            <w:vAlign w:val="top"/>
          </w:tcPr>
          <w:p w14:paraId="138B46C1">
            <w:pPr>
              <w:rPr>
                <w:rFonts w:ascii="Arial"/>
                <w:sz w:val="21"/>
              </w:rPr>
            </w:pPr>
          </w:p>
        </w:tc>
        <w:tc>
          <w:tcPr>
            <w:tcW w:w="2391" w:type="dxa"/>
            <w:gridSpan w:val="3"/>
            <w:vAlign w:val="top"/>
          </w:tcPr>
          <w:p w14:paraId="45D14607">
            <w:pPr>
              <w:spacing w:before="54" w:line="223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中-财政拨款:</w:t>
            </w:r>
          </w:p>
        </w:tc>
        <w:tc>
          <w:tcPr>
            <w:tcW w:w="2391" w:type="dxa"/>
            <w:vAlign w:val="top"/>
          </w:tcPr>
          <w:p w14:paraId="1A431185">
            <w:pPr>
              <w:spacing w:before="91" w:line="190" w:lineRule="auto"/>
              <w:ind w:left="10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7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</w:t>
            </w:r>
          </w:p>
        </w:tc>
        <w:tc>
          <w:tcPr>
            <w:tcW w:w="2393" w:type="dxa"/>
            <w:vAlign w:val="top"/>
          </w:tcPr>
          <w:p w14:paraId="5E20AA7F">
            <w:pPr>
              <w:spacing w:before="54" w:line="223" w:lineRule="auto"/>
              <w:ind w:left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中-财政拨款:</w:t>
            </w:r>
          </w:p>
        </w:tc>
        <w:tc>
          <w:tcPr>
            <w:tcW w:w="2395" w:type="dxa"/>
            <w:vAlign w:val="top"/>
          </w:tcPr>
          <w:p w14:paraId="42AAABD8">
            <w:pPr>
              <w:spacing w:before="91" w:line="190" w:lineRule="auto"/>
              <w:ind w:left="10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7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</w:t>
            </w:r>
          </w:p>
        </w:tc>
      </w:tr>
      <w:tr w14:paraId="5CE5A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394" w:type="dxa"/>
            <w:vMerge w:val="continue"/>
            <w:tcBorders>
              <w:top w:val="nil"/>
            </w:tcBorders>
            <w:vAlign w:val="top"/>
          </w:tcPr>
          <w:p w14:paraId="7DF5230C">
            <w:pPr>
              <w:rPr>
                <w:rFonts w:ascii="Arial"/>
                <w:sz w:val="21"/>
              </w:rPr>
            </w:pPr>
          </w:p>
        </w:tc>
        <w:tc>
          <w:tcPr>
            <w:tcW w:w="2391" w:type="dxa"/>
            <w:gridSpan w:val="3"/>
            <w:vAlign w:val="top"/>
          </w:tcPr>
          <w:p w14:paraId="6F8E8FC2">
            <w:pPr>
              <w:spacing w:line="243" w:lineRule="auto"/>
              <w:rPr>
                <w:rFonts w:ascii="Arial"/>
                <w:sz w:val="21"/>
              </w:rPr>
            </w:pPr>
          </w:p>
          <w:p w14:paraId="67AAF01C">
            <w:pPr>
              <w:spacing w:line="243" w:lineRule="auto"/>
              <w:rPr>
                <w:rFonts w:ascii="Arial"/>
                <w:sz w:val="21"/>
              </w:rPr>
            </w:pPr>
          </w:p>
          <w:p w14:paraId="4AAE3985">
            <w:pPr>
              <w:spacing w:line="243" w:lineRule="auto"/>
              <w:rPr>
                <w:rFonts w:ascii="Arial"/>
                <w:sz w:val="21"/>
              </w:rPr>
            </w:pPr>
          </w:p>
          <w:p w14:paraId="30F3EDCB">
            <w:pPr>
              <w:spacing w:before="74" w:line="230" w:lineRule="auto"/>
              <w:ind w:left="6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其它资金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:</w:t>
            </w:r>
          </w:p>
        </w:tc>
        <w:tc>
          <w:tcPr>
            <w:tcW w:w="2391" w:type="dxa"/>
            <w:vAlign w:val="top"/>
          </w:tcPr>
          <w:p w14:paraId="73F7AADF">
            <w:pPr>
              <w:spacing w:line="255" w:lineRule="auto"/>
              <w:rPr>
                <w:rFonts w:ascii="Arial"/>
                <w:sz w:val="21"/>
              </w:rPr>
            </w:pPr>
          </w:p>
          <w:p w14:paraId="101B4C2E">
            <w:pPr>
              <w:spacing w:line="256" w:lineRule="auto"/>
              <w:rPr>
                <w:rFonts w:ascii="Arial"/>
                <w:sz w:val="21"/>
              </w:rPr>
            </w:pPr>
          </w:p>
          <w:p w14:paraId="108B2163">
            <w:pPr>
              <w:spacing w:line="256" w:lineRule="auto"/>
              <w:rPr>
                <w:rFonts w:ascii="Arial"/>
                <w:sz w:val="21"/>
              </w:rPr>
            </w:pPr>
          </w:p>
          <w:p w14:paraId="1DC79789">
            <w:pPr>
              <w:spacing w:before="75" w:line="190" w:lineRule="auto"/>
              <w:ind w:left="1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2393" w:type="dxa"/>
            <w:vAlign w:val="top"/>
          </w:tcPr>
          <w:p w14:paraId="6D236701">
            <w:pPr>
              <w:spacing w:line="243" w:lineRule="auto"/>
              <w:rPr>
                <w:rFonts w:ascii="Arial"/>
                <w:sz w:val="21"/>
              </w:rPr>
            </w:pPr>
          </w:p>
          <w:p w14:paraId="7996B831">
            <w:pPr>
              <w:spacing w:line="243" w:lineRule="auto"/>
              <w:rPr>
                <w:rFonts w:ascii="Arial"/>
                <w:sz w:val="21"/>
              </w:rPr>
            </w:pPr>
          </w:p>
          <w:p w14:paraId="25F60667">
            <w:pPr>
              <w:spacing w:line="243" w:lineRule="auto"/>
              <w:rPr>
                <w:rFonts w:ascii="Arial"/>
                <w:sz w:val="21"/>
              </w:rPr>
            </w:pPr>
          </w:p>
          <w:p w14:paraId="36523D71">
            <w:pPr>
              <w:spacing w:before="74" w:line="230" w:lineRule="auto"/>
              <w:ind w:left="6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其它资金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:</w:t>
            </w:r>
          </w:p>
        </w:tc>
        <w:tc>
          <w:tcPr>
            <w:tcW w:w="2395" w:type="dxa"/>
            <w:vAlign w:val="top"/>
          </w:tcPr>
          <w:p w14:paraId="6502310D">
            <w:pPr>
              <w:spacing w:line="255" w:lineRule="auto"/>
              <w:rPr>
                <w:rFonts w:ascii="Arial"/>
                <w:sz w:val="21"/>
              </w:rPr>
            </w:pPr>
          </w:p>
          <w:p w14:paraId="0FE7AA08">
            <w:pPr>
              <w:spacing w:line="256" w:lineRule="auto"/>
              <w:rPr>
                <w:rFonts w:ascii="Arial"/>
                <w:sz w:val="21"/>
              </w:rPr>
            </w:pPr>
          </w:p>
          <w:p w14:paraId="7F18A17A">
            <w:pPr>
              <w:spacing w:line="256" w:lineRule="auto"/>
              <w:rPr>
                <w:rFonts w:ascii="Arial"/>
                <w:sz w:val="21"/>
              </w:rPr>
            </w:pPr>
          </w:p>
          <w:p w14:paraId="5A42E663">
            <w:pPr>
              <w:spacing w:before="75" w:line="190" w:lineRule="auto"/>
              <w:ind w:left="11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</w:tr>
      <w:tr w14:paraId="3715E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94" w:type="dxa"/>
            <w:vMerge w:val="restart"/>
            <w:tcBorders>
              <w:bottom w:val="nil"/>
            </w:tcBorders>
            <w:textDirection w:val="tbRlV"/>
            <w:vAlign w:val="top"/>
          </w:tcPr>
          <w:p w14:paraId="745BF17F">
            <w:pPr>
              <w:spacing w:before="75" w:line="208" w:lineRule="auto"/>
              <w:ind w:left="99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度 </w:t>
            </w:r>
            <w:r>
              <w:rPr>
                <w:rFonts w:ascii="宋体" w:hAnsi="宋体" w:eastAsia="宋体" w:cs="宋体"/>
                <w:spacing w:val="-14"/>
                <w:position w:val="1"/>
                <w:sz w:val="23"/>
                <w:szCs w:val="23"/>
              </w:rPr>
              <w:t xml:space="preserve">目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标 完 成</w:t>
            </w:r>
            <w:r>
              <w:rPr>
                <w:rFonts w:hint="eastAsia" w:ascii="宋体" w:hAnsi="宋体" w:eastAsia="宋体" w:cs="宋体"/>
                <w:spacing w:val="-14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3"/>
                <w:szCs w:val="23"/>
                <w:lang w:eastAsia="zh-CN"/>
              </w:rPr>
              <w:t>情</w:t>
            </w:r>
            <w:r>
              <w:rPr>
                <w:rFonts w:hint="eastAsia" w:ascii="宋体" w:hAnsi="宋体" w:eastAsia="宋体" w:cs="宋体"/>
                <w:spacing w:val="-14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3"/>
                <w:szCs w:val="23"/>
                <w:lang w:eastAsia="zh-CN"/>
              </w:rPr>
              <w:t>况</w:t>
            </w:r>
          </w:p>
        </w:tc>
        <w:tc>
          <w:tcPr>
            <w:tcW w:w="4782" w:type="dxa"/>
            <w:gridSpan w:val="4"/>
            <w:vAlign w:val="top"/>
          </w:tcPr>
          <w:p w14:paraId="74AFA9CD">
            <w:pPr>
              <w:spacing w:before="55" w:line="222" w:lineRule="auto"/>
              <w:ind w:left="19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预期目标</w:t>
            </w:r>
          </w:p>
        </w:tc>
        <w:tc>
          <w:tcPr>
            <w:tcW w:w="4788" w:type="dxa"/>
            <w:gridSpan w:val="2"/>
            <w:vAlign w:val="top"/>
          </w:tcPr>
          <w:p w14:paraId="3FE3F313">
            <w:pPr>
              <w:spacing w:before="55" w:line="222" w:lineRule="auto"/>
              <w:ind w:left="16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实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际完成目标</w:t>
            </w:r>
          </w:p>
        </w:tc>
      </w:tr>
      <w:tr w14:paraId="03C6E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</w:trPr>
        <w:tc>
          <w:tcPr>
            <w:tcW w:w="394" w:type="dxa"/>
            <w:vMerge w:val="continue"/>
            <w:tcBorders>
              <w:top w:val="nil"/>
            </w:tcBorders>
            <w:textDirection w:val="tbRlV"/>
            <w:vAlign w:val="top"/>
          </w:tcPr>
          <w:p w14:paraId="6DFDBCA6">
            <w:pPr>
              <w:rPr>
                <w:rFonts w:ascii="Arial"/>
                <w:sz w:val="21"/>
              </w:rPr>
            </w:pPr>
          </w:p>
        </w:tc>
        <w:tc>
          <w:tcPr>
            <w:tcW w:w="4782" w:type="dxa"/>
            <w:gridSpan w:val="4"/>
            <w:vAlign w:val="top"/>
          </w:tcPr>
          <w:p w14:paraId="61F48723">
            <w:pPr>
              <w:spacing w:line="316" w:lineRule="auto"/>
              <w:rPr>
                <w:rFonts w:ascii="Arial"/>
                <w:sz w:val="21"/>
              </w:rPr>
            </w:pPr>
          </w:p>
          <w:p w14:paraId="682A7E1D">
            <w:pPr>
              <w:spacing w:line="317" w:lineRule="auto"/>
              <w:rPr>
                <w:rFonts w:ascii="Arial"/>
                <w:sz w:val="21"/>
              </w:rPr>
            </w:pPr>
          </w:p>
          <w:p w14:paraId="69B4BD2E">
            <w:pPr>
              <w:spacing w:before="75" w:line="228" w:lineRule="auto"/>
              <w:ind w:left="957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障道路的畅，安，舒，美</w:t>
            </w:r>
          </w:p>
        </w:tc>
        <w:tc>
          <w:tcPr>
            <w:tcW w:w="4788" w:type="dxa"/>
            <w:gridSpan w:val="2"/>
            <w:vAlign w:val="top"/>
          </w:tcPr>
          <w:p w14:paraId="73298ABF">
            <w:pPr>
              <w:spacing w:line="316" w:lineRule="auto"/>
              <w:rPr>
                <w:rFonts w:ascii="Arial"/>
                <w:sz w:val="21"/>
              </w:rPr>
            </w:pPr>
          </w:p>
          <w:p w14:paraId="08F7DCFE">
            <w:pPr>
              <w:spacing w:line="317" w:lineRule="auto"/>
              <w:rPr>
                <w:rFonts w:ascii="Arial"/>
                <w:sz w:val="21"/>
              </w:rPr>
            </w:pPr>
          </w:p>
          <w:p w14:paraId="1F91F907">
            <w:pPr>
              <w:spacing w:before="75" w:line="228" w:lineRule="auto"/>
              <w:ind w:left="7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面完成道路的畅，安，舒，美</w:t>
            </w:r>
          </w:p>
        </w:tc>
      </w:tr>
      <w:tr w14:paraId="1B1EF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395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421B0568">
            <w:pPr>
              <w:spacing w:before="75" w:line="217" w:lineRule="auto"/>
              <w:ind w:left="20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绩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效 指 标 完 成 情 况</w:t>
            </w:r>
          </w:p>
        </w:tc>
        <w:tc>
          <w:tcPr>
            <w:tcW w:w="1366" w:type="dxa"/>
            <w:vAlign w:val="top"/>
          </w:tcPr>
          <w:p w14:paraId="0179147C">
            <w:pPr>
              <w:spacing w:line="339" w:lineRule="auto"/>
              <w:rPr>
                <w:rFonts w:ascii="Arial"/>
                <w:sz w:val="21"/>
              </w:rPr>
            </w:pPr>
          </w:p>
          <w:p w14:paraId="079E73D9">
            <w:pPr>
              <w:spacing w:before="75" w:line="395" w:lineRule="exact"/>
              <w:ind w:left="2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6"/>
                <w:position w:val="2"/>
                <w:sz w:val="23"/>
                <w:szCs w:val="23"/>
              </w:rPr>
              <w:t>级指标</w:t>
            </w:r>
          </w:p>
        </w:tc>
        <w:tc>
          <w:tcPr>
            <w:tcW w:w="1024" w:type="dxa"/>
            <w:vAlign w:val="top"/>
          </w:tcPr>
          <w:p w14:paraId="67030257">
            <w:pPr>
              <w:spacing w:line="339" w:lineRule="auto"/>
              <w:rPr>
                <w:rFonts w:ascii="Arial"/>
                <w:sz w:val="21"/>
              </w:rPr>
            </w:pPr>
          </w:p>
          <w:p w14:paraId="54594AAF">
            <w:pPr>
              <w:spacing w:before="75" w:line="229" w:lineRule="auto"/>
              <w:ind w:lef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级指标</w:t>
            </w:r>
          </w:p>
        </w:tc>
        <w:tc>
          <w:tcPr>
            <w:tcW w:w="2391" w:type="dxa"/>
            <w:vAlign w:val="top"/>
          </w:tcPr>
          <w:p w14:paraId="5FA633D6">
            <w:pPr>
              <w:spacing w:line="339" w:lineRule="auto"/>
              <w:rPr>
                <w:rFonts w:ascii="Arial"/>
                <w:sz w:val="21"/>
              </w:rPr>
            </w:pPr>
          </w:p>
          <w:p w14:paraId="572853ED">
            <w:pPr>
              <w:spacing w:before="75" w:line="229" w:lineRule="auto"/>
              <w:ind w:left="7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级指标</w:t>
            </w:r>
          </w:p>
        </w:tc>
        <w:tc>
          <w:tcPr>
            <w:tcW w:w="2393" w:type="dxa"/>
            <w:vAlign w:val="top"/>
          </w:tcPr>
          <w:p w14:paraId="609C539D">
            <w:pPr>
              <w:spacing w:before="260" w:line="228" w:lineRule="auto"/>
              <w:ind w:left="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期指标值(包含数字</w:t>
            </w:r>
          </w:p>
          <w:p w14:paraId="66DBA1EC">
            <w:pPr>
              <w:spacing w:before="27" w:line="228" w:lineRule="auto"/>
              <w:ind w:left="5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文字描述)</w:t>
            </w:r>
          </w:p>
        </w:tc>
        <w:tc>
          <w:tcPr>
            <w:tcW w:w="2395" w:type="dxa"/>
            <w:vAlign w:val="top"/>
          </w:tcPr>
          <w:p w14:paraId="59498202">
            <w:pPr>
              <w:spacing w:before="260" w:line="228" w:lineRule="auto"/>
              <w:ind w:left="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实际完成指标值(包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含</w:t>
            </w:r>
          </w:p>
          <w:p w14:paraId="4662955E">
            <w:pPr>
              <w:spacing w:before="27" w:line="228" w:lineRule="auto"/>
              <w:ind w:left="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数字及文字描述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</w:t>
            </w:r>
          </w:p>
        </w:tc>
      </w:tr>
      <w:tr w14:paraId="12D12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395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32FAC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6342CD5">
            <w:pPr>
              <w:spacing w:line="337" w:lineRule="auto"/>
              <w:rPr>
                <w:rFonts w:ascii="Arial"/>
                <w:sz w:val="21"/>
              </w:rPr>
            </w:pPr>
          </w:p>
          <w:p w14:paraId="300E1642">
            <w:pPr>
              <w:spacing w:line="337" w:lineRule="auto"/>
              <w:rPr>
                <w:rFonts w:ascii="Arial"/>
                <w:sz w:val="21"/>
              </w:rPr>
            </w:pPr>
          </w:p>
          <w:p w14:paraId="7AAE26E8">
            <w:pPr>
              <w:spacing w:before="75" w:line="265" w:lineRule="auto"/>
              <w:ind w:left="567" w:right="83" w:hanging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目完成指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标</w:t>
            </w:r>
          </w:p>
        </w:tc>
        <w:tc>
          <w:tcPr>
            <w:tcW w:w="1024" w:type="dxa"/>
            <w:vAlign w:val="top"/>
          </w:tcPr>
          <w:p w14:paraId="5620648C">
            <w:pPr>
              <w:spacing w:line="276" w:lineRule="auto"/>
              <w:rPr>
                <w:rFonts w:ascii="Arial"/>
                <w:sz w:val="21"/>
              </w:rPr>
            </w:pPr>
          </w:p>
          <w:p w14:paraId="08AA8EC9">
            <w:pPr>
              <w:spacing w:line="276" w:lineRule="auto"/>
              <w:rPr>
                <w:rFonts w:ascii="Arial"/>
                <w:sz w:val="21"/>
              </w:rPr>
            </w:pPr>
          </w:p>
          <w:p w14:paraId="601323CC">
            <w:pPr>
              <w:spacing w:line="276" w:lineRule="auto"/>
              <w:rPr>
                <w:rFonts w:ascii="Arial"/>
                <w:sz w:val="21"/>
              </w:rPr>
            </w:pPr>
          </w:p>
          <w:p w14:paraId="3006CC2C">
            <w:pPr>
              <w:spacing w:before="75" w:line="228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数量指标</w:t>
            </w:r>
          </w:p>
        </w:tc>
        <w:tc>
          <w:tcPr>
            <w:tcW w:w="2391" w:type="dxa"/>
            <w:vAlign w:val="top"/>
          </w:tcPr>
          <w:p w14:paraId="47D76D1B">
            <w:pPr>
              <w:spacing w:line="251" w:lineRule="auto"/>
              <w:rPr>
                <w:rFonts w:ascii="Arial"/>
                <w:sz w:val="21"/>
              </w:rPr>
            </w:pPr>
          </w:p>
          <w:p w14:paraId="6D3DF7ED">
            <w:pPr>
              <w:spacing w:line="252" w:lineRule="auto"/>
              <w:rPr>
                <w:rFonts w:ascii="Arial"/>
                <w:sz w:val="21"/>
              </w:rPr>
            </w:pPr>
          </w:p>
          <w:p w14:paraId="7C44DDC8">
            <w:pPr>
              <w:spacing w:before="98" w:line="391" w:lineRule="auto"/>
              <w:ind w:left="15" w:right="11" w:hanging="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4"/>
                <w:sz w:val="23"/>
                <w:szCs w:val="23"/>
              </w:rPr>
              <w:t>加</w:t>
            </w:r>
            <w:r>
              <w:rPr>
                <w:rFonts w:ascii="微软雅黑" w:hAnsi="微软雅黑" w:eastAsia="微软雅黑" w:cs="微软雅黑"/>
                <w:spacing w:val="32"/>
                <w:sz w:val="23"/>
                <w:szCs w:val="23"/>
              </w:rPr>
              <w:t>强对公路道路的维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修</w:t>
            </w:r>
          </w:p>
        </w:tc>
        <w:tc>
          <w:tcPr>
            <w:tcW w:w="2393" w:type="dxa"/>
            <w:vAlign w:val="top"/>
          </w:tcPr>
          <w:p w14:paraId="703AF99B">
            <w:pPr>
              <w:spacing w:before="295" w:line="379" w:lineRule="auto"/>
              <w:ind w:left="15" w:right="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 xml:space="preserve">无严重的水毁现象 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，严 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格日常管理 ，及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时整改</w:t>
            </w:r>
          </w:p>
          <w:p w14:paraId="4F55B898">
            <w:pPr>
              <w:spacing w:before="1" w:line="188" w:lineRule="auto"/>
              <w:ind w:left="2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隐患</w:t>
            </w:r>
          </w:p>
        </w:tc>
        <w:tc>
          <w:tcPr>
            <w:tcW w:w="2395" w:type="dxa"/>
            <w:vAlign w:val="top"/>
          </w:tcPr>
          <w:p w14:paraId="15ABBEF2">
            <w:pPr>
              <w:spacing w:before="292" w:line="380" w:lineRule="auto"/>
              <w:ind w:left="26" w:right="14" w:hanging="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4"/>
                <w:sz w:val="23"/>
                <w:szCs w:val="23"/>
              </w:rPr>
              <w:t>做</w:t>
            </w:r>
            <w:r>
              <w:rPr>
                <w:rFonts w:ascii="微软雅黑" w:hAnsi="微软雅黑" w:eastAsia="微软雅黑" w:cs="微软雅黑"/>
                <w:spacing w:val="32"/>
                <w:sz w:val="23"/>
                <w:szCs w:val="23"/>
              </w:rPr>
              <w:t>好了道路的保通保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畅 ，确保了广大群</w:t>
            </w: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众安</w:t>
            </w:r>
          </w:p>
          <w:p w14:paraId="026225B8">
            <w:pPr>
              <w:spacing w:before="1" w:line="188" w:lineRule="auto"/>
              <w:ind w:left="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全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通行。</w:t>
            </w:r>
          </w:p>
        </w:tc>
      </w:tr>
      <w:tr w14:paraId="10615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395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06908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4CD8182">
            <w:pPr>
              <w:spacing w:line="252" w:lineRule="auto"/>
              <w:rPr>
                <w:rFonts w:ascii="Arial"/>
                <w:sz w:val="21"/>
              </w:rPr>
            </w:pPr>
          </w:p>
          <w:p w14:paraId="36500A83">
            <w:pPr>
              <w:spacing w:line="252" w:lineRule="auto"/>
              <w:rPr>
                <w:rFonts w:ascii="Arial"/>
                <w:sz w:val="21"/>
              </w:rPr>
            </w:pPr>
          </w:p>
          <w:p w14:paraId="784A4C41">
            <w:pPr>
              <w:spacing w:line="252" w:lineRule="auto"/>
              <w:rPr>
                <w:rFonts w:ascii="Arial"/>
                <w:sz w:val="21"/>
              </w:rPr>
            </w:pPr>
          </w:p>
          <w:p w14:paraId="5C504F0D">
            <w:pPr>
              <w:spacing w:before="75" w:line="229" w:lineRule="auto"/>
              <w:ind w:left="2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效益指标</w:t>
            </w:r>
          </w:p>
        </w:tc>
        <w:tc>
          <w:tcPr>
            <w:tcW w:w="1024" w:type="dxa"/>
            <w:vAlign w:val="top"/>
          </w:tcPr>
          <w:p w14:paraId="548D89DE">
            <w:pPr>
              <w:spacing w:before="222" w:line="190" w:lineRule="auto"/>
              <w:ind w:left="3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保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障了经</w:t>
            </w:r>
          </w:p>
          <w:p w14:paraId="04A1311E">
            <w:pPr>
              <w:spacing w:before="313" w:line="189" w:lineRule="auto"/>
              <w:ind w:left="3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济的合理</w:t>
            </w:r>
          </w:p>
          <w:p w14:paraId="54A0DCD6">
            <w:pPr>
              <w:spacing w:before="319" w:line="185" w:lineRule="auto"/>
              <w:ind w:left="27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利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用</w:t>
            </w:r>
          </w:p>
        </w:tc>
        <w:tc>
          <w:tcPr>
            <w:tcW w:w="2391" w:type="dxa"/>
            <w:vAlign w:val="top"/>
          </w:tcPr>
          <w:p w14:paraId="2394DFF5">
            <w:pPr>
              <w:spacing w:line="431" w:lineRule="auto"/>
              <w:rPr>
                <w:rFonts w:ascii="Arial"/>
                <w:sz w:val="21"/>
              </w:rPr>
            </w:pPr>
          </w:p>
          <w:p w14:paraId="2E85F4C6">
            <w:pPr>
              <w:spacing w:before="99" w:line="390" w:lineRule="auto"/>
              <w:ind w:left="13" w:right="11" w:firstLine="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受广大群众的监督 ，提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供更满意的服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务</w:t>
            </w:r>
          </w:p>
        </w:tc>
        <w:tc>
          <w:tcPr>
            <w:tcW w:w="2393" w:type="dxa"/>
            <w:vAlign w:val="top"/>
          </w:tcPr>
          <w:p w14:paraId="405E87A3">
            <w:pPr>
              <w:spacing w:line="432" w:lineRule="auto"/>
              <w:rPr>
                <w:rFonts w:ascii="Arial"/>
                <w:sz w:val="21"/>
              </w:rPr>
            </w:pPr>
          </w:p>
          <w:p w14:paraId="2FA6C4C5">
            <w:pPr>
              <w:spacing w:before="99" w:line="394" w:lineRule="auto"/>
              <w:ind w:left="14" w:right="11" w:hanging="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6"/>
                <w:sz w:val="23"/>
                <w:szCs w:val="23"/>
              </w:rPr>
              <w:t>不</w:t>
            </w:r>
            <w:r>
              <w:rPr>
                <w:rFonts w:ascii="微软雅黑" w:hAnsi="微软雅黑" w:eastAsia="微软雅黑" w:cs="微软雅黑"/>
                <w:spacing w:val="32"/>
                <w:sz w:val="23"/>
                <w:szCs w:val="23"/>
              </w:rPr>
              <w:t>发生严重的水毁情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况</w:t>
            </w:r>
          </w:p>
        </w:tc>
        <w:tc>
          <w:tcPr>
            <w:tcW w:w="2395" w:type="dxa"/>
            <w:vAlign w:val="top"/>
          </w:tcPr>
          <w:p w14:paraId="798AA618">
            <w:pPr>
              <w:spacing w:line="247" w:lineRule="auto"/>
              <w:rPr>
                <w:rFonts w:ascii="Arial"/>
                <w:sz w:val="21"/>
              </w:rPr>
            </w:pPr>
          </w:p>
          <w:p w14:paraId="6E21060C">
            <w:pPr>
              <w:spacing w:line="247" w:lineRule="auto"/>
              <w:rPr>
                <w:rFonts w:ascii="Arial"/>
                <w:sz w:val="21"/>
              </w:rPr>
            </w:pPr>
          </w:p>
          <w:p w14:paraId="4A26ECB2">
            <w:pPr>
              <w:spacing w:line="248" w:lineRule="auto"/>
              <w:rPr>
                <w:rFonts w:ascii="Arial"/>
                <w:sz w:val="21"/>
              </w:rPr>
            </w:pPr>
          </w:p>
          <w:p w14:paraId="4EFEE867">
            <w:pPr>
              <w:spacing w:before="99" w:line="189" w:lineRule="auto"/>
              <w:ind w:left="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人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民群众收到实惠</w:t>
            </w:r>
          </w:p>
        </w:tc>
      </w:tr>
      <w:tr w14:paraId="61DAC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395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930F9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6899A76">
            <w:pPr>
              <w:spacing w:line="260" w:lineRule="auto"/>
              <w:rPr>
                <w:rFonts w:ascii="Arial"/>
                <w:sz w:val="21"/>
              </w:rPr>
            </w:pPr>
          </w:p>
          <w:p w14:paraId="175938E9">
            <w:pPr>
              <w:spacing w:line="260" w:lineRule="auto"/>
              <w:rPr>
                <w:rFonts w:ascii="Arial"/>
                <w:sz w:val="21"/>
              </w:rPr>
            </w:pPr>
          </w:p>
          <w:p w14:paraId="1AC2F453">
            <w:pPr>
              <w:spacing w:before="75" w:line="228" w:lineRule="auto"/>
              <w:ind w:left="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满意度指标</w:t>
            </w:r>
          </w:p>
        </w:tc>
        <w:tc>
          <w:tcPr>
            <w:tcW w:w="1024" w:type="dxa"/>
            <w:vAlign w:val="top"/>
          </w:tcPr>
          <w:p w14:paraId="62AC8D42">
            <w:pPr>
              <w:spacing w:before="298" w:line="624" w:lineRule="exact"/>
              <w:ind w:left="1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9"/>
                <w:position w:val="30"/>
                <w:sz w:val="23"/>
                <w:szCs w:val="23"/>
              </w:rPr>
              <w:t>公</w:t>
            </w:r>
            <w:r>
              <w:rPr>
                <w:rFonts w:ascii="微软雅黑" w:hAnsi="微软雅黑" w:eastAsia="微软雅黑" w:cs="微软雅黑"/>
                <w:spacing w:val="18"/>
                <w:position w:val="30"/>
                <w:sz w:val="23"/>
                <w:szCs w:val="23"/>
              </w:rPr>
              <w:t>路道路</w:t>
            </w:r>
          </w:p>
          <w:p w14:paraId="00E30705">
            <w:pPr>
              <w:spacing w:before="1" w:line="188" w:lineRule="auto"/>
              <w:ind w:left="1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维修达标</w:t>
            </w:r>
          </w:p>
        </w:tc>
        <w:tc>
          <w:tcPr>
            <w:tcW w:w="2391" w:type="dxa"/>
            <w:vAlign w:val="top"/>
          </w:tcPr>
          <w:p w14:paraId="290B0A27">
            <w:pPr>
              <w:spacing w:before="298" w:line="622" w:lineRule="exact"/>
              <w:ind w:left="2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5"/>
                <w:position w:val="30"/>
                <w:sz w:val="23"/>
                <w:szCs w:val="23"/>
              </w:rPr>
              <w:t>为</w:t>
            </w:r>
            <w:r>
              <w:rPr>
                <w:rFonts w:ascii="微软雅黑" w:hAnsi="微软雅黑" w:eastAsia="微软雅黑" w:cs="微软雅黑"/>
                <w:spacing w:val="31"/>
                <w:position w:val="30"/>
                <w:sz w:val="23"/>
                <w:szCs w:val="23"/>
              </w:rPr>
              <w:t>广大人民群众提供</w:t>
            </w:r>
          </w:p>
          <w:p w14:paraId="05CECDF2">
            <w:pPr>
              <w:spacing w:before="1" w:line="189" w:lineRule="auto"/>
              <w:ind w:left="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更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好的畅安舒美</w:t>
            </w:r>
          </w:p>
        </w:tc>
        <w:tc>
          <w:tcPr>
            <w:tcW w:w="2393" w:type="dxa"/>
            <w:vAlign w:val="top"/>
          </w:tcPr>
          <w:p w14:paraId="0D1A3BDC">
            <w:pPr>
              <w:spacing w:before="296" w:line="581" w:lineRule="exact"/>
              <w:ind w:left="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33"/>
                <w:position w:val="26"/>
                <w:sz w:val="23"/>
                <w:szCs w:val="23"/>
              </w:rPr>
              <w:t>受</w:t>
            </w:r>
            <w:r>
              <w:rPr>
                <w:rFonts w:ascii="微软雅黑" w:hAnsi="微软雅黑" w:eastAsia="微软雅黑" w:cs="微软雅黑"/>
                <w:spacing w:val="32"/>
                <w:position w:val="26"/>
                <w:sz w:val="23"/>
                <w:szCs w:val="23"/>
              </w:rPr>
              <w:t>益群众满意度达到</w:t>
            </w:r>
          </w:p>
          <w:p w14:paraId="587EB449">
            <w:pPr>
              <w:spacing w:before="1" w:line="233" w:lineRule="auto"/>
              <w:ind w:left="2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9</w:t>
            </w:r>
            <w:r>
              <w:rPr>
                <w:rFonts w:ascii="微软雅黑" w:hAnsi="微软雅黑" w:eastAsia="微软雅黑" w:cs="微软雅黑"/>
                <w:spacing w:val="5"/>
                <w:sz w:val="23"/>
                <w:szCs w:val="23"/>
              </w:rPr>
              <w:t>0%以上</w:t>
            </w:r>
          </w:p>
        </w:tc>
        <w:tc>
          <w:tcPr>
            <w:tcW w:w="2395" w:type="dxa"/>
            <w:vAlign w:val="top"/>
          </w:tcPr>
          <w:p w14:paraId="23DA6AE3">
            <w:pPr>
              <w:spacing w:line="463" w:lineRule="auto"/>
              <w:rPr>
                <w:rFonts w:ascii="Arial"/>
                <w:sz w:val="21"/>
              </w:rPr>
            </w:pPr>
          </w:p>
          <w:p w14:paraId="28EDD4E8">
            <w:pPr>
              <w:spacing w:before="99" w:line="234" w:lineRule="auto"/>
              <w:ind w:left="1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满意度 99%</w:t>
            </w:r>
          </w:p>
        </w:tc>
      </w:tr>
    </w:tbl>
    <w:p w14:paraId="08EEAB2E">
      <w:pPr>
        <w:tabs>
          <w:tab w:val="left" w:pos="643"/>
        </w:tabs>
        <w:bidi w:val="0"/>
        <w:jc w:val="left"/>
        <w:rPr>
          <w:rFonts w:hint="eastAsia"/>
          <w:lang w:eastAsia="zh-CN"/>
        </w:rPr>
        <w:sectPr>
          <w:footerReference r:id="rId17" w:type="default"/>
          <w:pgSz w:w="11906" w:h="16839"/>
          <w:pgMar w:top="1431" w:right="983" w:bottom="400" w:left="953" w:header="0" w:footer="0" w:gutter="0"/>
          <w:cols w:space="720" w:num="1"/>
        </w:sectPr>
      </w:pPr>
    </w:p>
    <w:p w14:paraId="5AA6227B">
      <w:pPr>
        <w:spacing w:before="114" w:line="225" w:lineRule="auto"/>
        <w:ind w:left="301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项</w:t>
      </w: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目绩效目标完成情况表</w:t>
      </w:r>
    </w:p>
    <w:p w14:paraId="2EDAC89D">
      <w:pPr>
        <w:spacing w:before="114" w:line="225" w:lineRule="auto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项</w:t>
      </w: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目绩效目标完成情况表</w:t>
      </w:r>
    </w:p>
    <w:p w14:paraId="5D9E91B7">
      <w:pPr>
        <w:spacing w:before="197" w:line="225" w:lineRule="auto"/>
        <w:ind w:left="468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18"/>
          <w:sz w:val="35"/>
          <w:szCs w:val="35"/>
        </w:rPr>
        <w:t>(</w:t>
      </w:r>
      <w:r>
        <w:rPr>
          <w:rFonts w:ascii="宋体" w:hAnsi="宋体" w:eastAsia="宋体" w:cs="宋体"/>
          <w:spacing w:val="-12"/>
          <w:sz w:val="35"/>
          <w:szCs w:val="35"/>
        </w:rPr>
        <w:t>2020 年度)</w:t>
      </w:r>
    </w:p>
    <w:p w14:paraId="4F2F07B1">
      <w:pPr>
        <w:spacing w:line="63" w:lineRule="exact"/>
      </w:pPr>
    </w:p>
    <w:tbl>
      <w:tblPr>
        <w:tblStyle w:val="10"/>
        <w:tblW w:w="9919" w:type="dxa"/>
        <w:tblInd w:w="-5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2144"/>
        <w:gridCol w:w="2144"/>
        <w:gridCol w:w="2146"/>
        <w:gridCol w:w="2149"/>
      </w:tblGrid>
      <w:tr w14:paraId="23B98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480" w:type="dxa"/>
            <w:gridSpan w:val="2"/>
            <w:vAlign w:val="top"/>
          </w:tcPr>
          <w:p w14:paraId="2EEF2936">
            <w:pPr>
              <w:spacing w:before="55" w:line="225" w:lineRule="auto"/>
              <w:ind w:left="9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目名称</w:t>
            </w:r>
          </w:p>
        </w:tc>
        <w:tc>
          <w:tcPr>
            <w:tcW w:w="6439" w:type="dxa"/>
            <w:gridSpan w:val="3"/>
            <w:vAlign w:val="top"/>
          </w:tcPr>
          <w:p w14:paraId="675DBE74">
            <w:pPr>
              <w:spacing w:before="55" w:line="225" w:lineRule="auto"/>
              <w:ind w:left="3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隧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道电费</w:t>
            </w:r>
          </w:p>
        </w:tc>
      </w:tr>
      <w:tr w14:paraId="1FBAC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480" w:type="dxa"/>
            <w:gridSpan w:val="2"/>
            <w:vAlign w:val="top"/>
          </w:tcPr>
          <w:p w14:paraId="6FF546A1">
            <w:pPr>
              <w:spacing w:before="53" w:line="223" w:lineRule="auto"/>
              <w:ind w:left="9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预算单位</w:t>
            </w:r>
          </w:p>
        </w:tc>
        <w:tc>
          <w:tcPr>
            <w:tcW w:w="6439" w:type="dxa"/>
            <w:gridSpan w:val="3"/>
            <w:vAlign w:val="top"/>
          </w:tcPr>
          <w:p w14:paraId="59A00298">
            <w:pPr>
              <w:spacing w:before="53" w:line="223" w:lineRule="auto"/>
              <w:ind w:left="30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路养护段</w:t>
            </w:r>
          </w:p>
        </w:tc>
      </w:tr>
      <w:tr w14:paraId="77FAC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 w14:paraId="0BBF8A5D">
            <w:pPr>
              <w:spacing w:before="49" w:line="247" w:lineRule="auto"/>
              <w:ind w:left="66" w:right="14" w:firstLine="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万</w:t>
            </w:r>
          </w:p>
        </w:tc>
        <w:tc>
          <w:tcPr>
            <w:tcW w:w="2144" w:type="dxa"/>
            <w:vAlign w:val="top"/>
          </w:tcPr>
          <w:p w14:paraId="1CEB8409">
            <w:pPr>
              <w:spacing w:before="53" w:line="223" w:lineRule="auto"/>
              <w:ind w:left="7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预算数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:</w:t>
            </w:r>
          </w:p>
        </w:tc>
        <w:tc>
          <w:tcPr>
            <w:tcW w:w="2144" w:type="dxa"/>
            <w:vAlign w:val="top"/>
          </w:tcPr>
          <w:p w14:paraId="01D0CDF5">
            <w:pPr>
              <w:spacing w:before="91" w:line="190" w:lineRule="auto"/>
              <w:ind w:left="9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26.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</w:p>
        </w:tc>
        <w:tc>
          <w:tcPr>
            <w:tcW w:w="2146" w:type="dxa"/>
            <w:vAlign w:val="top"/>
          </w:tcPr>
          <w:p w14:paraId="0132CA8F">
            <w:pPr>
              <w:spacing w:before="53" w:line="223" w:lineRule="auto"/>
              <w:ind w:left="7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执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行数:</w:t>
            </w:r>
          </w:p>
        </w:tc>
        <w:tc>
          <w:tcPr>
            <w:tcW w:w="2149" w:type="dxa"/>
            <w:vAlign w:val="top"/>
          </w:tcPr>
          <w:p w14:paraId="0A8AB284">
            <w:pPr>
              <w:spacing w:before="91" w:line="190" w:lineRule="auto"/>
              <w:ind w:left="9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26.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</w:p>
        </w:tc>
      </w:tr>
      <w:tr w14:paraId="41CF8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 w14:paraId="6F829AE5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vAlign w:val="top"/>
          </w:tcPr>
          <w:p w14:paraId="60B0E454">
            <w:pPr>
              <w:spacing w:before="55" w:line="222" w:lineRule="auto"/>
              <w:ind w:left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中-财政拨款:</w:t>
            </w:r>
          </w:p>
        </w:tc>
        <w:tc>
          <w:tcPr>
            <w:tcW w:w="2144" w:type="dxa"/>
            <w:vAlign w:val="top"/>
          </w:tcPr>
          <w:p w14:paraId="20BA47B4">
            <w:pPr>
              <w:spacing w:before="93" w:line="190" w:lineRule="auto"/>
              <w:ind w:left="9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26.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</w:p>
        </w:tc>
        <w:tc>
          <w:tcPr>
            <w:tcW w:w="2146" w:type="dxa"/>
            <w:vAlign w:val="top"/>
          </w:tcPr>
          <w:p w14:paraId="4485AE47">
            <w:pPr>
              <w:spacing w:before="55" w:line="222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中-财政拨款:</w:t>
            </w:r>
          </w:p>
        </w:tc>
        <w:tc>
          <w:tcPr>
            <w:tcW w:w="2149" w:type="dxa"/>
            <w:vAlign w:val="top"/>
          </w:tcPr>
          <w:p w14:paraId="233B2D9D">
            <w:pPr>
              <w:spacing w:before="93" w:line="190" w:lineRule="auto"/>
              <w:ind w:left="9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26.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4</w:t>
            </w:r>
          </w:p>
        </w:tc>
      </w:tr>
      <w:tr w14:paraId="19899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 w14:paraId="2BABB6F2">
            <w:pPr>
              <w:rPr>
                <w:rFonts w:ascii="Arial"/>
                <w:sz w:val="21"/>
              </w:rPr>
            </w:pPr>
          </w:p>
        </w:tc>
        <w:tc>
          <w:tcPr>
            <w:tcW w:w="2144" w:type="dxa"/>
            <w:vAlign w:val="top"/>
          </w:tcPr>
          <w:p w14:paraId="5E57F8D8">
            <w:pPr>
              <w:spacing w:line="287" w:lineRule="auto"/>
              <w:rPr>
                <w:rFonts w:ascii="Arial"/>
                <w:sz w:val="21"/>
              </w:rPr>
            </w:pPr>
          </w:p>
          <w:p w14:paraId="454BBAEA">
            <w:pPr>
              <w:spacing w:line="288" w:lineRule="auto"/>
              <w:rPr>
                <w:rFonts w:ascii="Arial"/>
                <w:sz w:val="21"/>
              </w:rPr>
            </w:pPr>
          </w:p>
          <w:p w14:paraId="2FF6C58A">
            <w:pPr>
              <w:spacing w:before="75" w:line="230" w:lineRule="auto"/>
              <w:ind w:left="6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其它资金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:</w:t>
            </w:r>
          </w:p>
        </w:tc>
        <w:tc>
          <w:tcPr>
            <w:tcW w:w="2144" w:type="dxa"/>
            <w:vAlign w:val="top"/>
          </w:tcPr>
          <w:p w14:paraId="6B7209EC">
            <w:pPr>
              <w:spacing w:line="306" w:lineRule="auto"/>
              <w:rPr>
                <w:rFonts w:ascii="Arial"/>
                <w:sz w:val="21"/>
              </w:rPr>
            </w:pPr>
          </w:p>
          <w:p w14:paraId="2E62306D">
            <w:pPr>
              <w:spacing w:line="307" w:lineRule="auto"/>
              <w:rPr>
                <w:rFonts w:ascii="Arial"/>
                <w:sz w:val="21"/>
              </w:rPr>
            </w:pPr>
          </w:p>
          <w:p w14:paraId="4CF6356F">
            <w:pPr>
              <w:spacing w:before="75" w:line="190" w:lineRule="auto"/>
              <w:ind w:left="11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  <w:tc>
          <w:tcPr>
            <w:tcW w:w="2146" w:type="dxa"/>
            <w:vAlign w:val="top"/>
          </w:tcPr>
          <w:p w14:paraId="49DC5A39">
            <w:pPr>
              <w:spacing w:line="287" w:lineRule="auto"/>
              <w:rPr>
                <w:rFonts w:ascii="Arial"/>
                <w:sz w:val="21"/>
              </w:rPr>
            </w:pPr>
          </w:p>
          <w:p w14:paraId="17C68475">
            <w:pPr>
              <w:spacing w:line="288" w:lineRule="auto"/>
              <w:rPr>
                <w:rFonts w:ascii="Arial"/>
                <w:sz w:val="21"/>
              </w:rPr>
            </w:pPr>
          </w:p>
          <w:p w14:paraId="22F5DDD2">
            <w:pPr>
              <w:spacing w:before="75" w:line="230" w:lineRule="auto"/>
              <w:ind w:left="6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其它资金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:</w:t>
            </w:r>
          </w:p>
        </w:tc>
        <w:tc>
          <w:tcPr>
            <w:tcW w:w="2149" w:type="dxa"/>
            <w:vAlign w:val="top"/>
          </w:tcPr>
          <w:p w14:paraId="4D0A55B7">
            <w:pPr>
              <w:spacing w:line="306" w:lineRule="auto"/>
              <w:rPr>
                <w:rFonts w:ascii="Arial"/>
                <w:sz w:val="21"/>
              </w:rPr>
            </w:pPr>
          </w:p>
          <w:p w14:paraId="580D63BA">
            <w:pPr>
              <w:spacing w:line="307" w:lineRule="auto"/>
              <w:rPr>
                <w:rFonts w:ascii="Arial"/>
                <w:sz w:val="21"/>
              </w:rPr>
            </w:pPr>
          </w:p>
          <w:p w14:paraId="7D40A8B3">
            <w:pPr>
              <w:spacing w:before="75" w:line="190" w:lineRule="auto"/>
              <w:ind w:left="1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0</w:t>
            </w:r>
          </w:p>
        </w:tc>
      </w:tr>
    </w:tbl>
    <w:p w14:paraId="41559B8C">
      <w:pPr>
        <w:spacing w:line="91" w:lineRule="auto"/>
        <w:rPr>
          <w:rFonts w:ascii="Arial"/>
          <w:sz w:val="2"/>
        </w:rPr>
      </w:pPr>
    </w:p>
    <w:tbl>
      <w:tblPr>
        <w:tblStyle w:val="10"/>
        <w:tblW w:w="9935" w:type="dxa"/>
        <w:tblInd w:w="-54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1366"/>
        <w:gridCol w:w="1190"/>
        <w:gridCol w:w="2170"/>
        <w:gridCol w:w="2118"/>
        <w:gridCol w:w="2153"/>
      </w:tblGrid>
      <w:tr w14:paraId="439B4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38" w:type="dxa"/>
            <w:vMerge w:val="restart"/>
            <w:tcBorders>
              <w:bottom w:val="nil"/>
            </w:tcBorders>
            <w:textDirection w:val="tbRlV"/>
            <w:vAlign w:val="top"/>
          </w:tcPr>
          <w:p w14:paraId="07B4D426">
            <w:pPr>
              <w:spacing w:before="75" w:line="201" w:lineRule="auto"/>
              <w:ind w:left="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度 </w:t>
            </w:r>
            <w:r>
              <w:rPr>
                <w:rFonts w:ascii="宋体" w:hAnsi="宋体" w:eastAsia="宋体" w:cs="宋体"/>
                <w:spacing w:val="-14"/>
                <w:position w:val="2"/>
                <w:sz w:val="23"/>
                <w:szCs w:val="23"/>
              </w:rPr>
              <w:t xml:space="preserve">目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标 完 成 情 况</w:t>
            </w:r>
          </w:p>
        </w:tc>
        <w:tc>
          <w:tcPr>
            <w:tcW w:w="4726" w:type="dxa"/>
            <w:gridSpan w:val="3"/>
            <w:vAlign w:val="top"/>
          </w:tcPr>
          <w:p w14:paraId="6523F73C">
            <w:pPr>
              <w:spacing w:before="51" w:line="225" w:lineRule="auto"/>
              <w:ind w:left="19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预期目标</w:t>
            </w:r>
          </w:p>
        </w:tc>
        <w:tc>
          <w:tcPr>
            <w:tcW w:w="4271" w:type="dxa"/>
            <w:gridSpan w:val="2"/>
            <w:vAlign w:val="top"/>
          </w:tcPr>
          <w:p w14:paraId="30D28CBE">
            <w:pPr>
              <w:spacing w:before="51" w:line="225" w:lineRule="auto"/>
              <w:ind w:left="16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实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际完成目标</w:t>
            </w:r>
          </w:p>
        </w:tc>
      </w:tr>
      <w:tr w14:paraId="595D3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938" w:type="dxa"/>
            <w:vMerge w:val="continue"/>
            <w:tcBorders>
              <w:top w:val="nil"/>
            </w:tcBorders>
            <w:textDirection w:val="tbRlV"/>
            <w:vAlign w:val="top"/>
          </w:tcPr>
          <w:p w14:paraId="45A066FC">
            <w:pPr>
              <w:rPr>
                <w:rFonts w:ascii="Arial"/>
                <w:sz w:val="21"/>
              </w:rPr>
            </w:pPr>
          </w:p>
        </w:tc>
        <w:tc>
          <w:tcPr>
            <w:tcW w:w="4726" w:type="dxa"/>
            <w:gridSpan w:val="3"/>
            <w:vAlign w:val="top"/>
          </w:tcPr>
          <w:p w14:paraId="09BA6404">
            <w:pPr>
              <w:spacing w:line="291" w:lineRule="auto"/>
              <w:rPr>
                <w:rFonts w:ascii="Arial"/>
                <w:sz w:val="21"/>
              </w:rPr>
            </w:pPr>
          </w:p>
          <w:p w14:paraId="5333B7AA">
            <w:pPr>
              <w:spacing w:line="292" w:lineRule="auto"/>
              <w:rPr>
                <w:rFonts w:ascii="Arial"/>
                <w:sz w:val="21"/>
              </w:rPr>
            </w:pPr>
          </w:p>
          <w:p w14:paraId="4153BC57">
            <w:pPr>
              <w:spacing w:before="75" w:line="258" w:lineRule="auto"/>
              <w:ind w:left="17" w:firstLine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我段管养国道 542 线、国道 108 线两座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道共计长 1148 米，隧道电费使用确保照明灯、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轮廓标、指示灯等照明满足要求，保障通行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辆安全通行。</w:t>
            </w:r>
          </w:p>
        </w:tc>
        <w:tc>
          <w:tcPr>
            <w:tcW w:w="4271" w:type="dxa"/>
            <w:gridSpan w:val="2"/>
            <w:vAlign w:val="top"/>
          </w:tcPr>
          <w:p w14:paraId="73D1C8A8">
            <w:pPr>
              <w:spacing w:line="298" w:lineRule="auto"/>
              <w:rPr>
                <w:rFonts w:ascii="Arial"/>
                <w:sz w:val="21"/>
              </w:rPr>
            </w:pPr>
          </w:p>
          <w:p w14:paraId="3790C3EE">
            <w:pPr>
              <w:spacing w:line="298" w:lineRule="auto"/>
              <w:rPr>
                <w:rFonts w:ascii="Arial"/>
                <w:sz w:val="21"/>
              </w:rPr>
            </w:pPr>
          </w:p>
          <w:p w14:paraId="0E2ED12F">
            <w:pPr>
              <w:spacing w:line="299" w:lineRule="auto"/>
              <w:rPr>
                <w:rFonts w:ascii="Arial"/>
                <w:sz w:val="21"/>
              </w:rPr>
            </w:pPr>
          </w:p>
          <w:p w14:paraId="3432B1ED">
            <w:pPr>
              <w:spacing w:before="74" w:line="228" w:lineRule="auto"/>
              <w:ind w:left="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保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了隧道照片要求，确保了隧道通行安全。</w:t>
            </w:r>
          </w:p>
        </w:tc>
      </w:tr>
      <w:tr w14:paraId="68884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938" w:type="dxa"/>
            <w:vMerge w:val="restart"/>
            <w:tcBorders>
              <w:bottom w:val="nil"/>
            </w:tcBorders>
            <w:textDirection w:val="tbRlV"/>
            <w:vAlign w:val="top"/>
          </w:tcPr>
          <w:p w14:paraId="6B5F1786">
            <w:pPr>
              <w:spacing w:before="74" w:line="217" w:lineRule="auto"/>
              <w:ind w:left="18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绩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效 指 标 完 成 情 况</w:t>
            </w:r>
          </w:p>
        </w:tc>
        <w:tc>
          <w:tcPr>
            <w:tcW w:w="1366" w:type="dxa"/>
            <w:vAlign w:val="top"/>
          </w:tcPr>
          <w:p w14:paraId="474B86C5">
            <w:pPr>
              <w:spacing w:line="342" w:lineRule="auto"/>
              <w:rPr>
                <w:rFonts w:ascii="Arial"/>
                <w:sz w:val="21"/>
              </w:rPr>
            </w:pPr>
          </w:p>
          <w:p w14:paraId="31AB70F7">
            <w:pPr>
              <w:spacing w:before="75" w:line="395" w:lineRule="exact"/>
              <w:ind w:left="2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6"/>
                <w:position w:val="2"/>
                <w:sz w:val="23"/>
                <w:szCs w:val="23"/>
              </w:rPr>
              <w:t>级指标</w:t>
            </w:r>
          </w:p>
        </w:tc>
        <w:tc>
          <w:tcPr>
            <w:tcW w:w="1190" w:type="dxa"/>
            <w:vAlign w:val="top"/>
          </w:tcPr>
          <w:p w14:paraId="1087A5FE">
            <w:pPr>
              <w:spacing w:line="342" w:lineRule="auto"/>
              <w:rPr>
                <w:rFonts w:ascii="Arial"/>
                <w:sz w:val="21"/>
              </w:rPr>
            </w:pPr>
          </w:p>
          <w:p w14:paraId="4DFACD88">
            <w:pPr>
              <w:spacing w:before="75" w:line="229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级指标</w:t>
            </w:r>
          </w:p>
        </w:tc>
        <w:tc>
          <w:tcPr>
            <w:tcW w:w="2170" w:type="dxa"/>
            <w:vAlign w:val="top"/>
          </w:tcPr>
          <w:p w14:paraId="6083C981">
            <w:pPr>
              <w:spacing w:line="342" w:lineRule="auto"/>
              <w:rPr>
                <w:rFonts w:ascii="Arial"/>
                <w:sz w:val="21"/>
              </w:rPr>
            </w:pPr>
          </w:p>
          <w:p w14:paraId="237CCD60">
            <w:pPr>
              <w:spacing w:before="75" w:line="229" w:lineRule="auto"/>
              <w:ind w:left="7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级指标</w:t>
            </w:r>
          </w:p>
        </w:tc>
        <w:tc>
          <w:tcPr>
            <w:tcW w:w="2118" w:type="dxa"/>
            <w:vAlign w:val="top"/>
          </w:tcPr>
          <w:p w14:paraId="01764C81">
            <w:pPr>
              <w:spacing w:before="263" w:line="228" w:lineRule="auto"/>
              <w:ind w:left="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期指标值(包含数字</w:t>
            </w:r>
          </w:p>
          <w:p w14:paraId="32E7B6CE">
            <w:pPr>
              <w:spacing w:before="27" w:line="228" w:lineRule="auto"/>
              <w:ind w:left="5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文字描述)</w:t>
            </w:r>
          </w:p>
        </w:tc>
        <w:tc>
          <w:tcPr>
            <w:tcW w:w="2153" w:type="dxa"/>
            <w:vAlign w:val="top"/>
          </w:tcPr>
          <w:p w14:paraId="56C6C727">
            <w:pPr>
              <w:spacing w:before="263" w:line="228" w:lineRule="auto"/>
              <w:ind w:left="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实际完成指标值(包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含</w:t>
            </w:r>
          </w:p>
          <w:p w14:paraId="3963C963">
            <w:pPr>
              <w:spacing w:before="27" w:line="228" w:lineRule="auto"/>
              <w:ind w:left="3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数字及文字描述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</w:t>
            </w:r>
          </w:p>
        </w:tc>
      </w:tr>
      <w:tr w14:paraId="6A9D0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9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56AF7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A4D38CC">
            <w:pPr>
              <w:spacing w:line="300" w:lineRule="auto"/>
              <w:rPr>
                <w:rFonts w:ascii="Arial"/>
                <w:sz w:val="21"/>
              </w:rPr>
            </w:pPr>
          </w:p>
          <w:p w14:paraId="6140541C">
            <w:pPr>
              <w:spacing w:line="300" w:lineRule="auto"/>
              <w:rPr>
                <w:rFonts w:ascii="Arial"/>
                <w:sz w:val="21"/>
              </w:rPr>
            </w:pPr>
          </w:p>
          <w:p w14:paraId="2D787A24">
            <w:pPr>
              <w:spacing w:before="75" w:line="265" w:lineRule="auto"/>
              <w:ind w:left="568" w:right="82" w:hanging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目完成指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标</w:t>
            </w:r>
          </w:p>
        </w:tc>
        <w:tc>
          <w:tcPr>
            <w:tcW w:w="1190" w:type="dxa"/>
            <w:vAlign w:val="top"/>
          </w:tcPr>
          <w:p w14:paraId="1B5CF662">
            <w:pPr>
              <w:spacing w:line="251" w:lineRule="auto"/>
              <w:rPr>
                <w:rFonts w:ascii="Arial"/>
                <w:sz w:val="21"/>
              </w:rPr>
            </w:pPr>
          </w:p>
          <w:p w14:paraId="572DD195">
            <w:pPr>
              <w:spacing w:line="251" w:lineRule="auto"/>
              <w:rPr>
                <w:rFonts w:ascii="Arial"/>
                <w:sz w:val="21"/>
              </w:rPr>
            </w:pPr>
          </w:p>
          <w:p w14:paraId="08C58926">
            <w:pPr>
              <w:spacing w:line="252" w:lineRule="auto"/>
              <w:rPr>
                <w:rFonts w:ascii="Arial"/>
                <w:sz w:val="21"/>
              </w:rPr>
            </w:pPr>
          </w:p>
          <w:p w14:paraId="517BAC3E">
            <w:pPr>
              <w:spacing w:before="75" w:line="228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数量指标</w:t>
            </w:r>
          </w:p>
        </w:tc>
        <w:tc>
          <w:tcPr>
            <w:tcW w:w="2170" w:type="dxa"/>
            <w:vAlign w:val="top"/>
          </w:tcPr>
          <w:p w14:paraId="1BDA6C2B">
            <w:pPr>
              <w:spacing w:line="299" w:lineRule="auto"/>
              <w:rPr>
                <w:rFonts w:ascii="Arial"/>
                <w:sz w:val="21"/>
              </w:rPr>
            </w:pPr>
          </w:p>
          <w:p w14:paraId="78B63C52">
            <w:pPr>
              <w:spacing w:line="300" w:lineRule="auto"/>
              <w:rPr>
                <w:rFonts w:ascii="Arial"/>
                <w:sz w:val="21"/>
              </w:rPr>
            </w:pPr>
          </w:p>
          <w:p w14:paraId="019C460B">
            <w:pPr>
              <w:spacing w:before="75" w:line="265" w:lineRule="auto"/>
              <w:ind w:left="604" w:right="12" w:hanging="5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保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障隧道电费充足，满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足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照明要求</w:t>
            </w:r>
          </w:p>
        </w:tc>
        <w:tc>
          <w:tcPr>
            <w:tcW w:w="2118" w:type="dxa"/>
            <w:vAlign w:val="top"/>
          </w:tcPr>
          <w:p w14:paraId="0CD7F508">
            <w:pPr>
              <w:spacing w:before="222" w:line="189" w:lineRule="auto"/>
              <w:ind w:left="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无电费不足现象 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>严格</w:t>
            </w:r>
            <w:r>
              <w:rPr>
                <w:rFonts w:ascii="微软雅黑" w:hAnsi="微软雅黑" w:eastAsia="微软雅黑" w:cs="微软雅黑"/>
                <w:spacing w:val="4"/>
                <w:sz w:val="23"/>
                <w:szCs w:val="23"/>
              </w:rPr>
              <w:t>日常管</w:t>
            </w:r>
            <w:r>
              <w:rPr>
                <w:rFonts w:ascii="微软雅黑" w:hAnsi="微软雅黑" w:eastAsia="微软雅黑" w:cs="微软雅黑"/>
                <w:spacing w:val="3"/>
                <w:sz w:val="23"/>
                <w:szCs w:val="23"/>
              </w:rPr>
              <w:t>理</w:t>
            </w:r>
            <w:r>
              <w:rPr>
                <w:rFonts w:ascii="微软雅黑" w:hAnsi="微软雅黑" w:eastAsia="微软雅黑" w:cs="微软雅黑"/>
                <w:spacing w:val="2"/>
                <w:sz w:val="23"/>
                <w:szCs w:val="23"/>
              </w:rPr>
              <w:t>、管护照明设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备</w:t>
            </w:r>
          </w:p>
        </w:tc>
        <w:tc>
          <w:tcPr>
            <w:tcW w:w="2153" w:type="dxa"/>
            <w:vAlign w:val="top"/>
          </w:tcPr>
          <w:p w14:paraId="5743A037">
            <w:pPr>
              <w:spacing w:line="432" w:lineRule="auto"/>
              <w:rPr>
                <w:rFonts w:ascii="Arial"/>
                <w:sz w:val="21"/>
              </w:rPr>
            </w:pPr>
          </w:p>
          <w:p w14:paraId="17BFA6B8">
            <w:pPr>
              <w:spacing w:before="99" w:line="390" w:lineRule="auto"/>
              <w:ind w:left="477" w:right="15" w:hanging="44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电费充足 ，照明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运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行状态良好</w:t>
            </w:r>
          </w:p>
        </w:tc>
      </w:tr>
      <w:tr w14:paraId="28D1F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9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80C6A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2BB746D">
            <w:pPr>
              <w:spacing w:line="252" w:lineRule="auto"/>
              <w:rPr>
                <w:rFonts w:ascii="Arial"/>
                <w:sz w:val="21"/>
              </w:rPr>
            </w:pPr>
          </w:p>
          <w:p w14:paraId="6B91B337">
            <w:pPr>
              <w:spacing w:line="252" w:lineRule="auto"/>
              <w:rPr>
                <w:rFonts w:ascii="Arial"/>
                <w:sz w:val="21"/>
              </w:rPr>
            </w:pPr>
          </w:p>
          <w:p w14:paraId="10D731EB">
            <w:pPr>
              <w:spacing w:line="253" w:lineRule="auto"/>
              <w:rPr>
                <w:rFonts w:ascii="Arial"/>
                <w:sz w:val="21"/>
              </w:rPr>
            </w:pPr>
          </w:p>
          <w:p w14:paraId="18CD43D1">
            <w:pPr>
              <w:spacing w:before="74" w:line="229" w:lineRule="auto"/>
              <w:ind w:left="2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效益指标</w:t>
            </w:r>
          </w:p>
        </w:tc>
        <w:tc>
          <w:tcPr>
            <w:tcW w:w="1190" w:type="dxa"/>
            <w:vAlign w:val="top"/>
          </w:tcPr>
          <w:p w14:paraId="4F9EA2DA">
            <w:pPr>
              <w:spacing w:before="220" w:line="190" w:lineRule="auto"/>
              <w:ind w:left="3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保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障了经</w:t>
            </w:r>
          </w:p>
          <w:p w14:paraId="3E179A51">
            <w:pPr>
              <w:spacing w:before="313" w:line="189" w:lineRule="auto"/>
              <w:ind w:left="3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济的合理</w:t>
            </w:r>
          </w:p>
          <w:p w14:paraId="78CF65CB">
            <w:pPr>
              <w:spacing w:before="319" w:line="185" w:lineRule="auto"/>
              <w:ind w:left="27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利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用</w:t>
            </w:r>
          </w:p>
        </w:tc>
        <w:tc>
          <w:tcPr>
            <w:tcW w:w="2170" w:type="dxa"/>
            <w:vAlign w:val="top"/>
          </w:tcPr>
          <w:p w14:paraId="1B797873">
            <w:pPr>
              <w:spacing w:line="431" w:lineRule="auto"/>
              <w:rPr>
                <w:rFonts w:ascii="Arial"/>
                <w:sz w:val="21"/>
              </w:rPr>
            </w:pPr>
          </w:p>
          <w:p w14:paraId="606720FA">
            <w:pPr>
              <w:spacing w:before="99" w:line="390" w:lineRule="auto"/>
              <w:ind w:left="352" w:right="12" w:hanging="33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"/>
                <w:sz w:val="23"/>
                <w:szCs w:val="23"/>
              </w:rPr>
              <w:t>受广大群众的监督 提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供更满意的服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务</w:t>
            </w:r>
          </w:p>
        </w:tc>
        <w:tc>
          <w:tcPr>
            <w:tcW w:w="2118" w:type="dxa"/>
            <w:vAlign w:val="top"/>
          </w:tcPr>
          <w:p w14:paraId="66078C90">
            <w:pPr>
              <w:spacing w:line="433" w:lineRule="auto"/>
              <w:rPr>
                <w:rFonts w:ascii="Arial"/>
                <w:sz w:val="21"/>
              </w:rPr>
            </w:pPr>
          </w:p>
          <w:p w14:paraId="2668DBF1">
            <w:pPr>
              <w:spacing w:before="99" w:line="390" w:lineRule="auto"/>
              <w:ind w:left="476" w:right="113" w:hanging="36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0"/>
                <w:sz w:val="23"/>
                <w:szCs w:val="23"/>
              </w:rPr>
              <w:t>不因隧道照明不足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23"/>
                <w:szCs w:val="23"/>
              </w:rPr>
              <w:t>发</w:t>
            </w:r>
            <w:r>
              <w:rPr>
                <w:rFonts w:ascii="微软雅黑" w:hAnsi="微软雅黑" w:eastAsia="微软雅黑" w:cs="微软雅黑"/>
                <w:spacing w:val="9"/>
                <w:sz w:val="23"/>
                <w:szCs w:val="23"/>
              </w:rPr>
              <w:t>生交通事故</w:t>
            </w:r>
          </w:p>
        </w:tc>
        <w:tc>
          <w:tcPr>
            <w:tcW w:w="2153" w:type="dxa"/>
            <w:vAlign w:val="top"/>
          </w:tcPr>
          <w:p w14:paraId="2BFFE4DA">
            <w:pPr>
              <w:spacing w:line="432" w:lineRule="auto"/>
              <w:rPr>
                <w:rFonts w:ascii="Arial"/>
                <w:sz w:val="21"/>
              </w:rPr>
            </w:pPr>
          </w:p>
          <w:p w14:paraId="164E1F41">
            <w:pPr>
              <w:spacing w:before="98" w:line="390" w:lineRule="auto"/>
              <w:ind w:left="599" w:right="15" w:hanging="571"/>
              <w:jc w:val="left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2"/>
                <w:sz w:val="23"/>
                <w:szCs w:val="23"/>
              </w:rPr>
              <w:t>电费充足 ，照明满足行</w:t>
            </w:r>
            <w:r>
              <w:rPr>
                <w:rFonts w:ascii="微软雅黑" w:hAnsi="微软雅黑" w:eastAsia="微软雅黑" w:cs="微软雅黑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23"/>
                <w:szCs w:val="23"/>
              </w:rPr>
              <w:t>车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安全要求</w:t>
            </w:r>
          </w:p>
        </w:tc>
      </w:tr>
      <w:tr w14:paraId="1FAD2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9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5EBB2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B0D585F">
            <w:pPr>
              <w:spacing w:line="447" w:lineRule="auto"/>
              <w:rPr>
                <w:rFonts w:ascii="Arial"/>
                <w:sz w:val="21"/>
              </w:rPr>
            </w:pPr>
          </w:p>
          <w:p w14:paraId="31ED5EC8">
            <w:pPr>
              <w:spacing w:before="75" w:line="228" w:lineRule="auto"/>
              <w:ind w:left="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满意度指标</w:t>
            </w:r>
          </w:p>
        </w:tc>
        <w:tc>
          <w:tcPr>
            <w:tcW w:w="1190" w:type="dxa"/>
            <w:vAlign w:val="top"/>
          </w:tcPr>
          <w:p w14:paraId="099DCE30">
            <w:pPr>
              <w:spacing w:line="293" w:lineRule="auto"/>
              <w:rPr>
                <w:rFonts w:ascii="Arial"/>
                <w:sz w:val="21"/>
              </w:rPr>
            </w:pPr>
          </w:p>
          <w:p w14:paraId="55DF8BDC">
            <w:pPr>
              <w:spacing w:before="74" w:line="265" w:lineRule="auto"/>
              <w:ind w:left="275" w:right="31" w:hanging="2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隧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道照明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达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标</w:t>
            </w:r>
          </w:p>
        </w:tc>
        <w:tc>
          <w:tcPr>
            <w:tcW w:w="2170" w:type="dxa"/>
            <w:vAlign w:val="top"/>
          </w:tcPr>
          <w:p w14:paraId="70C82790">
            <w:pPr>
              <w:spacing w:before="224" w:line="622" w:lineRule="exact"/>
              <w:ind w:left="12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9"/>
                <w:position w:val="30"/>
                <w:sz w:val="23"/>
                <w:szCs w:val="23"/>
              </w:rPr>
              <w:t>为广大人民群众提供</w:t>
            </w:r>
            <w:r>
              <w:rPr>
                <w:rFonts w:ascii="微软雅黑" w:hAnsi="微软雅黑" w:eastAsia="微软雅黑" w:cs="微软雅黑"/>
                <w:spacing w:val="13"/>
                <w:sz w:val="23"/>
                <w:szCs w:val="23"/>
              </w:rPr>
              <w:t>畅</w:t>
            </w:r>
            <w:r>
              <w:rPr>
                <w:rFonts w:ascii="微软雅黑" w:hAnsi="微软雅黑" w:eastAsia="微软雅黑" w:cs="微软雅黑"/>
                <w:spacing w:val="8"/>
                <w:sz w:val="23"/>
                <w:szCs w:val="23"/>
              </w:rPr>
              <w:t>安舒美的行车环境</w:t>
            </w:r>
          </w:p>
        </w:tc>
        <w:tc>
          <w:tcPr>
            <w:tcW w:w="2118" w:type="dxa"/>
            <w:vAlign w:val="top"/>
          </w:tcPr>
          <w:p w14:paraId="19E2C09A">
            <w:pPr>
              <w:spacing w:before="222" w:line="581" w:lineRule="exact"/>
              <w:ind w:left="1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26"/>
                <w:sz w:val="23"/>
                <w:szCs w:val="23"/>
              </w:rPr>
              <w:t>受</w:t>
            </w:r>
            <w:r>
              <w:rPr>
                <w:rFonts w:ascii="微软雅黑" w:hAnsi="微软雅黑" w:eastAsia="微软雅黑" w:cs="微软雅黑"/>
                <w:spacing w:val="9"/>
                <w:position w:val="26"/>
                <w:sz w:val="23"/>
                <w:szCs w:val="23"/>
              </w:rPr>
              <w:t>益群众满意度达到</w:t>
            </w:r>
          </w:p>
          <w:p w14:paraId="68A672CD">
            <w:pPr>
              <w:spacing w:before="1" w:line="233" w:lineRule="auto"/>
              <w:ind w:left="7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90%以上</w:t>
            </w:r>
          </w:p>
        </w:tc>
        <w:tc>
          <w:tcPr>
            <w:tcW w:w="2153" w:type="dxa"/>
            <w:vAlign w:val="top"/>
          </w:tcPr>
          <w:p w14:paraId="27B7037C">
            <w:pPr>
              <w:spacing w:line="390" w:lineRule="auto"/>
              <w:rPr>
                <w:rFonts w:ascii="Arial"/>
                <w:sz w:val="21"/>
              </w:rPr>
            </w:pPr>
          </w:p>
          <w:p w14:paraId="47079FC0">
            <w:pPr>
              <w:spacing w:before="98" w:line="234" w:lineRule="auto"/>
              <w:ind w:left="55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6"/>
                <w:sz w:val="23"/>
                <w:szCs w:val="23"/>
              </w:rPr>
              <w:t>满意度 99%</w:t>
            </w:r>
          </w:p>
        </w:tc>
      </w:tr>
    </w:tbl>
    <w:p w14:paraId="58682988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62F2D21B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333EC3B3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1DC7DA41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7C00831E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1E716F6F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728657B6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7CEE4D0F">
      <w:pPr>
        <w:spacing w:before="101" w:line="429" w:lineRule="exact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position w:val="2"/>
          <w:sz w:val="31"/>
          <w:szCs w:val="31"/>
        </w:rPr>
        <w:t>2.部门绩效评价结果。</w:t>
      </w:r>
    </w:p>
    <w:p w14:paraId="771CED7C">
      <w:pPr>
        <w:spacing w:before="152" w:line="351" w:lineRule="auto"/>
        <w:ind w:left="297" w:right="1386" w:firstLine="642"/>
        <w:rPr>
          <w:rFonts w:ascii="Calibri" w:hAnsi="Calibri" w:eastAsia="Calibri" w:cs="Calibri"/>
          <w:spacing w:val="-4"/>
          <w:sz w:val="17"/>
          <w:szCs w:val="17"/>
        </w:rPr>
      </w:pPr>
      <w:r>
        <w:rPr>
          <w:rFonts w:ascii="仿宋" w:hAnsi="仿宋" w:eastAsia="仿宋" w:cs="仿宋"/>
          <w:spacing w:val="14"/>
          <w:sz w:val="31"/>
          <w:szCs w:val="31"/>
        </w:rPr>
        <w:t>本</w:t>
      </w:r>
      <w:r>
        <w:rPr>
          <w:rFonts w:ascii="仿宋" w:hAnsi="仿宋" w:eastAsia="仿宋" w:cs="仿宋"/>
          <w:spacing w:val="11"/>
          <w:sz w:val="31"/>
          <w:szCs w:val="31"/>
        </w:rPr>
        <w:t>部</w:t>
      </w:r>
      <w:r>
        <w:rPr>
          <w:rFonts w:ascii="仿宋" w:hAnsi="仿宋" w:eastAsia="仿宋" w:cs="仿宋"/>
          <w:spacing w:val="7"/>
          <w:sz w:val="31"/>
          <w:szCs w:val="31"/>
        </w:rPr>
        <w:t>门按要求对 2020 年部门整体支出绩效评价情况开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展自评，《公路养护段部门 2020 年部门整体支出绩效评</w:t>
      </w:r>
      <w:r>
        <w:rPr>
          <w:rFonts w:ascii="仿宋" w:hAnsi="仿宋" w:eastAsia="仿宋" w:cs="仿宋"/>
          <w:spacing w:val="-1"/>
          <w:sz w:val="31"/>
          <w:szCs w:val="31"/>
        </w:rPr>
        <w:t>价</w:t>
      </w:r>
      <w:r>
        <w:rPr>
          <w:rFonts w:ascii="仿宋" w:hAnsi="仿宋" w:eastAsia="仿宋" w:cs="仿宋"/>
          <w:sz w:val="31"/>
          <w:szCs w:val="31"/>
        </w:rPr>
        <w:t xml:space="preserve">报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告》见附件 </w:t>
      </w:r>
      <w:r>
        <w:rPr>
          <w:rFonts w:ascii="仿宋" w:hAnsi="仿宋" w:eastAsia="仿宋" w:cs="仿宋"/>
          <w:sz w:val="31"/>
          <w:szCs w:val="31"/>
        </w:rPr>
        <w:t>(附件 1)</w:t>
      </w:r>
    </w:p>
    <w:p w14:paraId="65AA89F0">
      <w:pPr>
        <w:spacing w:before="197" w:line="355" w:lineRule="auto"/>
        <w:ind w:left="36" w:right="13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本</w:t>
      </w:r>
      <w:r>
        <w:rPr>
          <w:rFonts w:ascii="仿宋" w:hAnsi="仿宋" w:eastAsia="仿宋" w:cs="仿宋"/>
          <w:spacing w:val="10"/>
          <w:sz w:val="31"/>
          <w:szCs w:val="31"/>
        </w:rPr>
        <w:t>部</w:t>
      </w:r>
      <w:r>
        <w:rPr>
          <w:rFonts w:ascii="仿宋" w:hAnsi="仿宋" w:eastAsia="仿宋" w:cs="仿宋"/>
          <w:spacing w:val="8"/>
          <w:sz w:val="31"/>
          <w:szCs w:val="31"/>
        </w:rPr>
        <w:t>门自行组织对隧道电费项目、乡村道路养护及灾损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道路维修项目开展了绩效评</w:t>
      </w:r>
      <w:r>
        <w:rPr>
          <w:rFonts w:ascii="仿宋" w:hAnsi="仿宋" w:eastAsia="仿宋" w:cs="仿宋"/>
          <w:spacing w:val="1"/>
          <w:sz w:val="31"/>
          <w:szCs w:val="31"/>
        </w:rPr>
        <w:t>价，见附件 1，附件 2。</w:t>
      </w:r>
    </w:p>
    <w:p w14:paraId="296FA70A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5215B454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61EF2A1F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702BCD80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7F0EDFBC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194FD948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3BB99E61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6B03110A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3D8B938B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6A1C6AA8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67B62C92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615E97BC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7C83D1ED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6997ABE2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15B8392B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2D6F42B9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02439DA3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77B25E74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3355088D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28A26F5D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26AA9303">
      <w:pPr>
        <w:spacing w:before="49" w:line="188" w:lineRule="auto"/>
        <w:ind w:left="4922"/>
        <w:rPr>
          <w:rFonts w:ascii="Calibri" w:hAnsi="Calibri" w:eastAsia="Calibri" w:cs="Calibri"/>
          <w:spacing w:val="-4"/>
          <w:sz w:val="17"/>
          <w:szCs w:val="17"/>
        </w:rPr>
      </w:pPr>
    </w:p>
    <w:p w14:paraId="687BA978">
      <w:pPr>
        <w:sectPr>
          <w:footerReference r:id="rId18" w:type="default"/>
          <w:pgSz w:w="11906" w:h="16839"/>
          <w:pgMar w:top="1431" w:right="1785" w:bottom="1378" w:left="1785" w:header="0" w:footer="1215" w:gutter="0"/>
          <w:cols w:space="720" w:num="1"/>
        </w:sectPr>
      </w:pPr>
    </w:p>
    <w:p w14:paraId="0BA184DD">
      <w:pPr>
        <w:spacing w:before="140" w:line="225" w:lineRule="auto"/>
        <w:ind w:firstLine="1800" w:firstLineChars="400"/>
        <w:outlineLvl w:val="0"/>
        <w:rPr>
          <w:rFonts w:ascii="黑体" w:hAnsi="黑体" w:eastAsia="黑体" w:cs="黑体"/>
          <w:sz w:val="43"/>
          <w:szCs w:val="43"/>
        </w:rPr>
      </w:pPr>
      <w:bookmarkStart w:id="18" w:name="_Toc16523"/>
      <w:r>
        <w:rPr>
          <w:rFonts w:ascii="黑体" w:hAnsi="黑体" w:eastAsia="黑体" w:cs="黑体"/>
          <w:spacing w:val="10"/>
          <w:sz w:val="43"/>
          <w:szCs w:val="43"/>
        </w:rPr>
        <w:t>第</w:t>
      </w:r>
      <w:r>
        <w:rPr>
          <w:rFonts w:ascii="黑体" w:hAnsi="黑体" w:eastAsia="黑体" w:cs="黑体"/>
          <w:spacing w:val="7"/>
          <w:sz w:val="43"/>
          <w:szCs w:val="43"/>
        </w:rPr>
        <w:t>三部分 名词解释</w:t>
      </w:r>
      <w:bookmarkEnd w:id="18"/>
    </w:p>
    <w:p w14:paraId="47728455">
      <w:pPr>
        <w:spacing w:line="320" w:lineRule="auto"/>
        <w:rPr>
          <w:rFonts w:ascii="Arial"/>
          <w:sz w:val="21"/>
        </w:rPr>
      </w:pPr>
    </w:p>
    <w:p w14:paraId="1DE97049">
      <w:pPr>
        <w:spacing w:line="320" w:lineRule="auto"/>
        <w:rPr>
          <w:rFonts w:ascii="Arial"/>
          <w:sz w:val="21"/>
        </w:rPr>
      </w:pPr>
    </w:p>
    <w:p w14:paraId="167CECA7">
      <w:pPr>
        <w:spacing w:before="101" w:line="337" w:lineRule="auto"/>
        <w:ind w:left="35" w:right="16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</w:t>
      </w:r>
      <w:r>
        <w:rPr>
          <w:rFonts w:ascii="仿宋" w:hAnsi="仿宋" w:eastAsia="仿宋" w:cs="仿宋"/>
          <w:spacing w:val="13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财政拨款收入：指单位从同级财政部门取得的财政预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算资金。</w:t>
      </w:r>
    </w:p>
    <w:p w14:paraId="1013496F">
      <w:pPr>
        <w:spacing w:before="1" w:line="339" w:lineRule="auto"/>
        <w:ind w:left="36" w:right="14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2</w:t>
      </w:r>
      <w:r>
        <w:rPr>
          <w:rFonts w:ascii="仿宋" w:hAnsi="仿宋" w:eastAsia="仿宋" w:cs="仿宋"/>
          <w:spacing w:val="10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事业收入：指事业单位开展专业业务活动及辅助活动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取</w:t>
      </w:r>
      <w:r>
        <w:rPr>
          <w:rFonts w:ascii="仿宋" w:hAnsi="仿宋" w:eastAsia="仿宋" w:cs="仿宋"/>
          <w:spacing w:val="4"/>
          <w:sz w:val="31"/>
          <w:szCs w:val="31"/>
        </w:rPr>
        <w:t>得的收入。</w:t>
      </w:r>
    </w:p>
    <w:p w14:paraId="48CA8DF8">
      <w:pPr>
        <w:spacing w:before="2" w:line="333" w:lineRule="auto"/>
        <w:ind w:left="38" w:right="14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3</w:t>
      </w:r>
      <w:r>
        <w:rPr>
          <w:rFonts w:ascii="仿宋" w:hAnsi="仿宋" w:eastAsia="仿宋" w:cs="仿宋"/>
          <w:spacing w:val="8"/>
          <w:sz w:val="31"/>
          <w:szCs w:val="31"/>
        </w:rPr>
        <w:t>.经营收入：指事业单位在专业业务活动及其辅助活动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之</w:t>
      </w:r>
      <w:r>
        <w:rPr>
          <w:rFonts w:ascii="仿宋" w:hAnsi="仿宋" w:eastAsia="仿宋" w:cs="仿宋"/>
          <w:spacing w:val="10"/>
          <w:sz w:val="31"/>
          <w:szCs w:val="31"/>
        </w:rPr>
        <w:t>外</w:t>
      </w:r>
      <w:r>
        <w:rPr>
          <w:rFonts w:ascii="仿宋" w:hAnsi="仿宋" w:eastAsia="仿宋" w:cs="仿宋"/>
          <w:spacing w:val="8"/>
          <w:sz w:val="31"/>
          <w:szCs w:val="31"/>
        </w:rPr>
        <w:t>开展非独立核算经营活动取得的收入</w:t>
      </w:r>
    </w:p>
    <w:p w14:paraId="33AC5D6E">
      <w:pPr>
        <w:spacing w:before="2" w:line="333" w:lineRule="auto"/>
        <w:ind w:left="35" w:right="321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4</w:t>
      </w:r>
      <w:r>
        <w:rPr>
          <w:rFonts w:ascii="仿宋" w:hAnsi="仿宋" w:eastAsia="仿宋" w:cs="仿宋"/>
          <w:spacing w:val="9"/>
          <w:sz w:val="31"/>
          <w:szCs w:val="31"/>
        </w:rPr>
        <w:t>.其他收入：指单位取得的除上述收入以外的各项收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入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</w:p>
    <w:p w14:paraId="54CFCC24">
      <w:pPr>
        <w:spacing w:line="333" w:lineRule="auto"/>
        <w:ind w:left="53" w:right="16" w:firstLine="6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5</w:t>
      </w:r>
      <w:r>
        <w:rPr>
          <w:rFonts w:ascii="仿宋" w:hAnsi="仿宋" w:eastAsia="仿宋" w:cs="仿宋"/>
          <w:spacing w:val="8"/>
          <w:sz w:val="31"/>
          <w:szCs w:val="31"/>
        </w:rPr>
        <w:t>.使用非财政拨款结余：指事业单位使用以前年度积累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非</w:t>
      </w:r>
      <w:r>
        <w:rPr>
          <w:rFonts w:ascii="仿宋" w:hAnsi="仿宋" w:eastAsia="仿宋" w:cs="仿宋"/>
          <w:spacing w:val="7"/>
          <w:sz w:val="31"/>
          <w:szCs w:val="31"/>
        </w:rPr>
        <w:t>财政拨款结余弥补当年收支差额的金额。</w:t>
      </w:r>
    </w:p>
    <w:p w14:paraId="15C6B4E9">
      <w:pPr>
        <w:spacing w:before="2" w:line="333" w:lineRule="auto"/>
        <w:ind w:left="35" w:right="16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6</w:t>
      </w:r>
      <w:r>
        <w:rPr>
          <w:rFonts w:ascii="仿宋" w:hAnsi="仿宋" w:eastAsia="仿宋" w:cs="仿宋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年初结转和结余：指以前年度尚未完成、结转到本年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按</w:t>
      </w:r>
      <w:r>
        <w:rPr>
          <w:rFonts w:ascii="仿宋" w:hAnsi="仿宋" w:eastAsia="仿宋" w:cs="仿宋"/>
          <w:spacing w:val="7"/>
          <w:sz w:val="31"/>
          <w:szCs w:val="31"/>
        </w:rPr>
        <w:t>有关规定继续使用的资金。</w:t>
      </w:r>
    </w:p>
    <w:p w14:paraId="75B31CB0">
      <w:pPr>
        <w:spacing w:before="3" w:line="333" w:lineRule="auto"/>
        <w:ind w:left="35" w:right="14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7</w:t>
      </w:r>
      <w:r>
        <w:rPr>
          <w:rFonts w:ascii="仿宋" w:hAnsi="仿宋" w:eastAsia="仿宋" w:cs="仿宋"/>
          <w:spacing w:val="8"/>
          <w:sz w:val="31"/>
          <w:szCs w:val="31"/>
        </w:rPr>
        <w:t>.结余分配：指事业单位按照会计制度规定缴纳的所得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税、</w:t>
      </w:r>
      <w:r>
        <w:rPr>
          <w:rFonts w:ascii="仿宋" w:hAnsi="仿宋" w:eastAsia="仿宋" w:cs="仿宋"/>
          <w:spacing w:val="10"/>
          <w:sz w:val="31"/>
          <w:szCs w:val="31"/>
        </w:rPr>
        <w:t>提</w:t>
      </w:r>
      <w:r>
        <w:rPr>
          <w:rFonts w:ascii="仿宋" w:hAnsi="仿宋" w:eastAsia="仿宋" w:cs="仿宋"/>
          <w:spacing w:val="8"/>
          <w:sz w:val="31"/>
          <w:szCs w:val="31"/>
        </w:rPr>
        <w:t>取的专用结余以及转入非财政拨款结余的金额等。</w:t>
      </w:r>
    </w:p>
    <w:p w14:paraId="650B61DD">
      <w:pPr>
        <w:spacing w:before="2" w:line="336" w:lineRule="auto"/>
        <w:ind w:left="67" w:right="162" w:firstLine="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8</w:t>
      </w:r>
      <w:r>
        <w:rPr>
          <w:rFonts w:ascii="仿宋" w:hAnsi="仿宋" w:eastAsia="仿宋" w:cs="仿宋"/>
          <w:spacing w:val="9"/>
          <w:sz w:val="31"/>
          <w:szCs w:val="31"/>
        </w:rPr>
        <w:t>、年末结转和结余：指单位按有关规定结转到下年或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以</w:t>
      </w:r>
      <w:r>
        <w:rPr>
          <w:rFonts w:ascii="仿宋" w:hAnsi="仿宋" w:eastAsia="仿宋" w:cs="仿宋"/>
          <w:spacing w:val="6"/>
          <w:sz w:val="31"/>
          <w:szCs w:val="31"/>
        </w:rPr>
        <w:t>后</w:t>
      </w:r>
      <w:r>
        <w:rPr>
          <w:rFonts w:ascii="仿宋" w:hAnsi="仿宋" w:eastAsia="仿宋" w:cs="仿宋"/>
          <w:spacing w:val="4"/>
          <w:sz w:val="31"/>
          <w:szCs w:val="31"/>
        </w:rPr>
        <w:t>年度继续使用的资金。</w:t>
      </w:r>
    </w:p>
    <w:p w14:paraId="450CE203">
      <w:pPr>
        <w:spacing w:line="343" w:lineRule="auto"/>
        <w:ind w:left="36" w:right="13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9</w:t>
      </w:r>
      <w:r>
        <w:rPr>
          <w:rFonts w:ascii="仿宋" w:hAnsi="仿宋" w:eastAsia="仿宋" w:cs="仿宋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一般公共服务 (类) 其他一般公共服务支出 (款) 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他一般公共服务支出 (项) ：指政府提供的一般公共服务</w:t>
      </w:r>
      <w:r>
        <w:rPr>
          <w:rFonts w:ascii="仿宋" w:hAnsi="仿宋" w:eastAsia="仿宋" w:cs="仿宋"/>
          <w:spacing w:val="5"/>
          <w:sz w:val="31"/>
          <w:szCs w:val="31"/>
        </w:rPr>
        <w:t>支</w:t>
      </w:r>
    </w:p>
    <w:p w14:paraId="3498B890">
      <w:pPr>
        <w:spacing w:before="1" w:line="232" w:lineRule="auto"/>
        <w:ind w:left="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3"/>
          <w:sz w:val="31"/>
          <w:szCs w:val="31"/>
        </w:rPr>
        <w:t>出</w:t>
      </w:r>
      <w:r>
        <w:rPr>
          <w:rFonts w:ascii="仿宋" w:hAnsi="仿宋" w:eastAsia="仿宋" w:cs="仿宋"/>
          <w:spacing w:val="-22"/>
          <w:sz w:val="31"/>
          <w:szCs w:val="31"/>
        </w:rPr>
        <w:t>。</w:t>
      </w:r>
    </w:p>
    <w:p w14:paraId="21242236">
      <w:pPr>
        <w:spacing w:before="153" w:line="379" w:lineRule="auto"/>
        <w:ind w:left="35" w:right="16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1</w:t>
      </w:r>
      <w:r>
        <w:rPr>
          <w:rFonts w:ascii="仿宋" w:hAnsi="仿宋" w:eastAsia="仿宋" w:cs="仿宋"/>
          <w:spacing w:val="11"/>
          <w:sz w:val="31"/>
          <w:szCs w:val="31"/>
        </w:rPr>
        <w:t>0.社会保障和就业 (类) 行政事业单位离退休 (款)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机关</w:t>
      </w:r>
      <w:r>
        <w:rPr>
          <w:rFonts w:ascii="仿宋" w:hAnsi="仿宋" w:eastAsia="仿宋" w:cs="仿宋"/>
          <w:spacing w:val="12"/>
          <w:sz w:val="31"/>
          <w:szCs w:val="31"/>
        </w:rPr>
        <w:t>事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业单位基本养老保险缴费支出 (项)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:  </w:t>
      </w:r>
      <w:r>
        <w:rPr>
          <w:rFonts w:ascii="仿宋" w:hAnsi="仿宋" w:eastAsia="仿宋" w:cs="仿宋"/>
          <w:spacing w:val="9"/>
          <w:sz w:val="31"/>
          <w:szCs w:val="31"/>
        </w:rPr>
        <w:t>指机关事业单</w:t>
      </w:r>
    </w:p>
    <w:p w14:paraId="1B761151">
      <w:pPr>
        <w:sectPr>
          <w:footerReference r:id="rId19" w:type="default"/>
          <w:pgSz w:w="11906" w:h="16839"/>
          <w:pgMar w:top="1431" w:right="1785" w:bottom="1378" w:left="1785" w:header="0" w:footer="1215" w:gutter="0"/>
          <w:cols w:space="720" w:num="1"/>
        </w:sectPr>
      </w:pPr>
    </w:p>
    <w:p w14:paraId="6EDEF740">
      <w:pPr>
        <w:spacing w:before="163" w:line="226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位</w:t>
      </w:r>
      <w:r>
        <w:rPr>
          <w:rFonts w:ascii="仿宋" w:hAnsi="仿宋" w:eastAsia="仿宋" w:cs="仿宋"/>
          <w:spacing w:val="13"/>
          <w:sz w:val="31"/>
          <w:szCs w:val="31"/>
        </w:rPr>
        <w:t>实</w:t>
      </w:r>
      <w:r>
        <w:rPr>
          <w:rFonts w:ascii="仿宋" w:hAnsi="仿宋" w:eastAsia="仿宋" w:cs="仿宋"/>
          <w:spacing w:val="8"/>
          <w:sz w:val="31"/>
          <w:szCs w:val="31"/>
        </w:rPr>
        <w:t>施养老保险制度由单位缴纳的基本养老保险部分。</w:t>
      </w:r>
    </w:p>
    <w:p w14:paraId="443F6160">
      <w:pPr>
        <w:spacing w:before="277" w:line="343" w:lineRule="auto"/>
        <w:ind w:left="37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11.医疗卫生与计划生育 (类) 行政事业单位医疗 (款</w:t>
      </w:r>
      <w:r>
        <w:rPr>
          <w:rFonts w:ascii="仿宋" w:hAnsi="仿宋" w:eastAsia="仿宋" w:cs="仿宋"/>
          <w:spacing w:val="2"/>
          <w:sz w:val="31"/>
          <w:szCs w:val="31"/>
        </w:rPr>
        <w:t>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行政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单位医疗 (项)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:  </w:t>
      </w:r>
      <w:r>
        <w:rPr>
          <w:rFonts w:ascii="仿宋" w:hAnsi="仿宋" w:eastAsia="仿宋" w:cs="仿宋"/>
          <w:spacing w:val="9"/>
          <w:sz w:val="31"/>
          <w:szCs w:val="31"/>
        </w:rPr>
        <w:t>指财政部门安排的行政单位基本医疗</w:t>
      </w:r>
    </w:p>
    <w:p w14:paraId="5F71B35F">
      <w:pPr>
        <w:spacing w:line="226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保</w:t>
      </w:r>
      <w:r>
        <w:rPr>
          <w:rFonts w:ascii="仿宋" w:hAnsi="仿宋" w:eastAsia="仿宋" w:cs="仿宋"/>
          <w:spacing w:val="5"/>
          <w:sz w:val="31"/>
          <w:szCs w:val="31"/>
        </w:rPr>
        <w:t>险缴费经费。</w:t>
      </w:r>
    </w:p>
    <w:p w14:paraId="32161722">
      <w:pPr>
        <w:spacing w:before="160" w:line="372" w:lineRule="auto"/>
        <w:ind w:left="42" w:right="132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1</w:t>
      </w:r>
      <w:r>
        <w:rPr>
          <w:rFonts w:ascii="仿宋" w:hAnsi="仿宋" w:eastAsia="仿宋" w:cs="仿宋"/>
          <w:spacing w:val="7"/>
          <w:sz w:val="31"/>
          <w:szCs w:val="31"/>
        </w:rPr>
        <w:t>2</w:t>
      </w:r>
      <w:r>
        <w:rPr>
          <w:rFonts w:ascii="仿宋" w:hAnsi="仿宋" w:eastAsia="仿宋" w:cs="仿宋"/>
          <w:spacing w:val="6"/>
          <w:sz w:val="31"/>
          <w:szCs w:val="31"/>
        </w:rPr>
        <w:t>.交通运输 (类) 公路养护 (款) 公路养护 (项)：指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全区路面，路基检查，安全生产负责监督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246403D0">
      <w:pPr>
        <w:spacing w:before="3" w:line="371" w:lineRule="auto"/>
        <w:ind w:left="35" w:right="50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1</w:t>
      </w:r>
      <w:r>
        <w:rPr>
          <w:rFonts w:ascii="仿宋" w:hAnsi="仿宋" w:eastAsia="仿宋" w:cs="仿宋"/>
          <w:spacing w:val="15"/>
          <w:sz w:val="31"/>
          <w:szCs w:val="31"/>
        </w:rPr>
        <w:t>3.住房保障(类)住房改革支出(款)住房公积金(项)：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指</w:t>
      </w:r>
      <w:r>
        <w:rPr>
          <w:rFonts w:ascii="仿宋" w:hAnsi="仿宋" w:eastAsia="仿宋" w:cs="仿宋"/>
          <w:spacing w:val="14"/>
          <w:sz w:val="31"/>
          <w:szCs w:val="31"/>
        </w:rPr>
        <w:t>反</w:t>
      </w:r>
      <w:r>
        <w:rPr>
          <w:rFonts w:ascii="仿宋" w:hAnsi="仿宋" w:eastAsia="仿宋" w:cs="仿宋"/>
          <w:spacing w:val="8"/>
          <w:sz w:val="31"/>
          <w:szCs w:val="31"/>
        </w:rPr>
        <w:t>映事业单位按人力资源和社会保障部，财政部规定的基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本</w:t>
      </w:r>
      <w:r>
        <w:rPr>
          <w:rFonts w:ascii="仿宋" w:hAnsi="仿宋" w:eastAsia="仿宋" w:cs="仿宋"/>
          <w:spacing w:val="14"/>
          <w:sz w:val="31"/>
          <w:szCs w:val="31"/>
        </w:rPr>
        <w:t>工</w:t>
      </w:r>
      <w:r>
        <w:rPr>
          <w:rFonts w:ascii="仿宋" w:hAnsi="仿宋" w:eastAsia="仿宋" w:cs="仿宋"/>
          <w:spacing w:val="8"/>
          <w:sz w:val="31"/>
          <w:szCs w:val="31"/>
        </w:rPr>
        <w:t>资和津贴以及规定比例为职工缴纳的住房公积金。</w:t>
      </w:r>
    </w:p>
    <w:p w14:paraId="2222942F">
      <w:pPr>
        <w:spacing w:before="2" w:line="371" w:lineRule="auto"/>
        <w:ind w:left="35" w:right="137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2</w:t>
      </w:r>
      <w:r>
        <w:rPr>
          <w:rFonts w:ascii="仿宋" w:hAnsi="仿宋" w:eastAsia="仿宋" w:cs="仿宋"/>
          <w:spacing w:val="14"/>
          <w:sz w:val="31"/>
          <w:szCs w:val="31"/>
        </w:rPr>
        <w:t>7.基本支出：指为保障机构正常运转、完成日常工作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任务而发生的人员支出和公用支出。</w:t>
      </w:r>
    </w:p>
    <w:p w14:paraId="04C69B6D">
      <w:pPr>
        <w:spacing w:before="2" w:line="371" w:lineRule="auto"/>
        <w:ind w:left="35" w:right="137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2</w:t>
      </w:r>
      <w:r>
        <w:rPr>
          <w:rFonts w:ascii="仿宋" w:hAnsi="仿宋" w:eastAsia="仿宋" w:cs="仿宋"/>
          <w:spacing w:val="14"/>
          <w:sz w:val="31"/>
          <w:szCs w:val="31"/>
        </w:rPr>
        <w:t>8.项目支出：指在基本支出之外为完成特定行政任务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和</w:t>
      </w:r>
      <w:r>
        <w:rPr>
          <w:rFonts w:ascii="仿宋" w:hAnsi="仿宋" w:eastAsia="仿宋" w:cs="仿宋"/>
          <w:spacing w:val="9"/>
          <w:sz w:val="31"/>
          <w:szCs w:val="31"/>
        </w:rPr>
        <w:t>事</w:t>
      </w:r>
      <w:r>
        <w:rPr>
          <w:rFonts w:ascii="仿宋" w:hAnsi="仿宋" w:eastAsia="仿宋" w:cs="仿宋"/>
          <w:spacing w:val="7"/>
          <w:sz w:val="31"/>
          <w:szCs w:val="31"/>
        </w:rPr>
        <w:t>业发展目标所发生的支出。</w:t>
      </w:r>
    </w:p>
    <w:p w14:paraId="3677576B">
      <w:pPr>
        <w:spacing w:before="1" w:line="378" w:lineRule="auto"/>
        <w:ind w:left="38" w:right="137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6"/>
          <w:sz w:val="31"/>
          <w:szCs w:val="31"/>
        </w:rPr>
        <w:t>2</w:t>
      </w:r>
      <w:r>
        <w:rPr>
          <w:rFonts w:ascii="仿宋" w:hAnsi="仿宋" w:eastAsia="仿宋" w:cs="仿宋"/>
          <w:spacing w:val="14"/>
          <w:sz w:val="31"/>
          <w:szCs w:val="31"/>
        </w:rPr>
        <w:t>9.经营支出：指事业单位在专业业务活动及其辅助活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动</w:t>
      </w:r>
      <w:r>
        <w:rPr>
          <w:rFonts w:ascii="仿宋" w:hAnsi="仿宋" w:eastAsia="仿宋" w:cs="仿宋"/>
          <w:spacing w:val="8"/>
          <w:sz w:val="31"/>
          <w:szCs w:val="31"/>
        </w:rPr>
        <w:t>之外开展非独立核算经营活动发生的支出。</w:t>
      </w:r>
    </w:p>
    <w:p w14:paraId="63F2C643">
      <w:pPr>
        <w:tabs>
          <w:tab w:val="left" w:pos="193"/>
        </w:tabs>
        <w:spacing w:before="10" w:line="335" w:lineRule="auto"/>
        <w:ind w:left="36" w:right="137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30</w:t>
      </w:r>
      <w:r>
        <w:rPr>
          <w:rFonts w:ascii="仿宋" w:hAnsi="仿宋" w:eastAsia="仿宋" w:cs="仿宋"/>
          <w:spacing w:val="8"/>
          <w:sz w:val="31"/>
          <w:szCs w:val="31"/>
        </w:rPr>
        <w:t>.“三公”经费：指部门用财政拨款安排的因公出国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ab/>
      </w:r>
      <w:r>
        <w:rPr>
          <w:rFonts w:ascii="仿宋" w:hAnsi="仿宋" w:eastAsia="仿宋" w:cs="仿宋"/>
          <w:spacing w:val="10"/>
          <w:sz w:val="31"/>
          <w:szCs w:val="31"/>
        </w:rPr>
        <w:t>(</w:t>
      </w:r>
      <w:r>
        <w:rPr>
          <w:rFonts w:ascii="仿宋" w:hAnsi="仿宋" w:eastAsia="仿宋" w:cs="仿宋"/>
          <w:spacing w:val="8"/>
          <w:sz w:val="31"/>
          <w:szCs w:val="31"/>
        </w:rPr>
        <w:t>境) 费、公务用车购置及运行费和公务接待费。其中，因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公</w:t>
      </w:r>
      <w:r>
        <w:rPr>
          <w:rFonts w:ascii="仿宋" w:hAnsi="仿宋" w:eastAsia="仿宋" w:cs="仿宋"/>
          <w:spacing w:val="11"/>
          <w:sz w:val="31"/>
          <w:szCs w:val="31"/>
        </w:rPr>
        <w:t>出</w:t>
      </w:r>
      <w:r>
        <w:rPr>
          <w:rFonts w:ascii="仿宋" w:hAnsi="仿宋" w:eastAsia="仿宋" w:cs="仿宋"/>
          <w:spacing w:val="7"/>
          <w:sz w:val="31"/>
          <w:szCs w:val="31"/>
        </w:rPr>
        <w:t>国 (境) 费反映单位公务出国 (境) 的国际旅费、国外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城</w:t>
      </w:r>
      <w:r>
        <w:rPr>
          <w:rFonts w:ascii="仿宋" w:hAnsi="仿宋" w:eastAsia="仿宋" w:cs="仿宋"/>
          <w:spacing w:val="13"/>
          <w:sz w:val="31"/>
          <w:szCs w:val="31"/>
        </w:rPr>
        <w:t>市</w:t>
      </w:r>
      <w:r>
        <w:rPr>
          <w:rFonts w:ascii="仿宋" w:hAnsi="仿宋" w:eastAsia="仿宋" w:cs="仿宋"/>
          <w:spacing w:val="8"/>
          <w:sz w:val="31"/>
          <w:szCs w:val="31"/>
        </w:rPr>
        <w:t>间交通费、住宿费、伙食费、培训费、公杂费等支出；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公</w:t>
      </w:r>
      <w:r>
        <w:rPr>
          <w:rFonts w:ascii="仿宋" w:hAnsi="仿宋" w:eastAsia="仿宋" w:cs="仿宋"/>
          <w:spacing w:val="8"/>
          <w:sz w:val="31"/>
          <w:szCs w:val="31"/>
        </w:rPr>
        <w:t>务用车购置及运行费反映单位公务用车车辆购置支出 (含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车</w:t>
      </w:r>
      <w:r>
        <w:rPr>
          <w:rFonts w:ascii="仿宋" w:hAnsi="仿宋" w:eastAsia="仿宋" w:cs="仿宋"/>
          <w:spacing w:val="8"/>
          <w:sz w:val="31"/>
          <w:szCs w:val="31"/>
        </w:rPr>
        <w:t>辆购置税) 及租用费、燃料费、维修费、过路过桥费、保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险</w:t>
      </w:r>
      <w:r>
        <w:rPr>
          <w:rFonts w:ascii="仿宋" w:hAnsi="仿宋" w:eastAsia="仿宋" w:cs="仿宋"/>
          <w:spacing w:val="13"/>
          <w:sz w:val="31"/>
          <w:szCs w:val="31"/>
        </w:rPr>
        <w:t>费</w:t>
      </w:r>
      <w:r>
        <w:rPr>
          <w:rFonts w:ascii="仿宋" w:hAnsi="仿宋" w:eastAsia="仿宋" w:cs="仿宋"/>
          <w:spacing w:val="8"/>
          <w:sz w:val="31"/>
          <w:szCs w:val="31"/>
        </w:rPr>
        <w:t>等支出；公务接待费反映单位按规定开支的各类公务接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待 (含外宾接待) 支出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 w14:paraId="76ED58AB">
      <w:pPr>
        <w:sectPr>
          <w:footerReference r:id="rId20" w:type="default"/>
          <w:pgSz w:w="11906" w:h="16839"/>
          <w:pgMar w:top="1431" w:right="1664" w:bottom="1378" w:left="1785" w:header="0" w:footer="1215" w:gutter="0"/>
          <w:cols w:space="720" w:num="1"/>
        </w:sectPr>
      </w:pPr>
    </w:p>
    <w:p w14:paraId="477852CE">
      <w:pPr>
        <w:spacing w:before="189" w:line="336" w:lineRule="auto"/>
        <w:ind w:left="36" w:right="13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3</w:t>
      </w:r>
      <w:r>
        <w:rPr>
          <w:rFonts w:ascii="仿宋" w:hAnsi="仿宋" w:eastAsia="仿宋" w:cs="仿宋"/>
          <w:spacing w:val="8"/>
          <w:sz w:val="31"/>
          <w:szCs w:val="31"/>
        </w:rPr>
        <w:t>1.机关运行经费：为保障行政单位 (含参照公务员法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管</w:t>
      </w:r>
      <w:r>
        <w:rPr>
          <w:rFonts w:ascii="仿宋" w:hAnsi="仿宋" w:eastAsia="仿宋" w:cs="仿宋"/>
          <w:spacing w:val="8"/>
          <w:sz w:val="31"/>
          <w:szCs w:val="31"/>
        </w:rPr>
        <w:t>理的事业单位) 运行用于购买货物和服务的各项资金，包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括办公及印刷</w:t>
      </w:r>
      <w:r>
        <w:rPr>
          <w:rFonts w:ascii="仿宋" w:hAnsi="仿宋" w:eastAsia="仿宋" w:cs="仿宋"/>
          <w:spacing w:val="2"/>
          <w:sz w:val="31"/>
          <w:szCs w:val="31"/>
        </w:rPr>
        <w:t>费、邮电费、差旅费、会议费、福利费、 日常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维</w:t>
      </w:r>
      <w:r>
        <w:rPr>
          <w:rFonts w:ascii="仿宋" w:hAnsi="仿宋" w:eastAsia="仿宋" w:cs="仿宋"/>
          <w:spacing w:val="13"/>
          <w:sz w:val="31"/>
          <w:szCs w:val="31"/>
        </w:rPr>
        <w:t>修</w:t>
      </w:r>
      <w:r>
        <w:rPr>
          <w:rFonts w:ascii="仿宋" w:hAnsi="仿宋" w:eastAsia="仿宋" w:cs="仿宋"/>
          <w:spacing w:val="8"/>
          <w:sz w:val="31"/>
          <w:szCs w:val="31"/>
        </w:rPr>
        <w:t>费、专用材料及一般设备购置费、办公用房水电费、办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公</w:t>
      </w:r>
      <w:r>
        <w:rPr>
          <w:rFonts w:ascii="仿宋" w:hAnsi="仿宋" w:eastAsia="仿宋" w:cs="仿宋"/>
          <w:spacing w:val="15"/>
          <w:sz w:val="31"/>
          <w:szCs w:val="31"/>
        </w:rPr>
        <w:t>用</w:t>
      </w:r>
      <w:r>
        <w:rPr>
          <w:rFonts w:ascii="仿宋" w:hAnsi="仿宋" w:eastAsia="仿宋" w:cs="仿宋"/>
          <w:spacing w:val="8"/>
          <w:sz w:val="31"/>
          <w:szCs w:val="31"/>
        </w:rPr>
        <w:t>房取暖费、办公用房物业管理费、公务用车运行维护费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以</w:t>
      </w:r>
      <w:r>
        <w:rPr>
          <w:rFonts w:ascii="仿宋" w:hAnsi="仿宋" w:eastAsia="仿宋" w:cs="仿宋"/>
          <w:spacing w:val="5"/>
          <w:sz w:val="31"/>
          <w:szCs w:val="31"/>
        </w:rPr>
        <w:t>及其他费用。</w:t>
      </w:r>
    </w:p>
    <w:p w14:paraId="55E3A356">
      <w:pPr>
        <w:sectPr>
          <w:footerReference r:id="rId21" w:type="default"/>
          <w:pgSz w:w="11906" w:h="16839"/>
          <w:pgMar w:top="1431" w:right="1785" w:bottom="1378" w:left="1785" w:header="0" w:footer="1215" w:gutter="0"/>
          <w:cols w:space="720" w:num="1"/>
        </w:sectPr>
      </w:pPr>
    </w:p>
    <w:p w14:paraId="24A626C0">
      <w:pPr>
        <w:spacing w:before="113" w:line="225" w:lineRule="auto"/>
        <w:ind w:left="2755"/>
        <w:outlineLvl w:val="0"/>
        <w:rPr>
          <w:rFonts w:ascii="黑体" w:hAnsi="黑体" w:eastAsia="黑体" w:cs="黑体"/>
          <w:sz w:val="43"/>
          <w:szCs w:val="43"/>
        </w:rPr>
      </w:pPr>
      <w:bookmarkStart w:id="19" w:name="_Toc12982"/>
      <w:r>
        <w:rPr>
          <w:rFonts w:ascii="黑体" w:hAnsi="黑体" w:eastAsia="黑体" w:cs="黑体"/>
          <w:spacing w:val="10"/>
          <w:sz w:val="43"/>
          <w:szCs w:val="43"/>
        </w:rPr>
        <w:t>第</w:t>
      </w:r>
      <w:r>
        <w:rPr>
          <w:rFonts w:ascii="黑体" w:hAnsi="黑体" w:eastAsia="黑体" w:cs="黑体"/>
          <w:spacing w:val="6"/>
          <w:sz w:val="43"/>
          <w:szCs w:val="43"/>
        </w:rPr>
        <w:t>四部分 附件</w:t>
      </w:r>
      <w:bookmarkEnd w:id="19"/>
    </w:p>
    <w:p w14:paraId="3B7FDB94">
      <w:pPr>
        <w:spacing w:before="177" w:line="230" w:lineRule="auto"/>
        <w:ind w:left="44"/>
        <w:outlineLvl w:val="1"/>
        <w:rPr>
          <w:rFonts w:ascii="黑体" w:hAnsi="黑体" w:eastAsia="黑体" w:cs="黑体"/>
          <w:sz w:val="31"/>
          <w:szCs w:val="31"/>
        </w:rPr>
      </w:pPr>
      <w:bookmarkStart w:id="20" w:name="_Toc9735"/>
      <w:r>
        <w:rPr>
          <w:rFonts w:ascii="黑体" w:hAnsi="黑体" w:eastAsia="黑体" w:cs="黑体"/>
          <w:spacing w:val="-15"/>
          <w:sz w:val="31"/>
          <w:szCs w:val="31"/>
        </w:rPr>
        <w:t>附</w:t>
      </w:r>
      <w:r>
        <w:rPr>
          <w:rFonts w:ascii="黑体" w:hAnsi="黑体" w:eastAsia="黑体" w:cs="黑体"/>
          <w:spacing w:val="-14"/>
          <w:sz w:val="31"/>
          <w:szCs w:val="31"/>
        </w:rPr>
        <w:t>件 1</w:t>
      </w:r>
      <w:bookmarkEnd w:id="20"/>
    </w:p>
    <w:p w14:paraId="5F549F2F">
      <w:pPr>
        <w:spacing w:line="294" w:lineRule="auto"/>
        <w:rPr>
          <w:rFonts w:ascii="Arial"/>
          <w:sz w:val="21"/>
        </w:rPr>
      </w:pPr>
    </w:p>
    <w:p w14:paraId="5046DF5A">
      <w:pPr>
        <w:spacing w:line="294" w:lineRule="auto"/>
        <w:rPr>
          <w:rFonts w:ascii="Arial"/>
          <w:sz w:val="21"/>
        </w:rPr>
      </w:pPr>
    </w:p>
    <w:p w14:paraId="1874D3DD">
      <w:pPr>
        <w:spacing w:before="130" w:line="221" w:lineRule="auto"/>
        <w:ind w:left="85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11"/>
          <w:sz w:val="40"/>
          <w:szCs w:val="40"/>
        </w:rPr>
        <w:t>公</w:t>
      </w:r>
      <w:r>
        <w:rPr>
          <w:rFonts w:ascii="黑体" w:hAnsi="黑体" w:eastAsia="黑体" w:cs="黑体"/>
          <w:spacing w:val="-9"/>
          <w:sz w:val="40"/>
          <w:szCs w:val="40"/>
        </w:rPr>
        <w:t>路养护段 2020 年部门整体支出绩效评价报告</w:t>
      </w:r>
    </w:p>
    <w:p w14:paraId="0B719199">
      <w:pPr>
        <w:spacing w:line="326" w:lineRule="auto"/>
        <w:rPr>
          <w:rFonts w:ascii="Arial"/>
          <w:sz w:val="21"/>
        </w:rPr>
      </w:pPr>
    </w:p>
    <w:p w14:paraId="3C1CB9A7">
      <w:pPr>
        <w:spacing w:line="327" w:lineRule="auto"/>
        <w:rPr>
          <w:rFonts w:ascii="Arial"/>
          <w:sz w:val="21"/>
        </w:rPr>
      </w:pPr>
    </w:p>
    <w:p w14:paraId="6991A3E0">
      <w:pPr>
        <w:spacing w:before="101" w:line="226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bookmarkStart w:id="21" w:name="_Toc26699"/>
      <w:r>
        <w:rPr>
          <w:rFonts w:ascii="黑体" w:hAnsi="黑体" w:eastAsia="黑体" w:cs="黑体"/>
          <w:spacing w:val="12"/>
          <w:sz w:val="31"/>
          <w:szCs w:val="31"/>
        </w:rPr>
        <w:t>一</w:t>
      </w:r>
      <w:r>
        <w:rPr>
          <w:rFonts w:ascii="黑体" w:hAnsi="黑体" w:eastAsia="黑体" w:cs="黑体"/>
          <w:spacing w:val="6"/>
          <w:sz w:val="31"/>
          <w:szCs w:val="31"/>
        </w:rPr>
        <w:t>、部门 (单位) 概况</w:t>
      </w:r>
      <w:bookmarkEnd w:id="21"/>
    </w:p>
    <w:p w14:paraId="1C92EFD0">
      <w:pPr>
        <w:spacing w:line="268" w:lineRule="auto"/>
        <w:rPr>
          <w:rFonts w:ascii="Arial"/>
          <w:sz w:val="21"/>
        </w:rPr>
      </w:pPr>
    </w:p>
    <w:p w14:paraId="63FD6706">
      <w:pPr>
        <w:spacing w:before="101" w:line="228" w:lineRule="auto"/>
        <w:ind w:left="4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( 一) 机构组成。单位内设股室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7 个。包括办公室、人事</w:t>
      </w:r>
    </w:p>
    <w:p w14:paraId="07868ADD">
      <w:pPr>
        <w:spacing w:before="241" w:line="229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股</w:t>
      </w:r>
      <w:r>
        <w:rPr>
          <w:rFonts w:ascii="仿宋" w:hAnsi="仿宋" w:eastAsia="仿宋" w:cs="仿宋"/>
          <w:spacing w:val="6"/>
          <w:sz w:val="31"/>
          <w:szCs w:val="31"/>
        </w:rPr>
        <w:t>，计财股等</w:t>
      </w:r>
    </w:p>
    <w:p w14:paraId="4AF77503">
      <w:pPr>
        <w:spacing w:line="349" w:lineRule="auto"/>
        <w:rPr>
          <w:rFonts w:ascii="Arial"/>
          <w:sz w:val="21"/>
        </w:rPr>
      </w:pPr>
    </w:p>
    <w:p w14:paraId="739C8E4F">
      <w:pPr>
        <w:spacing w:before="101" w:line="375" w:lineRule="auto"/>
        <w:ind w:left="34" w:right="35" w:firstLine="4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(二)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机构职能。国道 212 线、542 线 76 公里，省道 205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线 76.5 公里的 </w:t>
      </w:r>
      <w:r>
        <w:rPr>
          <w:rFonts w:ascii="仿宋" w:hAnsi="仿宋" w:eastAsia="仿宋" w:cs="仿宋"/>
          <w:spacing w:val="-3"/>
          <w:sz w:val="31"/>
          <w:szCs w:val="31"/>
        </w:rPr>
        <w:t>日</w:t>
      </w:r>
      <w:r>
        <w:rPr>
          <w:rFonts w:ascii="仿宋" w:hAnsi="仿宋" w:eastAsia="仿宋" w:cs="仿宋"/>
          <w:spacing w:val="-2"/>
          <w:sz w:val="31"/>
          <w:szCs w:val="31"/>
        </w:rPr>
        <w:t>常养护及大、 中、小修、水毁修复。全区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所有县、乡道路 729</w:t>
      </w:r>
      <w:r>
        <w:rPr>
          <w:rFonts w:ascii="仿宋" w:hAnsi="仿宋" w:eastAsia="仿宋" w:cs="仿宋"/>
          <w:spacing w:val="-2"/>
          <w:sz w:val="31"/>
          <w:szCs w:val="31"/>
        </w:rPr>
        <w:t>.4 公里日常养护及大、 中、小修、水毁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修复。全区通村公路 1800 公里养护管</w:t>
      </w:r>
      <w:r>
        <w:rPr>
          <w:rFonts w:ascii="仿宋" w:hAnsi="仿宋" w:eastAsia="仿宋" w:cs="仿宋"/>
          <w:spacing w:val="1"/>
          <w:sz w:val="31"/>
          <w:szCs w:val="31"/>
        </w:rPr>
        <w:t>理和技术指导。</w:t>
      </w:r>
    </w:p>
    <w:p w14:paraId="71C13EBB">
      <w:pPr>
        <w:spacing w:before="225" w:line="433" w:lineRule="auto"/>
        <w:ind w:left="24" w:firstLine="334"/>
        <w:rPr>
          <w:rFonts w:ascii="宋体" w:hAnsi="宋体" w:eastAsia="宋体" w:cs="宋体"/>
          <w:sz w:val="23"/>
          <w:szCs w:val="23"/>
        </w:rPr>
      </w:pPr>
      <w:r>
        <w:rPr>
          <w:rFonts w:ascii="仿宋" w:hAnsi="仿宋" w:eastAsia="仿宋" w:cs="仿宋"/>
          <w:spacing w:val="-1"/>
          <w:sz w:val="31"/>
          <w:szCs w:val="31"/>
        </w:rPr>
        <w:t>(三) 人员概况。</w:t>
      </w:r>
      <w:r>
        <w:rPr>
          <w:rFonts w:ascii="宋体" w:hAnsi="宋体" w:eastAsia="宋体" w:cs="宋体"/>
          <w:sz w:val="23"/>
          <w:szCs w:val="23"/>
        </w:rPr>
        <w:t xml:space="preserve">核定编制 111 个。管理八级 2 名，管理 9 级 12 名， </w:t>
      </w:r>
      <w:r>
        <w:rPr>
          <w:rFonts w:ascii="宋体" w:hAnsi="宋体" w:eastAsia="宋体" w:cs="宋体"/>
          <w:spacing w:val="-24"/>
          <w:sz w:val="23"/>
          <w:szCs w:val="23"/>
        </w:rPr>
        <w:t>专</w:t>
      </w:r>
      <w:r>
        <w:rPr>
          <w:rFonts w:ascii="宋体" w:hAnsi="宋体" w:eastAsia="宋体" w:cs="宋体"/>
          <w:spacing w:val="-13"/>
          <w:sz w:val="23"/>
          <w:szCs w:val="23"/>
        </w:rPr>
        <w:t>业</w:t>
      </w:r>
      <w:r>
        <w:rPr>
          <w:rFonts w:ascii="宋体" w:hAnsi="宋体" w:eastAsia="宋体" w:cs="宋体"/>
          <w:spacing w:val="-12"/>
          <w:sz w:val="23"/>
          <w:szCs w:val="23"/>
        </w:rPr>
        <w:t>技术 9 级 1 名。专业技术 9 级 1 名，专业技术 10 级 1 名，专业 11 级 3 名，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9"/>
          <w:sz w:val="23"/>
          <w:szCs w:val="23"/>
        </w:rPr>
        <w:t>专</w:t>
      </w:r>
      <w:r>
        <w:rPr>
          <w:rFonts w:ascii="宋体" w:hAnsi="宋体" w:eastAsia="宋体" w:cs="宋体"/>
          <w:spacing w:val="-14"/>
          <w:sz w:val="23"/>
          <w:szCs w:val="23"/>
        </w:rPr>
        <w:t>业 12 级 6 名，专业 13 级 3 名。工勤 2 级 1 名，工勤 3 级 23 名，工勤 4 级 21</w:t>
      </w:r>
    </w:p>
    <w:p w14:paraId="72214CD1">
      <w:pPr>
        <w:spacing w:before="1" w:line="230" w:lineRule="auto"/>
        <w:ind w:left="2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9"/>
          <w:sz w:val="23"/>
          <w:szCs w:val="23"/>
        </w:rPr>
        <w:t>名</w:t>
      </w:r>
      <w:r>
        <w:rPr>
          <w:rFonts w:ascii="宋体" w:hAnsi="宋体" w:eastAsia="宋体" w:cs="宋体"/>
          <w:spacing w:val="-12"/>
          <w:sz w:val="23"/>
          <w:szCs w:val="23"/>
        </w:rPr>
        <w:t>，工勤 5 级 3 名。</w:t>
      </w:r>
    </w:p>
    <w:p w14:paraId="1C18C08F">
      <w:pPr>
        <w:spacing w:before="223" w:line="417" w:lineRule="exact"/>
        <w:ind w:left="672"/>
        <w:outlineLvl w:val="1"/>
        <w:rPr>
          <w:rFonts w:ascii="黑体" w:hAnsi="黑体" w:eastAsia="黑体" w:cs="黑体"/>
          <w:sz w:val="31"/>
          <w:szCs w:val="31"/>
        </w:rPr>
      </w:pPr>
      <w:bookmarkStart w:id="22" w:name="_Toc8135"/>
      <w:r>
        <w:rPr>
          <w:rFonts w:ascii="黑体" w:hAnsi="黑体" w:eastAsia="黑体" w:cs="黑体"/>
          <w:spacing w:val="14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position w:val="2"/>
          <w:sz w:val="31"/>
          <w:szCs w:val="31"/>
        </w:rPr>
        <w:t>、部门财政资金收支情况</w:t>
      </w:r>
      <w:bookmarkEnd w:id="22"/>
    </w:p>
    <w:p w14:paraId="2DEBA38D">
      <w:pPr>
        <w:spacing w:before="164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( 一) 部门财政资金收入</w:t>
      </w:r>
      <w:r>
        <w:rPr>
          <w:rFonts w:ascii="仿宋" w:hAnsi="仿宋" w:eastAsia="仿宋" w:cs="仿宋"/>
          <w:sz w:val="31"/>
          <w:szCs w:val="31"/>
        </w:rPr>
        <w:t xml:space="preserve"> 1845.22 万元。</w:t>
      </w:r>
    </w:p>
    <w:p w14:paraId="120D291A">
      <w:pPr>
        <w:spacing w:before="200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(二) 部门财政资金支出 1845.22 万元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 w14:paraId="65240DA9">
      <w:pPr>
        <w:spacing w:before="197" w:line="241" w:lineRule="auto"/>
        <w:ind w:left="673"/>
        <w:outlineLvl w:val="1"/>
        <w:rPr>
          <w:rFonts w:ascii="黑体" w:hAnsi="黑体" w:eastAsia="黑体" w:cs="黑体"/>
          <w:sz w:val="31"/>
          <w:szCs w:val="31"/>
        </w:rPr>
      </w:pPr>
      <w:bookmarkStart w:id="23" w:name="_Toc17835"/>
      <w:r>
        <w:rPr>
          <w:rFonts w:ascii="黑体" w:hAnsi="黑体" w:eastAsia="黑体" w:cs="黑体"/>
          <w:spacing w:val="15"/>
          <w:sz w:val="31"/>
          <w:szCs w:val="31"/>
        </w:rPr>
        <w:t>三</w:t>
      </w:r>
      <w:r>
        <w:rPr>
          <w:rFonts w:ascii="黑体" w:hAnsi="黑体" w:eastAsia="黑体" w:cs="黑体"/>
          <w:spacing w:val="8"/>
          <w:sz w:val="31"/>
          <w:szCs w:val="31"/>
        </w:rPr>
        <w:t>、部门整体预算绩效管理情况</w:t>
      </w:r>
      <w:bookmarkEnd w:id="23"/>
    </w:p>
    <w:p w14:paraId="632AA159">
      <w:pPr>
        <w:spacing w:before="176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(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一) 部门预算管理。</w:t>
      </w:r>
    </w:p>
    <w:p w14:paraId="706B01BA">
      <w:pPr>
        <w:sectPr>
          <w:footerReference r:id="rId22" w:type="default"/>
          <w:pgSz w:w="11906" w:h="16839"/>
          <w:pgMar w:top="1431" w:right="1762" w:bottom="1378" w:left="1785" w:header="0" w:footer="1215" w:gutter="0"/>
          <w:cols w:space="720" w:num="1"/>
        </w:sectPr>
      </w:pPr>
    </w:p>
    <w:p w14:paraId="50C1D344">
      <w:pPr>
        <w:spacing w:before="195" w:line="346" w:lineRule="auto"/>
        <w:ind w:left="35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部</w:t>
      </w:r>
      <w:r>
        <w:rPr>
          <w:rFonts w:ascii="仿宋" w:hAnsi="仿宋" w:eastAsia="仿宋" w:cs="仿宋"/>
          <w:spacing w:val="8"/>
          <w:sz w:val="31"/>
          <w:szCs w:val="31"/>
        </w:rPr>
        <w:t>门预算编制坚持统筹兼顾，保重点原则，保障预算的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合</w:t>
      </w:r>
      <w:r>
        <w:rPr>
          <w:rFonts w:ascii="仿宋" w:hAnsi="仿宋" w:eastAsia="仿宋" w:cs="仿宋"/>
          <w:spacing w:val="11"/>
          <w:sz w:val="31"/>
          <w:szCs w:val="31"/>
        </w:rPr>
        <w:t>理</w:t>
      </w:r>
      <w:r>
        <w:rPr>
          <w:rFonts w:ascii="仿宋" w:hAnsi="仿宋" w:eastAsia="仿宋" w:cs="仿宋"/>
          <w:spacing w:val="10"/>
          <w:sz w:val="31"/>
          <w:szCs w:val="31"/>
        </w:rPr>
        <w:t>性。在预算执行过程中，将目标任务分解到相关股室，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按预算</w:t>
      </w:r>
      <w:r>
        <w:rPr>
          <w:rFonts w:ascii="仿宋" w:hAnsi="仿宋" w:eastAsia="仿宋" w:cs="仿宋"/>
          <w:sz w:val="31"/>
          <w:szCs w:val="31"/>
        </w:rPr>
        <w:t xml:space="preserve">、控制、协调和考核为内容，建立预算管理控制体系， </w:t>
      </w:r>
      <w:r>
        <w:rPr>
          <w:rFonts w:ascii="仿宋" w:hAnsi="仿宋" w:eastAsia="仿宋" w:cs="仿宋"/>
          <w:spacing w:val="16"/>
          <w:sz w:val="31"/>
          <w:szCs w:val="31"/>
        </w:rPr>
        <w:t>对</w:t>
      </w:r>
      <w:r>
        <w:rPr>
          <w:rFonts w:ascii="仿宋" w:hAnsi="仿宋" w:eastAsia="仿宋" w:cs="仿宋"/>
          <w:spacing w:val="13"/>
          <w:sz w:val="31"/>
          <w:szCs w:val="31"/>
        </w:rPr>
        <w:t>项</w:t>
      </w:r>
      <w:r>
        <w:rPr>
          <w:rFonts w:ascii="仿宋" w:hAnsi="仿宋" w:eastAsia="仿宋" w:cs="仿宋"/>
          <w:spacing w:val="8"/>
          <w:sz w:val="31"/>
          <w:szCs w:val="31"/>
        </w:rPr>
        <w:t>目进行过程管理控制，从而实现预算绩效管理。</w:t>
      </w:r>
    </w:p>
    <w:p w14:paraId="31995F1A">
      <w:pPr>
        <w:spacing w:before="1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(二) 结果应用情况</w:t>
      </w:r>
      <w:r>
        <w:rPr>
          <w:rFonts w:ascii="仿宋" w:hAnsi="仿宋" w:eastAsia="仿宋" w:cs="仿宋"/>
          <w:spacing w:val="19"/>
          <w:sz w:val="31"/>
          <w:szCs w:val="31"/>
        </w:rPr>
        <w:t>。</w:t>
      </w:r>
    </w:p>
    <w:p w14:paraId="797C4FC5">
      <w:pPr>
        <w:spacing w:before="199" w:line="345" w:lineRule="auto"/>
        <w:ind w:left="35" w:right="87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通</w:t>
      </w:r>
      <w:r>
        <w:rPr>
          <w:rFonts w:ascii="仿宋" w:hAnsi="仿宋" w:eastAsia="仿宋" w:cs="仿宋"/>
          <w:spacing w:val="8"/>
          <w:sz w:val="31"/>
          <w:szCs w:val="31"/>
        </w:rPr>
        <w:t>过开展绩效评价管理，对单位资金、项目管理中好的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做</w:t>
      </w:r>
      <w:r>
        <w:rPr>
          <w:rFonts w:ascii="仿宋" w:hAnsi="仿宋" w:eastAsia="仿宋" w:cs="仿宋"/>
          <w:spacing w:val="14"/>
          <w:sz w:val="31"/>
          <w:szCs w:val="31"/>
        </w:rPr>
        <w:t>法</w:t>
      </w:r>
      <w:r>
        <w:rPr>
          <w:rFonts w:ascii="仿宋" w:hAnsi="仿宋" w:eastAsia="仿宋" w:cs="仿宋"/>
          <w:spacing w:val="8"/>
          <w:sz w:val="31"/>
          <w:szCs w:val="31"/>
        </w:rPr>
        <w:t>、经验进行归纳总结，对管理中存在的问题和反馈的意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见进</w:t>
      </w:r>
      <w:r>
        <w:rPr>
          <w:rFonts w:ascii="仿宋" w:hAnsi="仿宋" w:eastAsia="仿宋" w:cs="仿宋"/>
          <w:spacing w:val="9"/>
          <w:sz w:val="31"/>
          <w:szCs w:val="31"/>
        </w:rPr>
        <w:t>行</w:t>
      </w:r>
      <w:r>
        <w:rPr>
          <w:rFonts w:ascii="仿宋" w:hAnsi="仿宋" w:eastAsia="仿宋" w:cs="仿宋"/>
          <w:spacing w:val="8"/>
          <w:sz w:val="31"/>
          <w:szCs w:val="31"/>
        </w:rPr>
        <w:t>及时研究并提出整改措施和优化方案，从而提高财政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资</w:t>
      </w:r>
      <w:r>
        <w:rPr>
          <w:rFonts w:ascii="仿宋" w:hAnsi="仿宋" w:eastAsia="仿宋" w:cs="仿宋"/>
          <w:spacing w:val="6"/>
          <w:sz w:val="31"/>
          <w:szCs w:val="31"/>
        </w:rPr>
        <w:t>金使用效益</w:t>
      </w:r>
    </w:p>
    <w:p w14:paraId="75C2216B">
      <w:pPr>
        <w:spacing w:line="232" w:lineRule="auto"/>
        <w:ind w:left="686"/>
        <w:outlineLvl w:val="1"/>
        <w:rPr>
          <w:rFonts w:ascii="黑体" w:hAnsi="黑体" w:eastAsia="黑体" w:cs="黑体"/>
          <w:sz w:val="31"/>
          <w:szCs w:val="31"/>
        </w:rPr>
      </w:pPr>
      <w:bookmarkStart w:id="24" w:name="_Toc22888"/>
      <w:r>
        <w:rPr>
          <w:rFonts w:ascii="黑体" w:hAnsi="黑体" w:eastAsia="黑体" w:cs="黑体"/>
          <w:spacing w:val="10"/>
          <w:sz w:val="31"/>
          <w:szCs w:val="31"/>
        </w:rPr>
        <w:t>四</w:t>
      </w:r>
      <w:r>
        <w:rPr>
          <w:rFonts w:ascii="黑体" w:hAnsi="黑体" w:eastAsia="黑体" w:cs="黑体"/>
          <w:spacing w:val="6"/>
          <w:sz w:val="31"/>
          <w:szCs w:val="31"/>
        </w:rPr>
        <w:t>、评价结论及建议</w:t>
      </w:r>
      <w:bookmarkEnd w:id="24"/>
    </w:p>
    <w:p w14:paraId="2FABA4C4">
      <w:pPr>
        <w:spacing w:before="186" w:line="343" w:lineRule="auto"/>
        <w:ind w:left="35" w:right="87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一) 评价结论。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4"/>
          <w:sz w:val="31"/>
          <w:szCs w:val="31"/>
        </w:rPr>
        <w:t>年部门整体支出绩效评价好。资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金管</w:t>
      </w:r>
      <w:r>
        <w:rPr>
          <w:rFonts w:ascii="仿宋" w:hAnsi="仿宋" w:eastAsia="仿宋" w:cs="仿宋"/>
          <w:spacing w:val="10"/>
          <w:sz w:val="31"/>
          <w:szCs w:val="31"/>
        </w:rPr>
        <w:t>理</w:t>
      </w:r>
      <w:r>
        <w:rPr>
          <w:rFonts w:ascii="仿宋" w:hAnsi="仿宋" w:eastAsia="仿宋" w:cs="仿宋"/>
          <w:spacing w:val="8"/>
          <w:sz w:val="31"/>
          <w:szCs w:val="31"/>
        </w:rPr>
        <w:t>规范，项目推进有力，促进了地方经济快速发展。</w:t>
      </w:r>
    </w:p>
    <w:p w14:paraId="071632D4">
      <w:pPr>
        <w:spacing w:line="343" w:lineRule="auto"/>
        <w:ind w:left="91" w:right="87" w:firstLine="5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二) 存在问题。项目建设过程管理需进一步规范，项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目建成</w:t>
      </w:r>
      <w:r>
        <w:rPr>
          <w:rFonts w:ascii="仿宋" w:hAnsi="仿宋" w:eastAsia="仿宋" w:cs="仿宋"/>
          <w:spacing w:val="3"/>
          <w:sz w:val="31"/>
          <w:szCs w:val="31"/>
        </w:rPr>
        <w:t>后的管护和运营需加强。</w:t>
      </w:r>
    </w:p>
    <w:p w14:paraId="2C6261C9">
      <w:pPr>
        <w:spacing w:before="2" w:line="352" w:lineRule="auto"/>
        <w:ind w:left="35" w:right="90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三) 改进建议。进一步优化绩效管理措施，规范项目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建</w:t>
      </w:r>
      <w:r>
        <w:rPr>
          <w:rFonts w:ascii="仿宋" w:hAnsi="仿宋" w:eastAsia="仿宋" w:cs="仿宋"/>
          <w:spacing w:val="8"/>
          <w:sz w:val="31"/>
          <w:szCs w:val="31"/>
        </w:rPr>
        <w:t>设过程管理，加强建设后项目使用跟踪管理。</w:t>
      </w:r>
    </w:p>
    <w:p w14:paraId="4D80975E">
      <w:pPr>
        <w:sectPr>
          <w:footerReference r:id="rId23" w:type="default"/>
          <w:pgSz w:w="11906" w:h="16839"/>
          <w:pgMar w:top="1431" w:right="1711" w:bottom="1378" w:left="1785" w:header="0" w:footer="1215" w:gutter="0"/>
          <w:cols w:space="720" w:num="1"/>
        </w:sectPr>
      </w:pPr>
    </w:p>
    <w:p w14:paraId="5AA13EF2">
      <w:pPr>
        <w:spacing w:before="198" w:line="230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 2</w:t>
      </w:r>
    </w:p>
    <w:p w14:paraId="07BB0D3B">
      <w:pPr>
        <w:spacing w:line="272" w:lineRule="auto"/>
        <w:rPr>
          <w:rFonts w:ascii="Arial"/>
          <w:sz w:val="21"/>
        </w:rPr>
      </w:pPr>
    </w:p>
    <w:p w14:paraId="4A0D9762">
      <w:pPr>
        <w:spacing w:line="272" w:lineRule="auto"/>
        <w:rPr>
          <w:rFonts w:ascii="Arial"/>
          <w:sz w:val="21"/>
        </w:rPr>
      </w:pPr>
    </w:p>
    <w:p w14:paraId="5320B60B">
      <w:pPr>
        <w:spacing w:before="140" w:line="225" w:lineRule="auto"/>
        <w:ind w:left="894"/>
        <w:rPr>
          <w:rFonts w:ascii="黑体" w:hAnsi="黑体" w:eastAsia="黑体" w:cs="黑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乡村道路养护及灾损道路维修</w:t>
      </w:r>
      <w:r>
        <w:rPr>
          <w:rFonts w:ascii="黑体" w:hAnsi="黑体" w:eastAsia="黑体" w:cs="黑体"/>
          <w:spacing w:val="9"/>
          <w:sz w:val="43"/>
          <w:szCs w:val="43"/>
        </w:rPr>
        <w:t>项目</w:t>
      </w:r>
    </w:p>
    <w:p w14:paraId="0C854792">
      <w:pPr>
        <w:spacing w:before="74" w:line="225" w:lineRule="auto"/>
        <w:ind w:left="2144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4"/>
          <w:sz w:val="43"/>
          <w:szCs w:val="43"/>
        </w:rPr>
        <w:t>20</w:t>
      </w:r>
      <w:r>
        <w:rPr>
          <w:rFonts w:ascii="黑体" w:hAnsi="黑体" w:eastAsia="黑体" w:cs="黑体"/>
          <w:spacing w:val="-3"/>
          <w:sz w:val="43"/>
          <w:szCs w:val="43"/>
        </w:rPr>
        <w:t>2</w:t>
      </w:r>
      <w:r>
        <w:rPr>
          <w:rFonts w:ascii="黑体" w:hAnsi="黑体" w:eastAsia="黑体" w:cs="黑体"/>
          <w:spacing w:val="-2"/>
          <w:sz w:val="43"/>
          <w:szCs w:val="43"/>
        </w:rPr>
        <w:t>0 年绩效评价报告</w:t>
      </w:r>
    </w:p>
    <w:p w14:paraId="64C41C10">
      <w:pPr>
        <w:spacing w:line="337" w:lineRule="auto"/>
        <w:rPr>
          <w:rFonts w:ascii="Arial"/>
          <w:sz w:val="21"/>
        </w:rPr>
      </w:pPr>
    </w:p>
    <w:p w14:paraId="2F6147B5">
      <w:pPr>
        <w:spacing w:line="337" w:lineRule="auto"/>
        <w:rPr>
          <w:rFonts w:ascii="Arial"/>
          <w:sz w:val="21"/>
        </w:rPr>
      </w:pPr>
    </w:p>
    <w:p w14:paraId="65EB7B8C">
      <w:pPr>
        <w:spacing w:before="101" w:line="513" w:lineRule="exact"/>
        <w:ind w:left="751"/>
        <w:outlineLvl w:val="1"/>
        <w:rPr>
          <w:rFonts w:ascii="黑体" w:hAnsi="黑体" w:eastAsia="黑体" w:cs="黑体"/>
          <w:sz w:val="31"/>
          <w:szCs w:val="31"/>
        </w:rPr>
      </w:pPr>
      <w:bookmarkStart w:id="25" w:name="_Toc3750"/>
      <w:r>
        <w:rPr>
          <w:rFonts w:ascii="黑体" w:hAnsi="黑体" w:eastAsia="黑体" w:cs="黑体"/>
          <w:spacing w:val="7"/>
          <w:position w:val="4"/>
          <w:sz w:val="31"/>
          <w:szCs w:val="31"/>
        </w:rPr>
        <w:t>一、项目概况</w:t>
      </w:r>
      <w:bookmarkEnd w:id="25"/>
    </w:p>
    <w:p w14:paraId="00E701E9">
      <w:pPr>
        <w:spacing w:before="86" w:line="231" w:lineRule="auto"/>
        <w:ind w:left="7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楷体" w:hAnsi="楷体" w:eastAsia="楷体" w:cs="楷体"/>
          <w:spacing w:val="1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项目基本情况。</w:t>
      </w:r>
    </w:p>
    <w:p w14:paraId="67D0BDB7">
      <w:pPr>
        <w:spacing w:before="213" w:line="416" w:lineRule="exact"/>
        <w:ind w:left="7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"/>
          <w:sz w:val="31"/>
          <w:szCs w:val="31"/>
        </w:rPr>
        <w:t>1.该项目无立项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。</w:t>
      </w:r>
    </w:p>
    <w:p w14:paraId="3D9B6029">
      <w:pPr>
        <w:spacing w:before="185" w:line="357" w:lineRule="auto"/>
        <w:ind w:left="35" w:right="115" w:firstLine="7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资金申报的依据该项目资金管理严格依据财政规定，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按程</w:t>
      </w:r>
      <w:r>
        <w:rPr>
          <w:rFonts w:ascii="仿宋" w:hAnsi="仿宋" w:eastAsia="仿宋" w:cs="仿宋"/>
          <w:spacing w:val="5"/>
          <w:sz w:val="31"/>
          <w:szCs w:val="31"/>
        </w:rPr>
        <w:t>序申报，层层签字，由区国库直接支付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,</w:t>
      </w:r>
      <w:r>
        <w:rPr>
          <w:rFonts w:ascii="仿宋" w:hAnsi="仿宋" w:eastAsia="仿宋" w:cs="仿宋"/>
          <w:spacing w:val="5"/>
          <w:sz w:val="31"/>
          <w:szCs w:val="31"/>
        </w:rPr>
        <w:t>转账给第三方单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位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</w:p>
    <w:p w14:paraId="3C58DCBA">
      <w:pPr>
        <w:spacing w:before="1" w:line="232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楷体" w:hAnsi="楷体" w:eastAsia="楷体" w:cs="楷体"/>
          <w:spacing w:val="1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项目绩效目标。</w:t>
      </w:r>
    </w:p>
    <w:p w14:paraId="2A324B92">
      <w:pPr>
        <w:spacing w:before="210" w:line="416" w:lineRule="exact"/>
        <w:ind w:left="7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"/>
          <w:sz w:val="31"/>
          <w:szCs w:val="31"/>
        </w:rPr>
        <w:t>1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．项目主要内容：乡村道路水毁修复。</w:t>
      </w:r>
    </w:p>
    <w:p w14:paraId="48734E36">
      <w:pPr>
        <w:spacing w:before="184" w:line="416" w:lineRule="exact"/>
        <w:ind w:left="7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"/>
          <w:sz w:val="31"/>
          <w:szCs w:val="31"/>
        </w:rPr>
        <w:t>2．项目应实现的具体绩效目标，按照要求保障道路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的</w:t>
      </w:r>
    </w:p>
    <w:p w14:paraId="5DF24233">
      <w:pPr>
        <w:spacing w:before="184" w:line="227" w:lineRule="auto"/>
        <w:ind w:left="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畅安舒美。</w:t>
      </w:r>
    </w:p>
    <w:p w14:paraId="76CD5348">
      <w:pPr>
        <w:spacing w:before="219" w:line="416" w:lineRule="exact"/>
        <w:ind w:left="751"/>
        <w:outlineLvl w:val="1"/>
        <w:rPr>
          <w:rFonts w:ascii="黑体" w:hAnsi="黑体" w:eastAsia="黑体" w:cs="黑体"/>
          <w:sz w:val="31"/>
          <w:szCs w:val="31"/>
        </w:rPr>
      </w:pPr>
      <w:bookmarkStart w:id="26" w:name="_Toc23418"/>
      <w:r>
        <w:rPr>
          <w:rFonts w:ascii="黑体" w:hAnsi="黑体" w:eastAsia="黑体" w:cs="黑体"/>
          <w:spacing w:val="15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position w:val="2"/>
          <w:sz w:val="31"/>
          <w:szCs w:val="31"/>
        </w:rPr>
        <w:t>、项目资金申报及使用情况</w:t>
      </w:r>
      <w:bookmarkEnd w:id="26"/>
    </w:p>
    <w:p w14:paraId="580D3E0F">
      <w:pPr>
        <w:spacing w:before="184" w:line="231" w:lineRule="auto"/>
        <w:ind w:left="7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(一)</w:t>
      </w:r>
      <w:r>
        <w:rPr>
          <w:rFonts w:ascii="楷体" w:hAnsi="楷体" w:eastAsia="楷体" w:cs="楷体"/>
          <w:spacing w:val="1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项目资金申报及批复情况</w:t>
      </w:r>
      <w:r>
        <w:rPr>
          <w:rFonts w:ascii="楷体" w:hAnsi="楷体" w:eastAsia="楷体" w:cs="楷体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p w14:paraId="4E75A329">
      <w:pPr>
        <w:spacing w:before="213" w:line="357" w:lineRule="auto"/>
        <w:ind w:left="38" w:right="24" w:firstLine="7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说明年初预算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 70 万元，按照由现场人员提方案，股室，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分</w:t>
      </w:r>
      <w:r>
        <w:rPr>
          <w:rFonts w:ascii="仿宋" w:hAnsi="仿宋" w:eastAsia="仿宋" w:cs="仿宋"/>
          <w:spacing w:val="7"/>
          <w:sz w:val="31"/>
          <w:szCs w:val="31"/>
        </w:rPr>
        <w:t>管领导审核，一层一层上报。</w:t>
      </w:r>
    </w:p>
    <w:p w14:paraId="4B8E21FC">
      <w:pPr>
        <w:spacing w:before="1" w:line="237" w:lineRule="auto"/>
        <w:ind w:left="7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楷体" w:hAnsi="楷体" w:eastAsia="楷体" w:cs="楷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)资金计划、到位及使用情况(可用表格形式反映)。</w:t>
      </w:r>
    </w:p>
    <w:p w14:paraId="75450576">
      <w:pPr>
        <w:spacing w:before="200" w:line="231" w:lineRule="auto"/>
        <w:ind w:left="76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4"/>
          <w:sz w:val="31"/>
          <w:szCs w:val="31"/>
        </w:rPr>
        <w:t>1．资金计</w:t>
      </w:r>
      <w:r>
        <w:rPr>
          <w:rFonts w:ascii="楷体" w:hAnsi="楷体" w:eastAsia="楷体" w:cs="楷体"/>
          <w:spacing w:val="-2"/>
          <w:sz w:val="31"/>
          <w:szCs w:val="31"/>
        </w:rPr>
        <w:t>划。</w:t>
      </w:r>
      <w:r>
        <w:rPr>
          <w:rFonts w:ascii="仿宋" w:hAnsi="仿宋" w:eastAsia="仿宋" w:cs="仿宋"/>
          <w:spacing w:val="-2"/>
          <w:sz w:val="31"/>
          <w:szCs w:val="31"/>
        </w:rPr>
        <w:t>年初预算 70 万元。</w:t>
      </w:r>
    </w:p>
    <w:p w14:paraId="78F96E64">
      <w:pPr>
        <w:spacing w:before="212" w:line="231" w:lineRule="auto"/>
        <w:ind w:left="743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2．资金到位。</w:t>
      </w:r>
      <w:r>
        <w:rPr>
          <w:rFonts w:ascii="仿宋" w:hAnsi="仿宋" w:eastAsia="仿宋" w:cs="仿宋"/>
          <w:spacing w:val="8"/>
          <w:sz w:val="31"/>
          <w:szCs w:val="31"/>
        </w:rPr>
        <w:t>及时到位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58F0C3BA">
      <w:pPr>
        <w:spacing w:before="214" w:line="231" w:lineRule="auto"/>
        <w:ind w:left="74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3</w:t>
      </w:r>
      <w:r>
        <w:rPr>
          <w:rFonts w:ascii="楷体" w:hAnsi="楷体" w:eastAsia="楷体" w:cs="楷体"/>
          <w:spacing w:val="6"/>
          <w:sz w:val="31"/>
          <w:szCs w:val="31"/>
        </w:rPr>
        <w:t>．</w:t>
      </w:r>
      <w:r>
        <w:rPr>
          <w:rFonts w:ascii="楷体" w:hAnsi="楷体" w:eastAsia="楷体" w:cs="楷体"/>
          <w:spacing w:val="5"/>
          <w:sz w:val="31"/>
          <w:szCs w:val="31"/>
        </w:rPr>
        <w:t>资金使用。</w:t>
      </w:r>
      <w:r>
        <w:rPr>
          <w:rFonts w:ascii="仿宋" w:hAnsi="仿宋" w:eastAsia="仿宋" w:cs="仿宋"/>
          <w:spacing w:val="5"/>
          <w:sz w:val="31"/>
          <w:szCs w:val="31"/>
        </w:rPr>
        <w:t>按程序申报，层层签字， 由区国库直接</w:t>
      </w:r>
    </w:p>
    <w:p w14:paraId="30D10638">
      <w:pPr>
        <w:sectPr>
          <w:footerReference r:id="rId24" w:type="default"/>
          <w:pgSz w:w="11906" w:h="16839"/>
          <w:pgMar w:top="1431" w:right="1687" w:bottom="1378" w:left="1785" w:header="0" w:footer="1215" w:gutter="0"/>
          <w:cols w:space="720" w:num="1"/>
        </w:sectPr>
      </w:pPr>
    </w:p>
    <w:p w14:paraId="6C774AE6">
      <w:pPr>
        <w:spacing w:before="215" w:line="218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支</w:t>
      </w:r>
      <w:r>
        <w:rPr>
          <w:rFonts w:ascii="仿宋" w:hAnsi="仿宋" w:eastAsia="仿宋" w:cs="仿宋"/>
          <w:spacing w:val="7"/>
          <w:sz w:val="31"/>
          <w:szCs w:val="31"/>
        </w:rPr>
        <w:t>付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,</w:t>
      </w:r>
      <w:r>
        <w:rPr>
          <w:rFonts w:ascii="仿宋" w:hAnsi="仿宋" w:eastAsia="仿宋" w:cs="仿宋"/>
          <w:spacing w:val="6"/>
          <w:sz w:val="31"/>
          <w:szCs w:val="31"/>
        </w:rPr>
        <w:t>转账给第三方单位。</w:t>
      </w:r>
    </w:p>
    <w:p w14:paraId="5BEC5150">
      <w:pPr>
        <w:spacing w:before="233" w:line="229" w:lineRule="auto"/>
        <w:ind w:left="7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三)</w:t>
      </w:r>
      <w:r>
        <w:rPr>
          <w:rFonts w:ascii="楷体" w:hAnsi="楷体" w:eastAsia="楷体" w:cs="楷体"/>
          <w:spacing w:val="1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项目财务管理情况。</w:t>
      </w:r>
    </w:p>
    <w:p w14:paraId="180ACA31">
      <w:pPr>
        <w:spacing w:before="217" w:line="357" w:lineRule="auto"/>
        <w:ind w:left="38" w:right="16" w:firstLine="7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总体评</w:t>
      </w:r>
      <w:r>
        <w:rPr>
          <w:rFonts w:ascii="仿宋" w:hAnsi="仿宋" w:eastAsia="仿宋" w:cs="仿宋"/>
          <w:spacing w:val="4"/>
          <w:sz w:val="31"/>
          <w:szCs w:val="31"/>
        </w:rPr>
        <w:t>价各项目实施单位财务管理制度健全，严格执行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财</w:t>
      </w:r>
      <w:r>
        <w:rPr>
          <w:rFonts w:ascii="仿宋" w:hAnsi="仿宋" w:eastAsia="仿宋" w:cs="仿宋"/>
          <w:spacing w:val="8"/>
          <w:sz w:val="31"/>
          <w:szCs w:val="31"/>
        </w:rPr>
        <w:t>务管理制度，账务处理及时，会计核算规范。</w:t>
      </w:r>
    </w:p>
    <w:p w14:paraId="0A8C8D2B">
      <w:pPr>
        <w:spacing w:before="1"/>
        <w:ind w:left="752"/>
        <w:outlineLvl w:val="1"/>
        <w:rPr>
          <w:rFonts w:ascii="黑体" w:hAnsi="黑体" w:eastAsia="黑体" w:cs="黑体"/>
          <w:sz w:val="31"/>
          <w:szCs w:val="31"/>
        </w:rPr>
      </w:pPr>
      <w:bookmarkStart w:id="27" w:name="_Toc13706"/>
      <w:r>
        <w:rPr>
          <w:rFonts w:ascii="黑体" w:hAnsi="黑体" w:eastAsia="黑体" w:cs="黑体"/>
          <w:spacing w:val="10"/>
          <w:sz w:val="31"/>
          <w:szCs w:val="31"/>
        </w:rPr>
        <w:t>三</w:t>
      </w:r>
      <w:r>
        <w:rPr>
          <w:rFonts w:ascii="黑体" w:hAnsi="黑体" w:eastAsia="黑体" w:cs="黑体"/>
          <w:spacing w:val="7"/>
          <w:sz w:val="31"/>
          <w:szCs w:val="31"/>
        </w:rPr>
        <w:t>、项目绩效情况</w:t>
      </w:r>
      <w:bookmarkEnd w:id="27"/>
    </w:p>
    <w:p w14:paraId="55D99829">
      <w:pPr>
        <w:spacing w:before="196" w:line="232" w:lineRule="auto"/>
        <w:ind w:left="7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楷体" w:hAnsi="楷体" w:eastAsia="楷体" w:cs="楷体"/>
          <w:spacing w:val="1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项目完成情况。</w:t>
      </w:r>
    </w:p>
    <w:p w14:paraId="17FAC2CE">
      <w:pPr>
        <w:spacing w:before="210" w:line="227" w:lineRule="auto"/>
        <w:ind w:left="7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加</w:t>
      </w:r>
      <w:r>
        <w:rPr>
          <w:rFonts w:ascii="仿宋" w:hAnsi="仿宋" w:eastAsia="仿宋" w:cs="仿宋"/>
          <w:spacing w:val="8"/>
          <w:sz w:val="31"/>
          <w:szCs w:val="31"/>
        </w:rPr>
        <w:t>强对公路道路的维修，完成情况良好。</w:t>
      </w:r>
    </w:p>
    <w:p w14:paraId="6D2ACA2D">
      <w:pPr>
        <w:spacing w:before="218" w:line="232" w:lineRule="auto"/>
        <w:ind w:left="77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楷体" w:hAnsi="楷体" w:eastAsia="楷体" w:cs="楷体"/>
          <w:spacing w:val="1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项目效益情况。</w:t>
      </w:r>
    </w:p>
    <w:p w14:paraId="22373819">
      <w:pPr>
        <w:spacing w:before="212" w:line="357" w:lineRule="auto"/>
        <w:ind w:left="38" w:right="13" w:firstLine="7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从</w:t>
      </w:r>
      <w:r>
        <w:rPr>
          <w:rFonts w:ascii="仿宋" w:hAnsi="仿宋" w:eastAsia="仿宋" w:cs="仿宋"/>
          <w:spacing w:val="6"/>
          <w:sz w:val="31"/>
          <w:szCs w:val="31"/>
        </w:rPr>
        <w:t>项</w:t>
      </w:r>
      <w:r>
        <w:rPr>
          <w:rFonts w:ascii="仿宋" w:hAnsi="仿宋" w:eastAsia="仿宋" w:cs="仿宋"/>
          <w:spacing w:val="5"/>
          <w:sz w:val="31"/>
          <w:szCs w:val="31"/>
        </w:rPr>
        <w:t>目经济效益、社会效益、生态效益、可持续效益以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及服务对象满意度等群众满意度 100%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 w14:paraId="75FF3E78">
      <w:pPr>
        <w:spacing w:before="1" w:line="239" w:lineRule="auto"/>
        <w:ind w:left="755"/>
        <w:outlineLvl w:val="1"/>
        <w:rPr>
          <w:rFonts w:ascii="黑体" w:hAnsi="黑体" w:eastAsia="黑体" w:cs="黑体"/>
          <w:sz w:val="31"/>
          <w:szCs w:val="31"/>
        </w:rPr>
      </w:pPr>
      <w:bookmarkStart w:id="28" w:name="_Toc4900"/>
      <w:r>
        <w:rPr>
          <w:rFonts w:ascii="黑体" w:hAnsi="黑体" w:eastAsia="黑体" w:cs="黑体"/>
          <w:spacing w:val="12"/>
          <w:sz w:val="31"/>
          <w:szCs w:val="31"/>
        </w:rPr>
        <w:t>五</w:t>
      </w:r>
      <w:r>
        <w:rPr>
          <w:rFonts w:ascii="黑体" w:hAnsi="黑体" w:eastAsia="黑体" w:cs="黑体"/>
          <w:spacing w:val="7"/>
          <w:sz w:val="31"/>
          <w:szCs w:val="31"/>
        </w:rPr>
        <w:t>、评价结论及建议</w:t>
      </w:r>
      <w:bookmarkEnd w:id="28"/>
    </w:p>
    <w:p w14:paraId="36A496E9">
      <w:pPr>
        <w:spacing w:before="178" w:line="343" w:lineRule="auto"/>
        <w:ind w:left="35" w:right="13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一) 评价结论。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4"/>
          <w:sz w:val="31"/>
          <w:szCs w:val="31"/>
        </w:rPr>
        <w:t>年部门整体支出绩效评价好。资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金管</w:t>
      </w:r>
      <w:r>
        <w:rPr>
          <w:rFonts w:ascii="仿宋" w:hAnsi="仿宋" w:eastAsia="仿宋" w:cs="仿宋"/>
          <w:spacing w:val="10"/>
          <w:sz w:val="31"/>
          <w:szCs w:val="31"/>
        </w:rPr>
        <w:t>理</w:t>
      </w:r>
      <w:r>
        <w:rPr>
          <w:rFonts w:ascii="仿宋" w:hAnsi="仿宋" w:eastAsia="仿宋" w:cs="仿宋"/>
          <w:spacing w:val="8"/>
          <w:sz w:val="31"/>
          <w:szCs w:val="31"/>
        </w:rPr>
        <w:t>规范，项目推进有力，促进了地方经济快速发展。</w:t>
      </w:r>
    </w:p>
    <w:p w14:paraId="32FB07C3">
      <w:pPr>
        <w:spacing w:line="343" w:lineRule="auto"/>
        <w:ind w:left="91" w:right="13" w:firstLine="5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二) 存在问题。项目建设过程管理需进一步规范，项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目建成</w:t>
      </w:r>
      <w:r>
        <w:rPr>
          <w:rFonts w:ascii="仿宋" w:hAnsi="仿宋" w:eastAsia="仿宋" w:cs="仿宋"/>
          <w:spacing w:val="3"/>
          <w:sz w:val="31"/>
          <w:szCs w:val="31"/>
        </w:rPr>
        <w:t>后的管护和运营需加强。</w:t>
      </w:r>
    </w:p>
    <w:p w14:paraId="6034C0D0">
      <w:pPr>
        <w:spacing w:before="2" w:line="352" w:lineRule="auto"/>
        <w:ind w:left="35" w:right="16" w:firstLine="645"/>
        <w:sectPr>
          <w:footerReference r:id="rId25" w:type="default"/>
          <w:pgSz w:w="11906" w:h="16839"/>
          <w:pgMar w:top="1431" w:right="1785" w:bottom="1378" w:left="1785" w:header="0" w:footer="1215" w:gutter="0"/>
          <w:cols w:space="720" w:num="1"/>
        </w:sect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三) 改进建议。进一步优化绩效管理措施，规范项目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建</w:t>
      </w:r>
      <w:r>
        <w:rPr>
          <w:rFonts w:ascii="仿宋" w:hAnsi="仿宋" w:eastAsia="仿宋" w:cs="仿宋"/>
          <w:spacing w:val="8"/>
          <w:sz w:val="31"/>
          <w:szCs w:val="31"/>
        </w:rPr>
        <w:t>设过程管理，加强项目使用跟踪管理。</w:t>
      </w:r>
    </w:p>
    <w:p w14:paraId="24C99315">
      <w:pPr>
        <w:spacing w:line="298" w:lineRule="auto"/>
        <w:rPr>
          <w:rFonts w:ascii="Arial"/>
          <w:sz w:val="21"/>
        </w:rPr>
      </w:pPr>
    </w:p>
    <w:p w14:paraId="2942F592">
      <w:pPr>
        <w:spacing w:before="140" w:line="225" w:lineRule="auto"/>
        <w:ind w:left="2755"/>
        <w:outlineLvl w:val="0"/>
        <w:rPr>
          <w:rFonts w:ascii="Arial"/>
          <w:sz w:val="21"/>
        </w:rPr>
      </w:pPr>
      <w:bookmarkStart w:id="29" w:name="_Toc28328"/>
      <w:r>
        <w:rPr>
          <w:rFonts w:ascii="黑体" w:hAnsi="黑体" w:eastAsia="黑体" w:cs="黑体"/>
          <w:spacing w:val="10"/>
          <w:sz w:val="43"/>
          <w:szCs w:val="43"/>
        </w:rPr>
        <w:t>第</w:t>
      </w:r>
      <w:r>
        <w:rPr>
          <w:rFonts w:ascii="黑体" w:hAnsi="黑体" w:eastAsia="黑体" w:cs="黑体"/>
          <w:spacing w:val="6"/>
          <w:sz w:val="43"/>
          <w:szCs w:val="43"/>
        </w:rPr>
        <w:t>五部分 附表</w:t>
      </w:r>
      <w:bookmarkEnd w:id="29"/>
    </w:p>
    <w:p w14:paraId="306F2802">
      <w:pPr>
        <w:spacing w:line="293" w:lineRule="auto"/>
        <w:rPr>
          <w:rFonts w:ascii="Arial"/>
          <w:sz w:val="21"/>
        </w:rPr>
      </w:pPr>
    </w:p>
    <w:p w14:paraId="2D4FC08F">
      <w:pPr>
        <w:spacing w:before="100" w:line="523" w:lineRule="exact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3"/>
          <w:sz w:val="31"/>
          <w:szCs w:val="31"/>
        </w:rPr>
        <w:t>一</w:t>
      </w:r>
      <w:r>
        <w:rPr>
          <w:rFonts w:ascii="仿宋" w:hAnsi="仿宋" w:eastAsia="仿宋" w:cs="仿宋"/>
          <w:spacing w:val="7"/>
          <w:position w:val="3"/>
          <w:sz w:val="31"/>
          <w:szCs w:val="31"/>
        </w:rPr>
        <w:t>、收入支出决算总表</w:t>
      </w:r>
    </w:p>
    <w:p w14:paraId="120CBC20">
      <w:pPr>
        <w:spacing w:line="260" w:lineRule="auto"/>
        <w:rPr>
          <w:rFonts w:ascii="Arial"/>
          <w:sz w:val="21"/>
        </w:rPr>
      </w:pPr>
    </w:p>
    <w:p w14:paraId="0E54C4CA">
      <w:pPr>
        <w:spacing w:before="101" w:line="437" w:lineRule="exact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"/>
          <w:sz w:val="31"/>
          <w:szCs w:val="31"/>
        </w:rPr>
        <w:t>二</w:t>
      </w:r>
      <w:r>
        <w:rPr>
          <w:rFonts w:ascii="仿宋" w:hAnsi="仿宋" w:eastAsia="仿宋" w:cs="仿宋"/>
          <w:spacing w:val="5"/>
          <w:position w:val="2"/>
          <w:sz w:val="31"/>
          <w:szCs w:val="31"/>
        </w:rPr>
        <w:t>、收入决算表</w:t>
      </w:r>
    </w:p>
    <w:p w14:paraId="6D8FF250">
      <w:pPr>
        <w:spacing w:line="343" w:lineRule="auto"/>
        <w:rPr>
          <w:rFonts w:ascii="Arial"/>
          <w:sz w:val="21"/>
        </w:rPr>
      </w:pPr>
    </w:p>
    <w:p w14:paraId="7904D35C">
      <w:pPr>
        <w:spacing w:before="101" w:line="415" w:lineRule="exact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"/>
          <w:sz w:val="31"/>
          <w:szCs w:val="31"/>
        </w:rPr>
        <w:t>三</w:t>
      </w:r>
      <w:r>
        <w:rPr>
          <w:rFonts w:ascii="仿宋" w:hAnsi="仿宋" w:eastAsia="仿宋" w:cs="仿宋"/>
          <w:spacing w:val="5"/>
          <w:position w:val="1"/>
          <w:sz w:val="31"/>
          <w:szCs w:val="31"/>
        </w:rPr>
        <w:t>、支出决算表</w:t>
      </w:r>
    </w:p>
    <w:p w14:paraId="6E2F735A">
      <w:pPr>
        <w:spacing w:line="365" w:lineRule="auto"/>
        <w:rPr>
          <w:rFonts w:ascii="Arial"/>
          <w:sz w:val="21"/>
        </w:rPr>
      </w:pPr>
    </w:p>
    <w:p w14:paraId="50BB6258">
      <w:pPr>
        <w:spacing w:before="100"/>
        <w:ind w:left="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四</w:t>
      </w:r>
      <w:r>
        <w:rPr>
          <w:rFonts w:ascii="仿宋" w:hAnsi="仿宋" w:eastAsia="仿宋" w:cs="仿宋"/>
          <w:spacing w:val="9"/>
          <w:sz w:val="31"/>
          <w:szCs w:val="31"/>
        </w:rPr>
        <w:t>、</w:t>
      </w:r>
      <w:r>
        <w:rPr>
          <w:rFonts w:ascii="仿宋" w:hAnsi="仿宋" w:eastAsia="仿宋" w:cs="仿宋"/>
          <w:spacing w:val="5"/>
          <w:sz w:val="31"/>
          <w:szCs w:val="31"/>
        </w:rPr>
        <w:t>财政拨款收入支出决算总表</w:t>
      </w:r>
    </w:p>
    <w:p w14:paraId="18574DA8">
      <w:pPr>
        <w:spacing w:line="379" w:lineRule="auto"/>
        <w:rPr>
          <w:rFonts w:ascii="Arial"/>
          <w:sz w:val="21"/>
        </w:rPr>
      </w:pPr>
    </w:p>
    <w:p w14:paraId="7236A67A">
      <w:pPr>
        <w:spacing w:before="101" w:line="424" w:lineRule="exact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"/>
          <w:sz w:val="31"/>
          <w:szCs w:val="31"/>
        </w:rPr>
        <w:t>五、财政拨款支出决算明细</w:t>
      </w:r>
      <w:r>
        <w:rPr>
          <w:rFonts w:ascii="仿宋" w:hAnsi="仿宋" w:eastAsia="仿宋" w:cs="仿宋"/>
          <w:spacing w:val="6"/>
          <w:position w:val="1"/>
          <w:sz w:val="31"/>
          <w:szCs w:val="31"/>
        </w:rPr>
        <w:t>表</w:t>
      </w:r>
    </w:p>
    <w:p w14:paraId="5E0F60D6">
      <w:pPr>
        <w:spacing w:line="357" w:lineRule="auto"/>
        <w:rPr>
          <w:rFonts w:ascii="Arial"/>
          <w:sz w:val="21"/>
        </w:rPr>
      </w:pPr>
    </w:p>
    <w:p w14:paraId="65294F4E">
      <w:pPr>
        <w:spacing w:before="101" w:line="236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六</w:t>
      </w:r>
      <w:r>
        <w:rPr>
          <w:rFonts w:ascii="仿宋" w:hAnsi="仿宋" w:eastAsia="仿宋" w:cs="仿宋"/>
          <w:spacing w:val="8"/>
          <w:sz w:val="31"/>
          <w:szCs w:val="31"/>
        </w:rPr>
        <w:t>、一般公共预算财政拨款支出决算表</w:t>
      </w:r>
    </w:p>
    <w:p w14:paraId="538FB5DF">
      <w:pPr>
        <w:spacing w:line="383" w:lineRule="auto"/>
        <w:rPr>
          <w:rFonts w:ascii="Arial"/>
          <w:sz w:val="21"/>
        </w:rPr>
      </w:pPr>
    </w:p>
    <w:p w14:paraId="5199DB2B">
      <w:pPr>
        <w:spacing w:before="101" w:line="239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七</w:t>
      </w:r>
      <w:r>
        <w:rPr>
          <w:rFonts w:ascii="仿宋" w:hAnsi="仿宋" w:eastAsia="仿宋" w:cs="仿宋"/>
          <w:spacing w:val="9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一般公共预算财政拨款支出决算明细表</w:t>
      </w:r>
    </w:p>
    <w:p w14:paraId="2C93FE86">
      <w:pPr>
        <w:spacing w:line="379" w:lineRule="auto"/>
        <w:rPr>
          <w:rFonts w:ascii="Arial"/>
          <w:sz w:val="21"/>
        </w:rPr>
      </w:pPr>
    </w:p>
    <w:p w14:paraId="3C4ABD7E">
      <w:pPr>
        <w:spacing w:before="102" w:line="239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八、一般公共预算财政拨款基本支出决算</w:t>
      </w:r>
      <w:r>
        <w:rPr>
          <w:rFonts w:ascii="仿宋" w:hAnsi="仿宋" w:eastAsia="仿宋" w:cs="仿宋"/>
          <w:spacing w:val="6"/>
          <w:sz w:val="31"/>
          <w:szCs w:val="31"/>
        </w:rPr>
        <w:t>表</w:t>
      </w:r>
    </w:p>
    <w:p w14:paraId="738C057E">
      <w:pPr>
        <w:spacing w:line="379" w:lineRule="auto"/>
        <w:rPr>
          <w:rFonts w:ascii="Arial"/>
          <w:sz w:val="21"/>
        </w:rPr>
      </w:pPr>
    </w:p>
    <w:p w14:paraId="020EE304">
      <w:pPr>
        <w:spacing w:before="101" w:line="230" w:lineRule="auto"/>
        <w:ind w:lef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九</w:t>
      </w:r>
      <w:r>
        <w:rPr>
          <w:rFonts w:ascii="仿宋" w:hAnsi="仿宋" w:eastAsia="仿宋" w:cs="仿宋"/>
          <w:spacing w:val="8"/>
          <w:sz w:val="31"/>
          <w:szCs w:val="31"/>
        </w:rPr>
        <w:t>、一般公共预算财政拨款项目支出决算表</w:t>
      </w:r>
    </w:p>
    <w:p w14:paraId="7C735770">
      <w:pPr>
        <w:spacing w:line="393" w:lineRule="auto"/>
        <w:rPr>
          <w:rFonts w:ascii="Arial"/>
          <w:sz w:val="21"/>
        </w:rPr>
      </w:pPr>
    </w:p>
    <w:p w14:paraId="6C2EDC80">
      <w:pPr>
        <w:spacing w:before="101" w:line="228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十</w:t>
      </w:r>
      <w:r>
        <w:rPr>
          <w:rFonts w:ascii="仿宋" w:hAnsi="仿宋" w:eastAsia="仿宋" w:cs="仿宋"/>
          <w:spacing w:val="14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一般公共预算财政拨款“三公”经费支出决算表</w:t>
      </w:r>
    </w:p>
    <w:p w14:paraId="4E863381">
      <w:pPr>
        <w:spacing w:line="399" w:lineRule="auto"/>
        <w:rPr>
          <w:rFonts w:ascii="Arial"/>
          <w:sz w:val="21"/>
        </w:rPr>
      </w:pPr>
    </w:p>
    <w:p w14:paraId="5129B7EA">
      <w:pPr>
        <w:spacing w:before="102" w:line="228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十</w:t>
      </w:r>
      <w:r>
        <w:rPr>
          <w:rFonts w:ascii="仿宋" w:hAnsi="仿宋" w:eastAsia="仿宋" w:cs="仿宋"/>
          <w:spacing w:val="9"/>
          <w:sz w:val="31"/>
          <w:szCs w:val="31"/>
        </w:rPr>
        <w:t>一</w:t>
      </w:r>
      <w:r>
        <w:rPr>
          <w:rFonts w:ascii="仿宋" w:hAnsi="仿宋" w:eastAsia="仿宋" w:cs="仿宋"/>
          <w:spacing w:val="8"/>
          <w:sz w:val="31"/>
          <w:szCs w:val="31"/>
        </w:rPr>
        <w:t>、政府性基金预算财政拨款收入支出决算表</w:t>
      </w:r>
    </w:p>
    <w:p w14:paraId="10E9E9E1">
      <w:pPr>
        <w:spacing w:line="397" w:lineRule="auto"/>
        <w:rPr>
          <w:rFonts w:ascii="Arial"/>
          <w:sz w:val="21"/>
        </w:rPr>
      </w:pPr>
    </w:p>
    <w:p w14:paraId="7F504733">
      <w:pPr>
        <w:spacing w:before="101" w:line="883" w:lineRule="exact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position w:val="44"/>
          <w:sz w:val="31"/>
          <w:szCs w:val="31"/>
        </w:rPr>
        <w:t>十二</w:t>
      </w:r>
      <w:r>
        <w:rPr>
          <w:rFonts w:ascii="仿宋" w:hAnsi="仿宋" w:eastAsia="仿宋" w:cs="仿宋"/>
          <w:spacing w:val="10"/>
          <w:position w:val="44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position w:val="44"/>
          <w:sz w:val="31"/>
          <w:szCs w:val="31"/>
        </w:rPr>
        <w:t>政府性基金预算财政拨款“三公”经费支出决算表</w:t>
      </w:r>
    </w:p>
    <w:p w14:paraId="045A7436">
      <w:pPr>
        <w:spacing w:line="227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十三、 国有资本经营预算财</w:t>
      </w:r>
      <w:r>
        <w:rPr>
          <w:rFonts w:ascii="仿宋" w:hAnsi="仿宋" w:eastAsia="仿宋" w:cs="仿宋"/>
          <w:sz w:val="31"/>
          <w:szCs w:val="31"/>
        </w:rPr>
        <w:t>政拨款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收入</w:t>
      </w:r>
      <w:r>
        <w:rPr>
          <w:rFonts w:ascii="仿宋" w:hAnsi="仿宋" w:eastAsia="仿宋" w:cs="仿宋"/>
          <w:sz w:val="31"/>
          <w:szCs w:val="31"/>
        </w:rPr>
        <w:t>支出决算表</w:t>
      </w:r>
    </w:p>
    <w:p w14:paraId="4AA7EBCC">
      <w:pPr>
        <w:spacing w:line="227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十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四</w:t>
      </w:r>
      <w:r>
        <w:rPr>
          <w:rFonts w:ascii="仿宋" w:hAnsi="仿宋" w:eastAsia="仿宋" w:cs="仿宋"/>
          <w:spacing w:val="1"/>
          <w:sz w:val="31"/>
          <w:szCs w:val="31"/>
        </w:rPr>
        <w:t>、 国有资本经营预算财</w:t>
      </w:r>
      <w:r>
        <w:rPr>
          <w:rFonts w:ascii="仿宋" w:hAnsi="仿宋" w:eastAsia="仿宋" w:cs="仿宋"/>
          <w:sz w:val="31"/>
          <w:szCs w:val="31"/>
        </w:rPr>
        <w:t>政拨款支出决算表</w:t>
      </w:r>
    </w:p>
    <w:p w14:paraId="304F1CC7">
      <w:pPr>
        <w:pStyle w:val="2"/>
      </w:pPr>
    </w:p>
    <w:p w14:paraId="2820B07C">
      <w:pPr>
        <w:spacing w:before="114" w:line="225" w:lineRule="auto"/>
        <w:ind w:left="3019"/>
        <w:rPr>
          <w:rFonts w:ascii="宋体" w:hAnsi="宋体" w:eastAsia="宋体" w:cs="宋体"/>
          <w:spacing w:val="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058638F2">
      <w:pPr>
        <w:spacing w:before="114" w:line="225" w:lineRule="auto"/>
        <w:ind w:left="3019"/>
        <w:rPr>
          <w:rFonts w:ascii="宋体" w:hAnsi="宋体" w:eastAsia="宋体" w:cs="宋体"/>
          <w:spacing w:val="1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1BB4FF5">
      <w:pPr>
        <w:pStyle w:val="2"/>
      </w:pPr>
    </w:p>
    <w:sectPr>
      <w:footerReference r:id="rId26" w:type="default"/>
      <w:pgSz w:w="11906" w:h="16839"/>
      <w:pgMar w:top="1431" w:right="1785" w:bottom="1378" w:left="1785" w:header="0" w:footer="12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9FD71">
    <w:pPr>
      <w:spacing w:line="188" w:lineRule="auto"/>
      <w:ind w:left="4129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3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C503E">
    <w:pPr>
      <w:spacing w:line="188" w:lineRule="auto"/>
      <w:ind w:left="409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4"/>
        <w:sz w:val="17"/>
        <w:szCs w:val="17"/>
      </w:rPr>
      <w:t>1</w:t>
    </w:r>
    <w:r>
      <w:rPr>
        <w:rFonts w:ascii="Calibri" w:hAnsi="Calibri" w:eastAsia="Calibri" w:cs="Calibri"/>
        <w:spacing w:val="-2"/>
        <w:sz w:val="17"/>
        <w:szCs w:val="17"/>
      </w:rPr>
      <w:t>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FB66">
    <w:pPr>
      <w:spacing w:line="188" w:lineRule="auto"/>
      <w:ind w:left="409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4"/>
        <w:sz w:val="17"/>
        <w:szCs w:val="17"/>
      </w:rPr>
      <w:t>1</w:t>
    </w:r>
    <w:r>
      <w:rPr>
        <w:rFonts w:ascii="Calibri" w:hAnsi="Calibri" w:eastAsia="Calibri" w:cs="Calibri"/>
        <w:spacing w:val="-2"/>
        <w:sz w:val="17"/>
        <w:szCs w:val="17"/>
      </w:rPr>
      <w:t>3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03520">
    <w:pPr>
      <w:spacing w:line="186" w:lineRule="auto"/>
      <w:ind w:left="409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4"/>
        <w:sz w:val="17"/>
        <w:szCs w:val="17"/>
      </w:rPr>
      <w:t>1</w:t>
    </w:r>
    <w:r>
      <w:rPr>
        <w:rFonts w:ascii="Calibri" w:hAnsi="Calibri" w:eastAsia="Calibri" w:cs="Calibri"/>
        <w:spacing w:val="-2"/>
        <w:sz w:val="17"/>
        <w:szCs w:val="17"/>
      </w:rPr>
      <w:t>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69906">
    <w:pPr>
      <w:spacing w:line="14" w:lineRule="auto"/>
      <w:rPr>
        <w:rFonts w:ascii="Arial"/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78391">
    <w:pPr>
      <w:spacing w:line="188" w:lineRule="auto"/>
      <w:ind w:left="409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4"/>
        <w:sz w:val="17"/>
        <w:szCs w:val="17"/>
      </w:rPr>
      <w:t>1</w:t>
    </w:r>
    <w:r>
      <w:rPr>
        <w:rFonts w:ascii="Calibri" w:hAnsi="Calibri" w:eastAsia="Calibri" w:cs="Calibri"/>
        <w:spacing w:val="-2"/>
        <w:sz w:val="17"/>
        <w:szCs w:val="17"/>
      </w:rPr>
      <w:t>8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8714">
    <w:pPr>
      <w:spacing w:line="188" w:lineRule="auto"/>
      <w:ind w:left="409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4"/>
        <w:sz w:val="17"/>
        <w:szCs w:val="17"/>
      </w:rPr>
      <w:t>1</w:t>
    </w:r>
    <w:r>
      <w:rPr>
        <w:rFonts w:ascii="Calibri" w:hAnsi="Calibri" w:eastAsia="Calibri" w:cs="Calibri"/>
        <w:spacing w:val="-2"/>
        <w:sz w:val="17"/>
        <w:szCs w:val="17"/>
      </w:rPr>
      <w:t>9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04A3E">
    <w:pPr>
      <w:spacing w:line="188" w:lineRule="auto"/>
      <w:ind w:left="408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1"/>
        <w:sz w:val="17"/>
        <w:szCs w:val="17"/>
      </w:rPr>
      <w:t>2</w:t>
    </w:r>
    <w:r>
      <w:rPr>
        <w:rFonts w:ascii="Calibri" w:hAnsi="Calibri" w:eastAsia="Calibri" w:cs="Calibri"/>
        <w:sz w:val="17"/>
        <w:szCs w:val="17"/>
      </w:rPr>
      <w:t>0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D5FB5">
    <w:pPr>
      <w:spacing w:line="188" w:lineRule="auto"/>
      <w:ind w:left="408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1"/>
        <w:sz w:val="17"/>
        <w:szCs w:val="17"/>
      </w:rPr>
      <w:t>2</w:t>
    </w:r>
    <w:r>
      <w:rPr>
        <w:rFonts w:ascii="Calibri" w:hAnsi="Calibri" w:eastAsia="Calibri" w:cs="Calibri"/>
        <w:sz w:val="17"/>
        <w:szCs w:val="17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1B405">
    <w:pPr>
      <w:spacing w:line="188" w:lineRule="auto"/>
      <w:ind w:left="408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1"/>
        <w:sz w:val="17"/>
        <w:szCs w:val="17"/>
      </w:rPr>
      <w:t>2</w:t>
    </w:r>
    <w:r>
      <w:rPr>
        <w:rFonts w:ascii="Calibri" w:hAnsi="Calibri" w:eastAsia="Calibri" w:cs="Calibri"/>
        <w:sz w:val="17"/>
        <w:szCs w:val="17"/>
      </w:rPr>
      <w:t>2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254B8">
    <w:pPr>
      <w:spacing w:line="188" w:lineRule="auto"/>
      <w:ind w:left="408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1"/>
        <w:sz w:val="17"/>
        <w:szCs w:val="17"/>
      </w:rPr>
      <w:t>2</w:t>
    </w:r>
    <w:r>
      <w:rPr>
        <w:rFonts w:ascii="Calibri" w:hAnsi="Calibri" w:eastAsia="Calibri" w:cs="Calibri"/>
        <w:sz w:val="17"/>
        <w:szCs w:val="17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89FEA">
    <w:pPr>
      <w:spacing w:line="186" w:lineRule="auto"/>
      <w:ind w:left="412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4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9D9AD">
    <w:pPr>
      <w:spacing w:line="188" w:lineRule="auto"/>
      <w:ind w:left="408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1"/>
        <w:sz w:val="17"/>
        <w:szCs w:val="17"/>
      </w:rPr>
      <w:t>2</w:t>
    </w:r>
    <w:r>
      <w:rPr>
        <w:rFonts w:ascii="Calibri" w:hAnsi="Calibri" w:eastAsia="Calibri" w:cs="Calibri"/>
        <w:sz w:val="17"/>
        <w:szCs w:val="17"/>
      </w:rPr>
      <w:t>4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CC7BF">
    <w:pPr>
      <w:spacing w:line="188" w:lineRule="auto"/>
      <w:ind w:left="408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1"/>
        <w:sz w:val="17"/>
        <w:szCs w:val="17"/>
      </w:rPr>
      <w:t>2</w:t>
    </w:r>
    <w:r>
      <w:rPr>
        <w:rFonts w:ascii="Calibri" w:hAnsi="Calibri" w:eastAsia="Calibri" w:cs="Calibri"/>
        <w:sz w:val="17"/>
        <w:szCs w:val="17"/>
      </w:rPr>
      <w:t>5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470A4">
    <w:pPr>
      <w:spacing w:line="188" w:lineRule="auto"/>
      <w:ind w:left="408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1"/>
        <w:sz w:val="17"/>
        <w:szCs w:val="17"/>
      </w:rPr>
      <w:t>2</w:t>
    </w:r>
    <w:r>
      <w:rPr>
        <w:rFonts w:ascii="Calibri" w:hAnsi="Calibri" w:eastAsia="Calibri" w:cs="Calibri"/>
        <w:sz w:val="17"/>
        <w:szCs w:val="17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30E48">
    <w:pPr>
      <w:spacing w:line="186" w:lineRule="auto"/>
      <w:ind w:left="4129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DCEE0">
    <w:pPr>
      <w:spacing w:line="188" w:lineRule="auto"/>
      <w:ind w:left="4129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E4C46">
    <w:pPr>
      <w:spacing w:line="186" w:lineRule="auto"/>
      <w:ind w:left="4129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B40D0">
    <w:pPr>
      <w:spacing w:line="188" w:lineRule="auto"/>
      <w:ind w:left="4127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AA5CF">
    <w:pPr>
      <w:spacing w:line="188" w:lineRule="auto"/>
      <w:ind w:left="4127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C37B4">
    <w:pPr>
      <w:spacing w:line="188" w:lineRule="auto"/>
      <w:ind w:left="409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4"/>
        <w:sz w:val="17"/>
        <w:szCs w:val="17"/>
      </w:rPr>
      <w:t>1</w:t>
    </w:r>
    <w:r>
      <w:rPr>
        <w:rFonts w:ascii="Calibri" w:hAnsi="Calibri" w:eastAsia="Calibri" w:cs="Calibri"/>
        <w:spacing w:val="-2"/>
        <w:sz w:val="17"/>
        <w:szCs w:val="17"/>
      </w:rPr>
      <w:t>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898EE">
    <w:pPr>
      <w:spacing w:line="187" w:lineRule="auto"/>
      <w:ind w:left="409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4"/>
        <w:sz w:val="17"/>
        <w:szCs w:val="17"/>
      </w:rPr>
      <w:t>1</w:t>
    </w:r>
    <w:r>
      <w:rPr>
        <w:rFonts w:ascii="Calibri" w:hAnsi="Calibri" w:eastAsia="Calibri" w:cs="Calibri"/>
        <w:spacing w:val="-2"/>
        <w:sz w:val="17"/>
        <w:szCs w:val="17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F46FB6"/>
    <w:multiLevelType w:val="singleLevel"/>
    <w:tmpl w:val="C9F46F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I1MGNiZGM2OTc0MjdlNDdmMmY0MTQ0Y2UzNWViYzkifQ=="/>
  </w:docVars>
  <w:rsids>
    <w:rsidRoot w:val="00000000"/>
    <w:rsid w:val="03E35BD2"/>
    <w:rsid w:val="0ABF026C"/>
    <w:rsid w:val="0F421593"/>
    <w:rsid w:val="0FC63F72"/>
    <w:rsid w:val="0FD83CA6"/>
    <w:rsid w:val="13492C1F"/>
    <w:rsid w:val="144813FA"/>
    <w:rsid w:val="171D5E81"/>
    <w:rsid w:val="1E592455"/>
    <w:rsid w:val="31DB62E5"/>
    <w:rsid w:val="34DD4F72"/>
    <w:rsid w:val="391A33CE"/>
    <w:rsid w:val="3FE46A95"/>
    <w:rsid w:val="49B877C6"/>
    <w:rsid w:val="52C06024"/>
    <w:rsid w:val="5BC30933"/>
    <w:rsid w:val="5EDA29D0"/>
    <w:rsid w:val="653D3504"/>
    <w:rsid w:val="66F44096"/>
    <w:rsid w:val="74DA2B1D"/>
    <w:rsid w:val="7C4F706E"/>
    <w:rsid w:val="7E5622C1"/>
    <w:rsid w:val="7E747B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beforeLines="30"/>
    </w:pPr>
    <w:rPr>
      <w:rFonts w:ascii="仿宋_GB2312" w:eastAsia="仿宋_GB2312"/>
      <w:kern w:val="0"/>
      <w:sz w:val="24"/>
      <w:szCs w:val="20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character" w:styleId="9">
    <w:name w:val="Strong"/>
    <w:basedOn w:val="8"/>
    <w:qFormat/>
    <w:uiPriority w:val="99"/>
    <w:rPr>
      <w:rFonts w:cs="Times New Roman"/>
      <w:b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WPSOffice手动目录 1"/>
    <w:qFormat/>
    <w:uiPriority w:val="0"/>
    <w:pPr>
      <w:ind w:leftChars="0"/>
    </w:pPr>
    <w:rPr>
      <w:rFonts w:ascii="Arial" w:hAnsi="Arial" w:eastAsia="Arial" w:cs="Arial"/>
      <w:sz w:val="20"/>
      <w:szCs w:val="20"/>
    </w:rPr>
  </w:style>
  <w:style w:type="paragraph" w:customStyle="1" w:styleId="12">
    <w:name w:val="WPSOffice手动目录 2"/>
    <w:qFormat/>
    <w:uiPriority w:val="0"/>
    <w:pPr>
      <w:ind w:leftChars="200"/>
    </w:pPr>
    <w:rPr>
      <w:rFonts w:ascii="Arial" w:hAnsi="Arial" w:eastAsia="Arial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theme" Target="theme/theme1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9146</Words>
  <Characters>9810</Characters>
  <TotalTime>0</TotalTime>
  <ScaleCrop>false</ScaleCrop>
  <LinksUpToDate>false</LinksUpToDate>
  <CharactersWithSpaces>10790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2022-07-13T11:21:00Z</dcterms:created>
  <dc:creator>Administrator</dc:creator>
  <cp:lastModifiedBy>昭化融媒体</cp:lastModifiedBy>
  <dcterms:modified xsi:type="dcterms:W3CDTF">2024-12-19T01:44:20Z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2022-07-13T11:23:59Z</vt:filetime>
  </property>
  <property fmtid="{D5CDD505-2E9C-101B-9397-08002B2CF9AE}" pid="4" name="KSOProductBuildVer">
    <vt:lpwstr>2052-12.1.0.19302</vt:lpwstr>
  </property>
  <property fmtid="{D5CDD505-2E9C-101B-9397-08002B2CF9AE}" pid="5" name="ICV">
    <vt:lpwstr>221BA5BFC9A3486FB4CFDFD08BF8DC42</vt:lpwstr>
  </property>
  <property fmtid="{D5CDD505-2E9C-101B-9397-08002B2CF9AE}" pid="6" name="KSOTemplateDocerSaveRecord">
    <vt:lpwstr>eyJoZGlkIjoiMGVhYTg4NGNkZWJkODFjNzcyZDRjM2M4Y2UzNjI5ZmUiLCJ1c2VySWQiOiI2MTE2MzEwMDYifQ==</vt:lpwstr>
  </property>
</Properties>
</file>