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CA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jc w:val="cente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 xml:space="preserve"> 广元市昭化区住房和城乡建设局</w:t>
      </w:r>
    </w:p>
    <w:p w14:paraId="2F0A6E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289A4926">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693AE34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2464A4A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16325E2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（二）单位2025年重点工作...........................(6)</w:t>
      </w:r>
    </w:p>
    <w:p w14:paraId="207E1BC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二、部门预算单位构成................................(10)</w:t>
      </w:r>
    </w:p>
    <w:p w14:paraId="7E7B538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三、收支预算情况说明................................(10)</w:t>
      </w:r>
    </w:p>
    <w:p w14:paraId="189DCF4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（一）收入预算情况..................................(11)</w:t>
      </w:r>
    </w:p>
    <w:p w14:paraId="3F0B0A9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（二）支出预算情况..................................(11)</w:t>
      </w:r>
    </w:p>
    <w:p w14:paraId="53461D0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四、财政拨款收支预算情况说明........................（11)</w:t>
      </w:r>
    </w:p>
    <w:p w14:paraId="65F38B9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五、一般公共预算当年拨款情况说明....................(11)</w:t>
      </w:r>
    </w:p>
    <w:p w14:paraId="20B3BE7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（一）一般公共预算当年拨款规模变化情况..............(11)</w:t>
      </w:r>
    </w:p>
    <w:p w14:paraId="6BC36FB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（二）一般公共预算当年拨款结构情况..................(11)</w:t>
      </w:r>
    </w:p>
    <w:p w14:paraId="21C704A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（三）一般公共预算当年拨款具体使用情况..............(12)</w:t>
      </w:r>
    </w:p>
    <w:p w14:paraId="0FEFF83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六、一般公共预算基本支出情况说明....................(13)</w:t>
      </w:r>
    </w:p>
    <w:p w14:paraId="327F155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七、“三公”经费财政拨款预算安排情况说明.............(13)</w:t>
      </w:r>
    </w:p>
    <w:p w14:paraId="5C02E7F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八、政府性基金预算支出情况说明......................(14)</w:t>
      </w:r>
    </w:p>
    <w:p w14:paraId="03C4DC0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九、国有资本经营预算支出情况说明....................(14)</w:t>
      </w:r>
    </w:p>
    <w:p w14:paraId="153313F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十、其他重要事项的情况说明..........................(14)</w:t>
      </w:r>
    </w:p>
    <w:p w14:paraId="59B45BA5">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十一、名词解释.....................................(15)</w:t>
      </w:r>
    </w:p>
    <w:p w14:paraId="613F5C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FE43F8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B6561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42F2D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E12BD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3B2F1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47784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54ADF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DBE02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AD801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0DEBF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B3E3D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B0BC8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41E0E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FE9D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A8490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F98D9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5B570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区住建局单位</w:t>
      </w:r>
      <w:r>
        <w:rPr>
          <w:rFonts w:hint="eastAsia" w:ascii="楷体_GB2312" w:hAnsi="楷体_GB2312" w:eastAsia="楷体_GB2312" w:cs="楷体_GB2312"/>
          <w:sz w:val="32"/>
          <w:szCs w:val="32"/>
        </w:rPr>
        <w:t>职能简介</w:t>
      </w:r>
    </w:p>
    <w:p w14:paraId="53376BE8">
      <w:pPr>
        <w:spacing w:line="576" w:lineRule="exact"/>
        <w:ind w:firstLine="640" w:firstLineChars="200"/>
        <w:rPr>
          <w:rFonts w:eastAsia="仿宋_GB2312"/>
          <w:sz w:val="32"/>
          <w:szCs w:val="32"/>
        </w:rPr>
      </w:pPr>
      <w:r>
        <w:rPr>
          <w:rFonts w:eastAsia="仿宋_GB2312"/>
          <w:sz w:val="32"/>
          <w:szCs w:val="32"/>
        </w:rPr>
        <w:t>负责拟订有关行政审批规程细则。负责本部门政务服务窗口管理工作。接受委托承办行政审批事项。负责本部门的行政审批和相关服务工作。组织开展全区住房和城乡建设行政审批制度改革工作。组织拟订城乡建设住房行业的重大经济技术政策和各项改革方案；组织政策调研，负责建设法规的清理、汇编工作；负责行业内的规范性文件起草、审查和报批工作；指导建设系统行政执法、行政执法监督检查、行政诉讼和法律服务工作；负责本部门的法制建设和下属事业单位的改革工作。负责本部门依法治区、</w:t>
      </w:r>
      <w:r>
        <w:rPr>
          <w:rFonts w:hint="eastAsia" w:eastAsia="仿宋_GB2312"/>
          <w:sz w:val="32"/>
          <w:szCs w:val="32"/>
          <w:lang w:val="en-US" w:eastAsia="zh-CN"/>
        </w:rPr>
        <w:t>法治</w:t>
      </w:r>
      <w:r>
        <w:rPr>
          <w:rFonts w:eastAsia="仿宋_GB2312"/>
          <w:sz w:val="32"/>
          <w:szCs w:val="32"/>
        </w:rPr>
        <w:t>政府的统筹协调工作。</w:t>
      </w:r>
    </w:p>
    <w:p w14:paraId="02B10EAA">
      <w:pPr>
        <w:spacing w:line="576" w:lineRule="exact"/>
        <w:ind w:firstLine="640" w:firstLineChars="200"/>
        <w:rPr>
          <w:rFonts w:eastAsia="仿宋_GB2312"/>
          <w:sz w:val="32"/>
          <w:szCs w:val="32"/>
        </w:rPr>
      </w:pPr>
      <w:r>
        <w:rPr>
          <w:rFonts w:eastAsia="仿宋_GB2312"/>
          <w:sz w:val="32"/>
          <w:szCs w:val="32"/>
        </w:rPr>
        <w:t>拟订建筑业的发展规划和产业政策。拟订规范建筑市场和施工现场的管理制度并监督执行。负责全区建筑行业管理。负责散装水泥的推广使用和监督检查。负责贯彻执行区级政府非经营性投资项目“代建制”。指导建筑市场执法监察工作。指导和组织协调建筑企业参与区外工程承包和劳务合作。负责建筑业从业人员执业资格的考核、申报和管理工作。组织指导行业职工培训、技能鉴定、专业技术人员的继续教育和行业执业资格人员管理。指导建筑业企业用工人员签订劳动合同，规范用工行为，依法支付劳动工资；负责组织实施房屋建筑、园林绿化和市政工程建设。负责调查、测算全区工程建设材料、设备预算价格和人工工资单价，发布工程造价信息。参与注册造价工程师执业资格管理工作。负责房屋建筑、园林绿化和市政工程建设项目招投标活动管理和行政执法监督。指导工程造价与招投标执法监察工作；拟订勘察设计咨询业和建设行业科技发展规划、产业及技术政策并监督实施。拟订全区房屋建筑、园林绿化和市政工程竣工验收备案的政策制度和规范性文件并指导实施和监督执行。组织实施国家建设规范、标准。负责勘察设计市场和行业管理。负责墙体材料革新和建筑节能管理工作。负责建设工程消防设计审查相关职责。指导城市勘察、市政工程测量工作。指导全区住房和城乡建设防震减灾、城镇减排、勘察设计执法监察工作。负责全区住房和城乡建设系统专业技术职称评定。负责建设项目施工图设计文件审查“一窗进出”具体工作；指导各勘察、设计单位、图审机构建立规范的图审机制和制度；指导项目建设单位抽取图审机构和签订服务合同；协调建设单位和图审机构工作关系；指导图审机构按合同和相关规范履行审图职责；督办图审机构限时办结图审业务；负责研究拟订全区房屋建筑、园林绿化和市政工程施工质量、安全生产、扬尘防治、建设工程监理、工程质量检测和鉴定行业的政策法规和规章制度并指导实施和监督执行。负责全区住房城乡建设行业安全生产综合监督管理和考核。指导农村住房建设质量安全监管。负责房屋建筑、园林绿化、市政工程安全生产应急管理工作，组织或参与建筑工程质量安全事故的调查处理；指导城乡建设档案工作。指导协调本行业、本部门、本系统安全生产工作。参与全区监理工程师执业资格管理。指导工程质量和安全生产执法监察工作。负责建设工程消防现场管理，负责建设工程消防、竣工验收相关职责。</w:t>
      </w:r>
    </w:p>
    <w:p w14:paraId="7476FCF0">
      <w:pPr>
        <w:spacing w:line="576" w:lineRule="exact"/>
        <w:ind w:firstLine="640" w:firstLineChars="200"/>
        <w:rPr>
          <w:rFonts w:eastAsia="仿宋_GB2312"/>
          <w:sz w:val="32"/>
          <w:szCs w:val="32"/>
        </w:rPr>
      </w:pPr>
      <w:r>
        <w:rPr>
          <w:rFonts w:eastAsia="仿宋_GB2312"/>
          <w:sz w:val="32"/>
          <w:szCs w:val="32"/>
        </w:rPr>
        <w:t>拟订全区城市建设和市政公用事业的发展战略、中长期规划、规范性文件。指导市政公用设施专项规划编制工作。拟订市政设施建设计划并指导实施。负责制定市政设施技术标准及技术资料的管理。负责城市道路、桥梁、燃气、城市防洪设施、城市供排水设施、城市照明设施的建设和运行维护管理工作。指导城市轨道交通等城市公共交通设施的规划和建设。指导市政公用设施数字化平台建设工作。指导城市基础设施建设、市政公用事业的发展。指导城市综合开发、城建执法监察；负责全区城乡园林绿化工作。拟订全区城市园林绿化、全区城市景观建设政策和规范性文件。指导和监督城市生态保护和修复、生物多样性保护、城市风貌管控和城市设计工作。指导城市绿化执法监察工作。组织指导公园城市建设和园林城市系列创建工作。指导城市雕塑工作。承担历史文化名城的审核报批、保护和监督管理的有关工作；拟订村镇建设的发展战略和政策并监督实施。指导和管理全区镇（乡）和村的建设工作。指导农村住房建设、危房改造工作。指导农村建筑工匠培训和管理。提出进城定居农民的住房政策建议。指导农村公用设施建设和小城镇环境改善工作。承担历史文化名镇（村）的审核报批、保护和监督管理有关工作。组织村镇建设试点工作。指导全区重点镇建设和历史乡土建筑和传统村落保护的监督管理。</w:t>
      </w:r>
    </w:p>
    <w:p w14:paraId="2FA24BE1">
      <w:pPr>
        <w:spacing w:line="576" w:lineRule="exact"/>
        <w:ind w:firstLine="640" w:firstLineChars="200"/>
        <w:rPr>
          <w:rFonts w:hint="eastAsia" w:ascii="楷体_GB2312" w:hAnsi="楷体_GB2312" w:eastAsia="楷体_GB2312" w:cs="楷体_GB2312"/>
          <w:sz w:val="32"/>
          <w:szCs w:val="32"/>
        </w:rPr>
      </w:pPr>
      <w:r>
        <w:rPr>
          <w:rFonts w:eastAsia="仿宋_GB2312"/>
          <w:sz w:val="32"/>
          <w:szCs w:val="32"/>
        </w:rPr>
        <w:t>研究拟订全区住房制度改革、保障性住房、棚户区改造相关政策。拟订住房建设与房地产业的中长期规划、科技发展战略、产业政策和规范性文件。组织拟订全区房地产市场监督管理、房地产市场平稳健康发展长效机制和全区城镇住宅建设、房地产开发、国有土地上房屋征收补偿、房地产交易、房地产中介、物业管理、房屋安全鉴定、白蚁防治等工作的规范性文件并监督实施；组织编制全区保障性安居工程建设规划、保障性住房发展规划、棚户区改造计划。指导、监督检查全区保障性安居工程建设（保障性住房建设、棚户区改造建设）。指导规范房地产市场和全区城镇土地使用权有偿转让和开发利用工作。会同相关部门做好保障性安居工程资金争取、安排和监管。负责区本级保障性住房管理和棚户区改造统筹协调工作。监督住房室内装饰装修工作。指导房地产管理执法监察工作。负责广元市昭化区城区棚户区改造领导小组的具体工作。负责房地产市场的监管。</w:t>
      </w:r>
    </w:p>
    <w:p w14:paraId="0A54904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区住建局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78EB8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Times New Roman" w:hAnsi="Times New Roman" w:eastAsia="黑体" w:cs="Times New Roman"/>
          <w:b w:val="0"/>
          <w:bCs w:val="0"/>
          <w:color w:val="000000" w:themeColor="text1"/>
          <w:sz w:val="32"/>
          <w:szCs w:val="32"/>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今年的</w:t>
      </w: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主要目标</w:t>
      </w:r>
      <w:r>
        <w:rPr>
          <w:rFonts w:hint="default" w:ascii="Times New Roman" w:hAnsi="Times New Roman" w:eastAsia="黑体" w:cs="Times New Roman"/>
          <w:b w:val="0"/>
          <w:bCs w:val="0"/>
          <w:color w:val="000000" w:themeColor="text1"/>
          <w:kern w:val="2"/>
          <w:sz w:val="32"/>
          <w:szCs w:val="32"/>
          <w:lang w:val="en-US" w:eastAsia="zh-CN"/>
          <w14:textFill>
            <w14:solidFill>
              <w14:schemeClr w14:val="tx1"/>
            </w14:solidFill>
          </w14:textFill>
        </w:rPr>
        <w:t>是</w:t>
      </w:r>
      <w:r>
        <w:rPr>
          <w:rFonts w:hint="default" w:ascii="Times New Roman" w:hAnsi="Times New Roman" w:eastAsia="黑体" w:cs="Times New Roman"/>
          <w:b w:val="0"/>
          <w:bCs w:val="0"/>
          <w:color w:val="000000" w:themeColor="text1"/>
          <w:kern w:val="2"/>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全面完成</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及上级部门下达的各项目标任务。全年计划完成固定资产投资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亿元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，完成</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建筑业产值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25亿元，</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实现建筑业产值同比增长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新增入库资质建筑企业</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家，商品房销售面积同比增长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%，房地产业工资总额同比增长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完成招商引资签约项目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个</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新开工项目</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个、</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签约项目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到位资金</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亿元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向上争取到位资金</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1.1</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亿元。</w:t>
      </w:r>
    </w:p>
    <w:p w14:paraId="3512B1C8">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yellow"/>
          <w:lang w:val="en-US" w:eastAsia="zh-CN"/>
        </w:rPr>
      </w:pPr>
    </w:p>
    <w:p w14:paraId="6D3D664C">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一</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）全力以赴抓项目促投资。</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强化谋划争取。持续</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紧盯各级各类政策投向，谋划储备一批2025年急需实施的重大项目，确保常态化储备项目投资180亿元以上，</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尽早办好申报要件，全力提升项目成熟度，提高项目命中率，全力以赴争资争项，</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争取全年到位财政性资金1.1亿元以上，奋斗冲刺2亿元目标。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lang w:val="zh-CN" w:eastAsia="zh-CN"/>
          <w14:textFill>
            <w14:solidFill>
              <w14:schemeClr w14:val="tx1"/>
            </w14:solidFill>
          </w14:textFill>
        </w:rPr>
        <w:t>加快项目前期。</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持续</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专人专班推进项目前期，加快项目论证、设计、招标等前期工作，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全力冲刺项目开工，加快推进欧家河内涝治理、城区老旧小区改造四期等8个项目前期，</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确保年底前全部开工建设，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保障项目完工一个，压茬开工一批，努力构建大项目有序接替、好项目梯次跟进的项目建设新局面。</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加强项目监管。</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持续推进全局干部职工联系服务项目机制，开工先排工期，节点跟进督办，到期必须竣工，稳步推进燃气管道更新改造、污水设施设备更新改造等13个项目年内全面竣工。</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做好项目转化。</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紧盯固投预期任务，下定目标必成决心，</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全力以赴拼开工抢入库，不遗余力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进度出数据，同步加强投资预测，</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想方设法应统尽统，让库内有项目、建设有进度、投资出数据，奋力驱动项目投资“马车”，全力完成经济预期目标，力争全年新项目开工入库投资3.5亿元，产出实物投资3亿元以上。</w:t>
      </w:r>
    </w:p>
    <w:p w14:paraId="65FFB56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二</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）全力以赴抓更新提能级。</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完成老城区城市更新。</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锚定“一年打基础、三年拼建设、五年见成效”的目标任务收官，</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全面完成老城区东入口整治、西入口拓展、南入口补短，北入口提升工程，同步完成主要街道建筑“第五立面”整治。</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完成老旧小区功能补短，</w:t>
      </w:r>
      <w:r>
        <w:rPr>
          <w:rFonts w:hint="default"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持续推进老旧小区改造，不断完善小区功能配套，全面完成56个老旧小区改造，增设既有建筑电梯5部，实现昭化老旧小区全面顺利收官。</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全面提升城市节点品质。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结合城市更新</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行动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，实施城市颜值和休闲能力提升工程，整体提升欧家河区域居住环境，</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启动人民医院区域建筑立面整治，开工建设乔家坡体育公园，建成</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电管站至元坝一小片区儿童友好公园，推动广电中心停车场区域山体公园建成投用。</w:t>
      </w:r>
    </w:p>
    <w:p w14:paraId="127A4607">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三</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）全力以赴抓宜居强保障。</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稳步推动房地产业发展。立足昭化实际，深入研判房地产形势，继续去风险稳预期，实现“云海山居”项目恢复生产、平稳发展、有序推进，促进项目尽快达到预售条件投放市场，切实增加全区房地产供给。加强车家沟、壮牛农牧等地块宣传推介。</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持续整治房地产市场乱象，严格预售资金和开发全过程监管，全力防范化解房地产领域风险。</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积极推进棚户区（城市危旧房）改造。持续推进焦化棚户区改造项目，力争在2025年底建成并投入使用。加快推进城东和城西两个片区城中村改造项目。积极谋划城市危旧房改造项目，争取在“十五五”期间全部纳入改造。</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扩大保障房公租房供给。加快红土垭342套（间）保租房建设项目进度，力争2025年内建成投入使用。加快推进2025年改建保障性租赁住房173套（间）建设任务，确保当年任务当年建成。</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四是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加强保障性租赁住房管理，实现建成的保租房全部纳入“蜀安居”平台管理。全年计划发放租赁补贴20户。</w:t>
      </w:r>
    </w:p>
    <w:p w14:paraId="427B3834">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u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四</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）全力以赴抓实事惠民生。</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加快老旧小区改造。全面完成2024年的32个老旧小区改造，加快推进2025年24个老旧小区改造工作，确保在2025年5月底前完成改造并投入使用。</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抓好“问题楼盘”化解。加快“问题楼盘”化解处置进度，持续运行“问题楼盘”化解处置工作督查会商机制，力争年内彻底化解“王府井”“山水盛景”“卡尔城”等问题楼盘，实现购房户全面办证。</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加快集镇污水设施补短。实质开工城镇污水设施设备更新项目，完成所有</w:t>
      </w:r>
      <w:r>
        <w:rPr>
          <w:rFonts w:hint="default" w:ascii="Times New Roman" w:hAnsi="Times New Roman" w:eastAsia="仿宋_GB2312" w:cs="Times New Roman"/>
          <w:b w:val="0"/>
          <w:bCs w:val="0"/>
          <w:color w:val="000000" w:themeColor="text1"/>
          <w:kern w:val="2"/>
          <w:sz w:val="32"/>
          <w:szCs w:val="32"/>
          <w:u w:val="none"/>
          <w:lang w:val="en-US" w:eastAsia="zh-CN"/>
          <w14:textFill>
            <w14:solidFill>
              <w14:schemeClr w14:val="tx1"/>
            </w14:solidFill>
          </w14:textFill>
        </w:rPr>
        <w:t>集镇</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污水处理管网设施整治提升</w:t>
      </w:r>
      <w:r>
        <w:rPr>
          <w:rFonts w:hint="default" w:ascii="Times New Roman" w:hAnsi="Times New Roman" w:eastAsia="仿宋_GB2312" w:cs="Times New Roman"/>
          <w:b w:val="0"/>
          <w:bCs w:val="0"/>
          <w:color w:val="000000" w:themeColor="text1"/>
          <w:kern w:val="2"/>
          <w:sz w:val="32"/>
          <w:szCs w:val="32"/>
          <w:u w:val="none"/>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u w:val="none"/>
          <w:lang w:val="en-US" w:eastAsia="zh-CN"/>
          <w14:textFill>
            <w14:solidFill>
              <w14:schemeClr w14:val="tx1"/>
            </w14:solidFill>
          </w14:textFill>
        </w:rPr>
        <w:t>逐镇完善污水收集处理体系，全面改善集镇人居环境。</w:t>
      </w:r>
    </w:p>
    <w:p w14:paraId="3529F069">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五</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）全力以赴抓建筑业稳发展。</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超常推动建筑业发展</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认真贯彻落实《二十条措施》，</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持续巩固建筑业支柱产业地位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持续</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做好建筑业产值</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会商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调度，紧盯各镇各部门项目承发包情况，全力提升</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本地项目落地率、</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本地企业在昭参与度，确保全年建筑业产值同比增长10%。</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加大企业培育力度，全年培育入库建筑业企业2户。大力支持骨干企业发展壮大，支持企业“走出去”发展，全年评选骨干建筑业企业5家。</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加快推进建筑业转型发展。充分发挥建筑建材产业专班作用，</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围绕“四新一盘活”</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发力</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加快完善建筑建材产业规划，积极开展建筑建材产业招商，全年全力招引1-2家建筑建材企业落地昭化。大力发展铝基装配式建筑，大力推进装配式建筑生产企业落实落地，年度新增装配式建筑20万平方米以上。</w:t>
      </w:r>
    </w:p>
    <w:p w14:paraId="36F8E3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w:t>
      </w:r>
      <w:r>
        <w:rPr>
          <w:rFonts w:hint="eastAsia"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六</w:t>
      </w:r>
      <w:r>
        <w:rPr>
          <w:rFonts w:hint="default" w:ascii="Times New Roman" w:hAnsi="Times New Roman" w:eastAsia="楷体" w:cs="Times New Roman"/>
          <w:b w:val="0"/>
          <w:bCs w:val="0"/>
          <w:color w:val="000000" w:themeColor="text1"/>
          <w:kern w:val="0"/>
          <w:sz w:val="32"/>
          <w:szCs w:val="32"/>
          <w:u w:val="none"/>
          <w:lang w:val="en-US" w:eastAsia="zh-CN" w:bidi="ar-SA"/>
          <w14:textFill>
            <w14:solidFill>
              <w14:schemeClr w14:val="tx1"/>
            </w14:solidFill>
          </w14:textFill>
        </w:rPr>
        <w:t>）全力以赴抓规划擘蓝图。</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2025年是为“十五五”规划奠定坚实基础的关键一年。</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深入调查研究需求。组织专业团队结合“十四五”规划实施情况，广泛开展调研活动，充分了解群众对住房和城乡建设发展方面的实际需求，倾听企业对建筑行业发展的期望和建议。同时对现有基础设施、住房保障体系、城乡建设现状等方面开展全面评估，找准住房和城乡问题短板，为“十五五”规划提供准确的现实依据。</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科学谋划发展方向。结合国家、省、市的发展战略和政策导向，以及我区的实际情况，科学谋划住建领域“十五五”规划的发展方向，推动城市加快提升品质能级，推动镇村加快现代化建设管理，推动建筑行业加快转型发展。</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lang w:val="en-US" w:eastAsia="zh-CN"/>
          <w14:textFill>
            <w14:solidFill>
              <w14:schemeClr w14:val="tx1"/>
            </w14:solidFill>
          </w14:textFill>
        </w:rPr>
        <w:t>征求意见凝聚共识。广泛征求社会各界意见，充分听取人大代表、政协委员、专家学者、企业代表、市民群众等各方面的建议，凝聚各方智慧共识，使规划更加科学合理、符合实际，为“十五五”住房城乡建设事业高质量发展提供坚实支撑。</w:t>
      </w:r>
    </w:p>
    <w:p w14:paraId="77AADD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8E196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区住建局下属二级预算单位0个，其中行政单位0个，参照公务员法管理的事业单位0个，其他事业单位0个。</w:t>
      </w:r>
    </w:p>
    <w:p w14:paraId="2C641E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4AA57A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区住建局单位所有收入和支出均纳入部门预算管理。收入包括：一般公共预算拨款收入；支出包括：社会保障和就业支出、卫生健康支出、城乡社区支出、住房保障支出。区住建局单位2025年收支预算总数1276.11万元,比2024年收支预算总数增加55.08万元，主要原因是城市路灯电费及维修等项目经费增加。</w:t>
      </w:r>
    </w:p>
    <w:p w14:paraId="66F601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19A046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区住建局2025年收入预算1276.11万元，其中：一般公共预算拨款收入1276.11万元，占100%。</w:t>
      </w:r>
    </w:p>
    <w:p w14:paraId="0A8B86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54BD29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区住建局2025年支出预算1276.11万元，其中：基本支出551.41万元，占43.21%；项目支出724.70万元，占56.79%</w:t>
      </w:r>
      <w:r>
        <w:rPr>
          <w:rFonts w:hint="eastAsia" w:ascii="仿宋_GB2312" w:hAnsi="仿宋_GB2312" w:eastAsia="仿宋_GB2312" w:cs="仿宋_GB2312"/>
          <w:b w:val="0"/>
          <w:bCs w:val="0"/>
          <w:sz w:val="32"/>
          <w:szCs w:val="32"/>
          <w:lang w:val="en-US" w:eastAsia="zh-CN"/>
        </w:rPr>
        <w:t>。</w:t>
      </w:r>
    </w:p>
    <w:p w14:paraId="555917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374710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区住建局2025年财政拨款收支预算总数1276.11万元,比2024年财政拨款收支预算总数增加55.08万元，主要原因是城市路灯电费及维修等项目经费增加。</w:t>
      </w:r>
    </w:p>
    <w:p w14:paraId="72F19C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收入包括：本年一般公共预算拨款收入1276.11万元；支出包括：社会保障和就业支出98.36万元、卫生健康支出20万元、城乡社区支出1116.42万元、住房保障支出41.33万元。</w:t>
      </w:r>
    </w:p>
    <w:p w14:paraId="612837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265357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4D30D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区住建局2025年一般公共预算当年拨款1276.11万元，比2024年预算数增加55.08万元，主要原因是城市路灯电费及维修等项目经费增加。</w:t>
      </w:r>
    </w:p>
    <w:p w14:paraId="7EBAB7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245648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社会保障和就业支出98.36万元，占7.71%；卫生健康支出20万元，占1.57%；城乡社区支出1116.42万元，占87.48%；住房保障支出41.33万元，占3.24%。</w:t>
      </w:r>
    </w:p>
    <w:p w14:paraId="2D48F6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577AC7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1.社会保障和就业（类）行政事业单位养老支出（款）行政单位离退休（项）2025年预算数为32万元，主要用于：机关及参公管理事业单位离退休人员经费支出。</w:t>
      </w:r>
    </w:p>
    <w:p w14:paraId="2EF816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2.社会保障和就业（类）行政事业单位养老支出（款）机关事业单位基本养老保险缴费支出（项）2025年预算数为55.11万元，主要用于：实施养老保险制度由单位缴纳的基本养老保险支出。</w:t>
      </w:r>
    </w:p>
    <w:p w14:paraId="081A3D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行政事业单位养老支出（款）机关事业单位职业年金缴费支出（项）2025年预算数为9.70万元，主要用于：反映机关事业单位实施养老保险制度由单位缴纳实际缴纳的职业年金支出（含职业年金补记支出）。</w:t>
      </w:r>
    </w:p>
    <w:p w14:paraId="7223A4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4.社会保障和就业（类）其他社会保障和就业支出（款）其他社会保障和就业支出（项）2025年预算数为1.55万元，主要用于：反映失业、工伤等其他用于社会保障和就业方面的支出。</w:t>
      </w:r>
    </w:p>
    <w:p w14:paraId="1B6202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5.卫生健康（类）行政事业单位医疗（款）行政单位医疗（项）2025年预算数为5.95万元，主要用于：机关及参公管理事业单位按规定由单位缴纳的基本医疗保险支出。</w:t>
      </w:r>
    </w:p>
    <w:p w14:paraId="0B45CC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6.卫生健康（类）行政事业单位医疗（款）事业单位医疗（项）2025年预算数为14.05万元，主要用于：事业单位按规定由单位缴纳的基本医疗保险支出。</w:t>
      </w:r>
    </w:p>
    <w:p w14:paraId="1DC05C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7.城乡社区（类）城乡社区管理事务（款）行政运行（项）2025年预算数为1116.41万元，主要用于：行政单位的各项支出。</w:t>
      </w:r>
    </w:p>
    <w:p w14:paraId="31FBD9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8.住房保障（类）住房改革支出（款）住房公积金（项）2025年预算数为41.33万元，主要用于：部门按规定为职工缴纳的住房公积金支出。</w:t>
      </w:r>
    </w:p>
    <w:p w14:paraId="0C292A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6EE79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区住建局2025年一般公共预算基本支出551.41万元，其中：</w:t>
      </w:r>
    </w:p>
    <w:p w14:paraId="0650D1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1.人员经费494.50万元，主要包括：基本工资、津贴补贴、奖金、社会保险缴费、住房公积金、离退休目标奖</w:t>
      </w:r>
      <w:bookmarkStart w:id="0" w:name="_GoBack"/>
      <w:bookmarkEnd w:id="0"/>
      <w:r>
        <w:rPr>
          <w:rFonts w:hint="eastAsia" w:ascii="仿宋_GB2312" w:hAnsi="仿宋_GB2312" w:eastAsia="仿宋_GB2312" w:cs="仿宋_GB2312"/>
          <w:sz w:val="32"/>
          <w:szCs w:val="32"/>
          <w:lang w:val="en-US" w:eastAsia="zh-CN"/>
        </w:rPr>
        <w:t>等支出。</w:t>
      </w:r>
    </w:p>
    <w:p w14:paraId="418101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2.公用经费56.91万元，主要包括：水费、电费、邮电费、差旅费、工会经费、其他商品和服务、其他交通费用等支出。</w:t>
      </w:r>
    </w:p>
    <w:p w14:paraId="7100E5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091B5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区住建局2025年“三公”经费财政拨款预算数1.5万元，其中：公务接待费1.5万元，公务用车购置及运行维护费0万元，因公出国（境）经费0万元。</w:t>
      </w:r>
    </w:p>
    <w:p w14:paraId="58E0F6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2115CE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公务接待费与2024年预算相比持平，2025年公务接待费计划用于执行接待考察调研、检查指导等公务活动开支的交通费、用餐费等。</w:t>
      </w:r>
    </w:p>
    <w:p w14:paraId="66300ED8">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75CE03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公务用车购置及运行维护费与2024年预算相比持平。单位现有公务用车0辆。2025年未安排公务用车购置费。2025年未安排公务用车运行维护费。</w:t>
      </w:r>
    </w:p>
    <w:p w14:paraId="1196BE7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21891B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173253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181B74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区住建局2025年无政府性基金预算拨款安排的支出。</w:t>
      </w:r>
    </w:p>
    <w:p w14:paraId="44E16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5B0BB8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区住建局2025年无国有资本经营预算拨款安排的支出。</w:t>
      </w:r>
    </w:p>
    <w:p w14:paraId="13D900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56D753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00537D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2025年，区住建局机关运行经费财政拨款预算为56.91万元，比2024年预算减少4.23万元，下降6.92%。主要原因是人员较去年年初减少2人，人员定额经费和其他交通费用相应减少。     </w:t>
      </w:r>
    </w:p>
    <w:p w14:paraId="4F01DC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5174C2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2025年，区住建局无政府采购预算拨款安排的支出。</w:t>
      </w:r>
    </w:p>
    <w:p w14:paraId="10501C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667579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截至2024年底，区住建局共有车辆0辆，单位无价值200万元以上的大型设备。</w:t>
      </w:r>
    </w:p>
    <w:p w14:paraId="3DA5D9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187732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352AFF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2025年区住建局开展绩效目标管理的项目13个，涉及预算781.61万元。其中：人员类项目1个，涉及预算 9.70万元；运转类项目8个，涉及预算386.91万元；特定目标类项目4个，涉及预算385万元。</w:t>
      </w:r>
    </w:p>
    <w:p w14:paraId="13EFE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7E4CE8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p>
    <w:p w14:paraId="5E89BF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（五）社会保障和就业（类）其他社会保障和就业支出（款）其他社会保障和就业支出（项）：</w:t>
      </w:r>
      <w:r>
        <w:rPr>
          <w:rFonts w:hint="eastAsia" w:ascii="仿宋_GB2312" w:hAnsi="仿宋_GB2312" w:eastAsia="仿宋_GB2312" w:cs="仿宋_GB2312"/>
          <w:sz w:val="32"/>
          <w:szCs w:val="32"/>
          <w:lang w:val="en-US" w:eastAsia="zh-CN"/>
        </w:rPr>
        <w:t>反映失业、工伤等其他用于社会保障和就业方面的支出。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5A2C54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（八）城乡社区（类）城乡社区管理事务（款）行政运行（项）：</w:t>
      </w:r>
      <w:r>
        <w:rPr>
          <w:rFonts w:hint="eastAsia" w:ascii="仿宋_GB2312" w:hAnsi="仿宋_GB2312" w:eastAsia="仿宋_GB2312" w:cs="仿宋_GB2312"/>
          <w:sz w:val="32"/>
          <w:szCs w:val="32"/>
          <w:lang w:val="en-US" w:eastAsia="zh-CN"/>
        </w:rPr>
        <w:t>行政单位的各项支出。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1797C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办公用房水电费、办公用房物业管理费以及其他费用。</w:t>
      </w:r>
    </w:p>
    <w:p w14:paraId="74D925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35437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7E9551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1A141A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081EA83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A2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FA3BD8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BukDoz9AQAA/wMAAA4AAAAAAAAAAQAgAAAAHwEAAGRycy9lMm9Eb2MueG1s&#10;UEsFBgAAAAAGAAYAWQEAAI4FAAAAAA==&#10;">
              <v:fill on="f" focussize="0,0"/>
              <v:stroke on="f"/>
              <v:imagedata o:title=""/>
              <o:lock v:ext="edit" aspectratio="f"/>
              <v:textbox inset="0mm,0mm,0mm,0mm" style="mso-fit-shape-to-text:t;">
                <w:txbxContent>
                  <w:p w14:paraId="7FA3BD8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CB44319"/>
    <w:rsid w:val="371A5129"/>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Body Text Indent"/>
    <w:basedOn w:val="1"/>
    <w:next w:val="5"/>
    <w:qFormat/>
    <w:uiPriority w:val="99"/>
    <w:pPr>
      <w:ind w:left="420" w:leftChars="200"/>
    </w:pPr>
  </w:style>
  <w:style w:type="paragraph" w:styleId="5">
    <w:name w:val="Body Text First Indent 2"/>
    <w:basedOn w:val="4"/>
    <w:next w:val="1"/>
    <w:qFormat/>
    <w:uiPriority w:val="99"/>
    <w:pPr>
      <w:ind w:firstLine="420" w:firstLine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autoRedefine/>
    <w:qFormat/>
    <w:uiPriority w:val="0"/>
  </w:style>
  <w:style w:type="paragraph" w:styleId="9">
    <w:name w:val="Normal (Web)"/>
    <w:basedOn w:val="1"/>
    <w:autoRedefine/>
    <w:qFormat/>
    <w:uiPriority w:val="0"/>
    <w:rPr>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autoRedefine/>
    <w:qFormat/>
    <w:uiPriority w:val="0"/>
  </w:style>
  <w:style w:type="paragraph" w:customStyle="1" w:styleId="14">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BEFE742B2FEE4D9C8F439F1C6483DC73_13</vt:lpwstr>
  </property>
  <property fmtid="{D5CDD505-2E9C-101B-9397-08002B2CF9AE}" pid="4" name="KSOTemplateDocerSaveRecord">
    <vt:lpwstr>eyJoZGlkIjoiZGNkM2EyOTAwN2RmOTIzN2U2NjBhMjc3NmU1YTM2OGQifQ==</vt:lpwstr>
  </property>
</Properties>
</file>

<file path=customXml/item3.xml><?xml version="1.0" encoding="utf-8"?>
<Properties xmlns="http://schemas.openxmlformats.org/officeDocument/2006/extended-properties" xmlns:vt="http://schemas.openxmlformats.org/officeDocument/2006/docPropsVTypes">
  <Pages>17</Pages>
  <Words>7718</Words>
  <Characters>8592</Characters>
  <TotalTime>17</TotalTime>
  <ScaleCrop>false</ScaleCrop>
  <LinksUpToDate>false</LinksUpToDate>
  <CharactersWithSpaces>8626</CharactersWithSpaces>
  <Application>WPS Office_12.1.0.19302_F1E327BC-269C-435d-A152-05C5408002CA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2025-02-12T01:45:00Z</cp:lastPrinted>
  <dcterms:modified xsi:type="dcterms:W3CDTF">2025-02-12T07:22:07Z</dcterms:modified>
  <cp:revision>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1d5c5-d87f-4eb7-80cf-a563fb510022}">
  <ds:schemaRefs/>
</ds:datastoreItem>
</file>

<file path=customXml/itemProps3.xml><?xml version="1.0" encoding="utf-8"?>
<ds:datastoreItem xmlns:ds="http://schemas.openxmlformats.org/officeDocument/2006/customXml" ds:itemID="{966b73f0-ba17-47ed-8f78-c2a429e6f1f8}">
  <ds:schemaRefs/>
</ds:datastoreItem>
</file>

<file path=customXml/itemProps4.xml><?xml version="1.0" encoding="utf-8"?>
<ds:datastoreItem xmlns:ds="http://schemas.openxmlformats.org/officeDocument/2006/customXml" ds:itemID="{1e60d6df-54af-4df4-96a9-013ae50909bf}">
  <ds:schemaRefs/>
</ds:datastoreItem>
</file>

<file path=docProps/app.xml><?xml version="1.0" encoding="utf-8"?>
<Properties xmlns="http://schemas.openxmlformats.org/officeDocument/2006/extended-properties" xmlns:vt="http://schemas.openxmlformats.org/officeDocument/2006/docPropsVTypes">
  <Pages>17</Pages>
  <Words>1541</Words>
  <Characters>2047</Characters>
  <TotalTime>22</TotalTime>
  <ScaleCrop>false</ScaleCrop>
  <LinksUpToDate>false</LinksUpToDate>
  <CharactersWithSpaces>2051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点子〰</cp:lastModifiedBy>
  <cp:lastPrinted>2025-02-12T01:45:00Z</cp:lastPrinted>
  <dcterms:modified xsi:type="dcterms:W3CDTF">2025-02-12T09:31:44Z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5C2D0573412A460C948D93705FEB3B65_13</vt:lpwstr>
  </property>
  <property fmtid="{D5CDD505-2E9C-101B-9397-08002B2CF9AE}" pid="4" name="KSOTemplateDocerSaveRecord">
    <vt:lpwstr>eyJoZGlkIjoiOWZhN2ZlODI4NzE0MmE4OWU1N2IzMGVlNTY0YjFhYTUiLCJ1c2VySWQiOiI0NDk0OTE5MzAifQ==</vt:lpwstr>
  </property>
</Properties>
</file>