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7193"/>
      <w:bookmarkStart w:id="1" w:name="_Toc15396597"/>
      <w:bookmarkStart w:id="2" w:name="_Toc15378441"/>
      <w:bookmarkStart w:id="3" w:name="_Toc15396475"/>
      <w:bookmarkStart w:id="4" w:name="_Toc1537742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7426"/>
      <w:bookmarkStart w:id="7" w:name="_Toc15396598"/>
      <w:bookmarkStart w:id="8" w:name="_Toc15378442"/>
      <w:bookmarkStart w:id="9" w:name="_Toc15377194"/>
      <w:bookmarkStart w:id="10" w:name="_Toc15396476"/>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color w:val="auto"/>
          <w:sz w:val="72"/>
          <w:szCs w:val="72"/>
          <w:highlight w:val="none"/>
          <w:lang w:eastAsia="zh-CN"/>
        </w:rPr>
        <w:t>广元市昭化区土地房屋征收中心</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28</w:t>
      </w:r>
      <w:r>
        <w:rPr>
          <w:rFonts w:hint="eastAsia"/>
          <w:color w:val="auto"/>
          <w:highlight w:val="none"/>
        </w:rPr>
        <w:t>日</w:t>
      </w:r>
    </w:p>
    <w:p>
      <w:pPr>
        <w:rPr>
          <w:color w:val="auto"/>
          <w:highlight w:val="none"/>
        </w:rPr>
      </w:pPr>
    </w:p>
    <w:p>
      <w:pPr>
        <w:pStyle w:val="12"/>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t>4</w:t>
      </w:r>
    </w:p>
    <w:p>
      <w:pPr>
        <w:pStyle w:val="13"/>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一、</w:t>
      </w:r>
      <w:r>
        <w:rPr>
          <w:rFonts w:hint="eastAsia"/>
          <w:color w:val="auto"/>
          <w:sz w:val="24"/>
          <w:highlight w:val="none"/>
          <w:lang w:eastAsia="zh-CN"/>
        </w:rPr>
        <w:t>部门职责</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t>4</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二、机构设置</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t>4</w:t>
      </w:r>
    </w:p>
    <w:p>
      <w:pPr>
        <w:pStyle w:val="12"/>
        <w:adjustRightInd w:val="0"/>
        <w:snapToGrid w:val="0"/>
        <w:spacing w:before="0" w:line="440" w:lineRule="exact"/>
        <w:jc w:val="left"/>
        <w:rPr>
          <w:rFonts w:hint="eastAsia" w:eastAsia="宋体"/>
          <w:color w:val="auto"/>
          <w:sz w:val="24"/>
          <w:szCs w:val="24"/>
          <w:highlight w:val="none"/>
          <w:lang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rPr>
        <w:t>部门决算情况说明</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lang w:val="en-US" w:eastAsia="zh-CN"/>
        </w:rPr>
        <w:t>6</w:t>
      </w:r>
    </w:p>
    <w:p>
      <w:pPr>
        <w:pStyle w:val="13"/>
        <w:adjustRightInd w:val="0"/>
        <w:snapToGrid w:val="0"/>
        <w:spacing w:line="440" w:lineRule="exact"/>
        <w:jc w:val="left"/>
        <w:rPr>
          <w:rFonts w:hint="eastAsia" w:ascii="仿宋" w:hAnsi="仿宋" w:eastAsia="宋体" w:cstheme="minorBidi"/>
          <w:color w:val="auto"/>
          <w:sz w:val="24"/>
          <w:highlight w:val="none"/>
          <w:lang w:eastAsia="zh-CN"/>
        </w:rPr>
      </w:pPr>
      <w:r>
        <w:rPr>
          <w:rFonts w:hint="eastAsia"/>
          <w:color w:val="auto"/>
          <w:sz w:val="24"/>
          <w:highlight w:val="none"/>
        </w:rPr>
        <w:t>一、收入支出决算总体情况说明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6</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二、收入决算情况说明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6</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三、支出决算情况说明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7</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四、财政拨款收入支出决算总体情况说明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7</w:t>
      </w:r>
    </w:p>
    <w:p>
      <w:pPr>
        <w:pStyle w:val="13"/>
        <w:adjustRightInd w:val="0"/>
        <w:snapToGrid w:val="0"/>
        <w:spacing w:line="440" w:lineRule="exact"/>
        <w:jc w:val="left"/>
        <w:rPr>
          <w:rFonts w:ascii="仿宋" w:hAnsi="仿宋" w:eastAsia="仿宋" w:cstheme="minorBidi"/>
          <w:color w:val="auto"/>
          <w:sz w:val="24"/>
          <w:highlight w:val="none"/>
        </w:rPr>
      </w:pPr>
      <w:r>
        <w:rPr>
          <w:rFonts w:hint="eastAsia"/>
          <w:color w:val="auto"/>
          <w:sz w:val="24"/>
          <w:highlight w:val="none"/>
        </w:rPr>
        <w:t>五、一般公共预算财政拨款支出决算情况说明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8</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10</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10</w:t>
      </w:r>
    </w:p>
    <w:p>
      <w:pPr>
        <w:pStyle w:val="13"/>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12</w:t>
      </w:r>
    </w:p>
    <w:p>
      <w:pPr>
        <w:pStyle w:val="13"/>
        <w:adjustRightInd w:val="0"/>
        <w:snapToGrid w:val="0"/>
        <w:spacing w:line="440" w:lineRule="exact"/>
        <w:ind w:leftChars="0"/>
        <w:jc w:val="left"/>
        <w:rPr>
          <w:rFonts w:hint="default"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12</w:t>
      </w:r>
    </w:p>
    <w:p>
      <w:pPr>
        <w:pStyle w:val="13"/>
        <w:adjustRightInd w:val="0"/>
        <w:snapToGrid w:val="0"/>
        <w:spacing w:line="440" w:lineRule="exact"/>
        <w:jc w:val="left"/>
        <w:rPr>
          <w:rFonts w:hint="default" w:eastAsia="宋体" w:asciiTheme="minorEastAsia" w:hAnsiTheme="minorEastAsia" w:cstheme="minorEastAsia"/>
          <w:color w:val="auto"/>
          <w:sz w:val="24"/>
          <w:highlight w:val="none"/>
          <w:lang w:val="en-US" w:eastAsia="zh-CN"/>
        </w:rPr>
      </w:pPr>
      <w:r>
        <w:rPr>
          <w:rStyle w:val="18"/>
          <w:rFonts w:hint="eastAsia" w:asciiTheme="minorEastAsia" w:hAnsiTheme="minorEastAsia" w:eastAsiaTheme="minorEastAsia" w:cstheme="minorEastAsia"/>
          <w:color w:val="auto"/>
          <w:sz w:val="24"/>
          <w:highlight w:val="none"/>
          <w:u w:val="none"/>
          <w:lang w:eastAsia="zh-CN"/>
        </w:rPr>
        <w:t>十</w:t>
      </w:r>
      <w:r>
        <w:rPr>
          <w:rStyle w:val="18"/>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12</w:t>
      </w:r>
    </w:p>
    <w:p>
      <w:pPr>
        <w:pStyle w:val="13"/>
        <w:adjustRightInd w:val="0"/>
        <w:snapToGrid w:val="0"/>
        <w:spacing w:line="440" w:lineRule="exact"/>
        <w:jc w:val="left"/>
        <w:rPr>
          <w:rFonts w:hint="default" w:eastAsia="宋体"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14</w:t>
      </w:r>
    </w:p>
    <w:p>
      <w:pPr>
        <w:pStyle w:val="13"/>
        <w:adjustRightInd w:val="0"/>
        <w:snapToGrid w:val="0"/>
        <w:spacing w:line="440" w:lineRule="exact"/>
        <w:jc w:val="left"/>
        <w:rPr>
          <w:rFonts w:hint="default" w:eastAsia="宋体"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16</w:t>
      </w:r>
    </w:p>
    <w:p>
      <w:pPr>
        <w:pStyle w:val="13"/>
        <w:adjustRightInd w:val="0"/>
        <w:snapToGrid w:val="0"/>
        <w:spacing w:line="440" w:lineRule="exact"/>
        <w:jc w:val="left"/>
        <w:rPr>
          <w:rFonts w:hint="default" w:eastAsia="宋体"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24</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24</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24</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24</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24</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24</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24</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24</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24</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24</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24</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24</w:t>
      </w:r>
    </w:p>
    <w:p>
      <w:pPr>
        <w:pStyle w:val="13"/>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24</w:t>
      </w:r>
    </w:p>
    <w:p>
      <w:pPr>
        <w:pStyle w:val="13"/>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十三、财政拨款“三公”经费支出决算表</w:t>
      </w:r>
      <w:r>
        <w:rPr>
          <w:rFonts w:hint="eastAsia" w:ascii="Times New Roman" w:hAnsi="Times New Roman" w:eastAsia="宋体" w:cs="Times New Roman"/>
          <w:color w:val="auto"/>
          <w:sz w:val="24"/>
          <w:highlight w:val="none"/>
        </w:rPr>
        <w:tab/>
      </w:r>
      <w:r>
        <w:rPr>
          <w:rFonts w:hint="eastAsia" w:cs="Times New Roman"/>
          <w:color w:val="auto"/>
          <w:sz w:val="24"/>
          <w:highlight w:val="none"/>
          <w:lang w:val="en-US" w:eastAsia="zh-CN"/>
        </w:rPr>
        <w:t>24</w:t>
      </w:r>
      <w:bookmarkStart w:id="67" w:name="_GoBack"/>
      <w:bookmarkEnd w:id="67"/>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r>
        <w:rPr>
          <w:rFonts w:ascii="仿宋" w:hAnsi="仿宋" w:eastAsia="仿宋"/>
          <w:b/>
          <w:color w:val="auto"/>
          <w:sz w:val="24"/>
          <w:highlight w:val="none"/>
        </w:rPr>
        <w:br w:type="page"/>
      </w:r>
    </w:p>
    <w:p>
      <w:pPr>
        <w:pStyle w:val="3"/>
        <w:jc w:val="center"/>
        <w:rPr>
          <w:rStyle w:val="28"/>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8"/>
          <w:rFonts w:hint="eastAsia" w:ascii="黑体" w:hAnsi="黑体" w:eastAsia="黑体"/>
          <w:b w:val="0"/>
          <w:bCs w:val="0"/>
          <w:color w:val="auto"/>
          <w:highlight w:val="none"/>
        </w:rPr>
        <w:t>部门概况</w:t>
      </w:r>
      <w:bookmarkEnd w:id="12"/>
      <w:bookmarkEnd w:id="13"/>
    </w:p>
    <w:p>
      <w:pPr>
        <w:widowControl/>
        <w:jc w:val="left"/>
        <w:rPr>
          <w:rFonts w:ascii="黑体" w:eastAsia="黑体"/>
          <w:color w:val="auto"/>
          <w:sz w:val="32"/>
          <w:szCs w:val="32"/>
          <w:highlight w:val="none"/>
        </w:rPr>
      </w:pPr>
    </w:p>
    <w:p>
      <w:pPr>
        <w:pStyle w:val="4"/>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ascii="仿宋" w:hAnsi="仿宋" w:eastAsia="仿宋"/>
          <w:bCs/>
          <w:color w:val="000000"/>
          <w:sz w:val="32"/>
          <w:szCs w:val="32"/>
        </w:rPr>
        <w:t>1</w:t>
      </w:r>
      <w:r>
        <w:rPr>
          <w:rFonts w:hint="eastAsia" w:ascii="仿宋" w:hAnsi="仿宋" w:eastAsia="仿宋"/>
          <w:bCs/>
          <w:color w:val="000000"/>
          <w:sz w:val="32"/>
          <w:szCs w:val="32"/>
          <w:lang w:val="en-US" w:eastAsia="zh-CN"/>
        </w:rPr>
        <w:t>.</w:t>
      </w:r>
      <w:r>
        <w:rPr>
          <w:rFonts w:hint="eastAsia" w:ascii="仿宋" w:hAnsi="仿宋" w:eastAsia="仿宋"/>
          <w:bCs/>
          <w:color w:val="000000"/>
          <w:sz w:val="32"/>
          <w:szCs w:val="32"/>
        </w:rPr>
        <w:t>负责</w:t>
      </w:r>
      <w:r>
        <w:rPr>
          <w:rFonts w:hint="eastAsia" w:ascii="仿宋" w:hAnsi="仿宋" w:eastAsia="仿宋"/>
          <w:bCs/>
          <w:color w:val="000000"/>
          <w:sz w:val="32"/>
          <w:szCs w:val="32"/>
          <w:lang w:eastAsia="zh-CN"/>
        </w:rPr>
        <w:t>宣传和贯彻执行土地房屋征收拆迁安置</w:t>
      </w:r>
      <w:r>
        <w:rPr>
          <w:rFonts w:hint="eastAsia" w:ascii="仿宋" w:hAnsi="仿宋" w:eastAsia="仿宋"/>
          <w:bCs/>
          <w:color w:val="000000"/>
          <w:sz w:val="32"/>
          <w:szCs w:val="32"/>
        </w:rPr>
        <w:t>法律、法规及政策</w:t>
      </w:r>
      <w:r>
        <w:rPr>
          <w:rFonts w:hint="eastAsia" w:ascii="仿宋" w:hAnsi="仿宋" w:eastAsia="仿宋"/>
          <w:bCs/>
          <w:color w:val="000000"/>
          <w:sz w:val="32"/>
          <w:szCs w:val="32"/>
          <w:lang w:eastAsia="zh-CN"/>
        </w:rPr>
        <w:t>。</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2.按照发展规划，承担本辖区市区规划范围内集体土地，国有土地及地上房屋和附着物的征收补偿、拆迁安置工作。</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3.负责土地房屋征收后的房屋拆除、安置等工作。</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负责对本辖区市区规划范围外乡镇房屋征收补偿安置方案的审查和指导；</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5.负责统筹协调土地、房屋征收拆迁安置资金。</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6.负责做好国家重点工程建设的征地拆迁、资金统筹和协调工作。</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7.负责对征收从业人员进行教育培训、做好征收工作信息化建设。</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负责征收工作中的协调、安全、信访和维稳工作</w:t>
      </w:r>
      <w:r>
        <w:rPr>
          <w:rFonts w:hint="eastAsia" w:ascii="仿宋" w:hAnsi="仿宋" w:eastAsia="仿宋"/>
          <w:bCs/>
          <w:color w:val="000000"/>
          <w:sz w:val="32"/>
          <w:szCs w:val="32"/>
          <w:lang w:val="en-US" w:eastAsia="zh-CN"/>
        </w:rPr>
        <w:t>。</w:t>
      </w:r>
    </w:p>
    <w:p>
      <w:pPr>
        <w:pStyle w:val="2"/>
        <w:adjustRightInd w:val="0"/>
        <w:snapToGrid w:val="0"/>
        <w:spacing w:before="93" w:line="600" w:lineRule="exact"/>
        <w:ind w:firstLine="672" w:firstLineChars="210"/>
        <w:outlineLvl w:val="2"/>
        <w:rPr>
          <w:rFonts w:hint="eastAsia"/>
          <w:lang w:eastAsia="zh-CN"/>
        </w:rPr>
      </w:pPr>
      <w:r>
        <w:rPr>
          <w:rFonts w:hint="eastAsia" w:ascii="仿宋" w:hAnsi="仿宋" w:eastAsia="仿宋"/>
          <w:bCs/>
          <w:color w:val="000000"/>
          <w:sz w:val="32"/>
          <w:szCs w:val="32"/>
          <w:lang w:val="en-US" w:eastAsia="zh-CN"/>
        </w:rPr>
        <w:t>9.承担区政府交办的其他事项。</w:t>
      </w:r>
    </w:p>
    <w:p>
      <w:pPr>
        <w:pStyle w:val="4"/>
        <w:rPr>
          <w:rStyle w:val="29"/>
          <w:b w:val="0"/>
          <w:bCs w:val="0"/>
          <w:color w:val="auto"/>
          <w:highlight w:val="none"/>
        </w:rPr>
      </w:pPr>
      <w:bookmarkStart w:id="14" w:name="_Toc15396601"/>
      <w:bookmarkStart w:id="15"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29"/>
          <w:rFonts w:hint="eastAsia" w:ascii="黑体" w:hAnsi="黑体" w:eastAsia="黑体"/>
          <w:b w:val="0"/>
          <w:bCs w:val="0"/>
          <w:color w:val="auto"/>
          <w:highlight w:val="none"/>
        </w:rPr>
        <w:t>构设置</w:t>
      </w:r>
      <w:bookmarkEnd w:id="14"/>
      <w:bookmarkEnd w:id="15"/>
    </w:p>
    <w:p>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广元市昭化区土地房屋征收中心</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pPr>
        <w:pStyle w:val="2"/>
        <w:adjustRightInd w:val="0"/>
        <w:snapToGrid w:val="0"/>
        <w:spacing w:before="93" w:line="600" w:lineRule="exact"/>
        <w:ind w:firstLine="1120" w:firstLineChars="3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无</w:t>
      </w: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广元市昭化区土地房屋征收中心</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8"/>
          <w:rFonts w:hint="eastAsia" w:ascii="黑体" w:hAnsi="黑体" w:eastAsia="黑体"/>
          <w:b w:val="0"/>
          <w:bCs/>
          <w:color w:val="auto"/>
          <w:highlight w:val="none"/>
        </w:rPr>
        <w:t>部门决算情况说明</w:t>
      </w:r>
      <w:bookmarkEnd w:id="16"/>
      <w:bookmarkEnd w:id="17"/>
    </w:p>
    <w:p>
      <w:pPr>
        <w:pStyle w:val="27"/>
        <w:numPr>
          <w:ilvl w:val="0"/>
          <w:numId w:val="2"/>
        </w:numPr>
        <w:spacing w:line="600" w:lineRule="exact"/>
        <w:ind w:firstLineChars="0"/>
        <w:outlineLvl w:val="1"/>
        <w:rPr>
          <w:rStyle w:val="29"/>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233.78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6.76</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2.81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工资福利支出收支减少。</w:t>
      </w:r>
    </w:p>
    <w:p>
      <w:pPr>
        <w:pStyle w:val="6"/>
        <w:jc w:val="both"/>
        <w:rPr>
          <w:rFonts w:ascii="仿宋_GB2312" w:eastAsia="仿宋_GB2312"/>
          <w:color w:val="auto"/>
          <w:sz w:val="32"/>
          <w:szCs w:val="32"/>
          <w:highlight w:val="none"/>
        </w:rPr>
      </w:pPr>
      <w:r>
        <w:drawing>
          <wp:inline distT="0" distB="0" distL="114300" distR="114300">
            <wp:extent cx="4826000" cy="2239645"/>
            <wp:effectExtent l="4445" t="4445" r="8255" b="22860"/>
            <wp:docPr id="10" name="图表 1" descr="7b0a202020202263686172745265734964223a2022343630313037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numPr>
          <w:ilvl w:val="0"/>
          <w:numId w:val="2"/>
        </w:numPr>
        <w:spacing w:line="600" w:lineRule="exact"/>
        <w:ind w:firstLineChars="0"/>
        <w:outlineLvl w:val="1"/>
        <w:rPr>
          <w:rStyle w:val="29"/>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174.19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174.19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6"/>
        <w:ind w:left="0" w:leftChars="0" w:firstLine="0" w:firstLineChars="0"/>
      </w:pPr>
      <w:r>
        <w:drawing>
          <wp:anchor distT="0" distB="0" distL="114300" distR="114300" simplePos="0" relativeHeight="251659264" behindDoc="1" locked="0" layoutInCell="1" allowOverlap="1">
            <wp:simplePos x="0" y="0"/>
            <wp:positionH relativeFrom="column">
              <wp:posOffset>252730</wp:posOffset>
            </wp:positionH>
            <wp:positionV relativeFrom="paragraph">
              <wp:posOffset>149225</wp:posOffset>
            </wp:positionV>
            <wp:extent cx="4845685" cy="2475865"/>
            <wp:effectExtent l="4445" t="4445" r="7620" b="53340"/>
            <wp:wrapTight wrapText="bothSides">
              <wp:wrapPolygon>
                <wp:start x="-20" y="-39"/>
                <wp:lineTo x="-20" y="21899"/>
                <wp:lineTo x="21549" y="21899"/>
                <wp:lineTo x="21549" y="-39"/>
                <wp:lineTo x="-20" y="-39"/>
              </wp:wrapPolygon>
            </wp:wrapTight>
            <wp:docPr id="5" name="图表 4" descr="7b0a202020202263686172745265734964223a202232303437363038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7"/>
        <w:numPr>
          <w:ilvl w:val="0"/>
          <w:numId w:val="2"/>
        </w:numPr>
        <w:spacing w:line="600" w:lineRule="exact"/>
        <w:ind w:firstLineChars="0"/>
        <w:outlineLvl w:val="1"/>
        <w:rPr>
          <w:rStyle w:val="29"/>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233.78</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174.19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74.51</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59.58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25.49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6"/>
        <w:ind w:left="0" w:leftChars="0" w:firstLine="0" w:firstLineChars="0"/>
        <w:rPr>
          <w:rFonts w:hint="eastAsia" w:ascii="仿宋" w:hAnsi="仿宋" w:eastAsia="仿宋"/>
          <w:color w:val="auto"/>
          <w:sz w:val="32"/>
          <w:szCs w:val="32"/>
          <w:highlight w:val="none"/>
        </w:rPr>
      </w:pPr>
      <w:r>
        <w:drawing>
          <wp:anchor distT="0" distB="0" distL="114300" distR="114300" simplePos="0" relativeHeight="251660288" behindDoc="1" locked="0" layoutInCell="1" allowOverlap="1">
            <wp:simplePos x="0" y="0"/>
            <wp:positionH relativeFrom="column">
              <wp:posOffset>298450</wp:posOffset>
            </wp:positionH>
            <wp:positionV relativeFrom="paragraph">
              <wp:posOffset>116840</wp:posOffset>
            </wp:positionV>
            <wp:extent cx="4788535" cy="2828290"/>
            <wp:effectExtent l="4445" t="4445" r="7620" b="62865"/>
            <wp:wrapTight wrapText="bothSides">
              <wp:wrapPolygon>
                <wp:start x="-20" y="-34"/>
                <wp:lineTo x="-20" y="21789"/>
                <wp:lineTo x="21548" y="21789"/>
                <wp:lineTo x="21548" y="-34"/>
                <wp:lineTo x="-20" y="-34"/>
              </wp:wrapPolygon>
            </wp:wrapTight>
            <wp:docPr id="2" name="图表 1" descr="7b0a202020202263686172745265734964223a202232303437363039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Style w:val="29"/>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233.78</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6.76</w:t>
      </w:r>
      <w:r>
        <w:rPr>
          <w:rFonts w:hint="eastAsia" w:ascii="仿宋" w:hAnsi="仿宋" w:eastAsia="仿宋"/>
          <w:color w:val="auto"/>
          <w:sz w:val="32"/>
          <w:szCs w:val="32"/>
          <w:highlight w:val="none"/>
        </w:rPr>
        <w:t>万元，增下降</w:t>
      </w:r>
      <w:r>
        <w:rPr>
          <w:rFonts w:hint="eastAsia" w:ascii="仿宋" w:hAnsi="仿宋" w:eastAsia="仿宋"/>
          <w:color w:val="auto"/>
          <w:sz w:val="32"/>
          <w:szCs w:val="32"/>
          <w:highlight w:val="none"/>
          <w:lang w:val="en-US" w:eastAsia="zh-CN"/>
        </w:rPr>
        <w:t>2.81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工资福利支出收支减少。</w:t>
      </w:r>
    </w:p>
    <w:p>
      <w:pPr>
        <w:pStyle w:val="6"/>
        <w:rPr>
          <w:rFonts w:ascii="仿宋" w:hAnsi="仿宋" w:eastAsia="仿宋"/>
          <w:color w:val="auto"/>
          <w:sz w:val="32"/>
          <w:szCs w:val="32"/>
          <w:highlight w:val="none"/>
        </w:rPr>
      </w:pPr>
      <w:r>
        <w:drawing>
          <wp:inline distT="0" distB="0" distL="114300" distR="114300">
            <wp:extent cx="4826000" cy="2971800"/>
            <wp:effectExtent l="4445" t="4445" r="8255" b="14605"/>
            <wp:docPr id="4" name="图表 4" descr="7b0a202020202263686172745265734964223a2022343630313037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9"/>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174.19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74.51</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6.76</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2.81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工资福利支出收支减少。</w:t>
      </w:r>
    </w:p>
    <w:p>
      <w:pPr>
        <w:pStyle w:val="6"/>
        <w:ind w:left="0" w:leftChars="0" w:firstLine="0" w:firstLineChars="0"/>
        <w:rPr>
          <w:rFonts w:ascii="仿宋" w:hAnsi="仿宋" w:eastAsia="仿宋"/>
          <w:color w:val="auto"/>
          <w:sz w:val="32"/>
          <w:szCs w:val="32"/>
          <w:highlight w:val="none"/>
        </w:rPr>
      </w:pPr>
      <w:r>
        <w:drawing>
          <wp:inline distT="0" distB="0" distL="114300" distR="114300">
            <wp:extent cx="5292090" cy="3307715"/>
            <wp:effectExtent l="4445" t="4445" r="18415" b="59690"/>
            <wp:docPr id="7" name="图表 1" descr="7b0a202020202263686172745265734964223a202232303239343335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174.19</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lang w:eastAsia="zh-CN"/>
        </w:rPr>
        <w:t>城乡社区</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140.95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80.92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15.33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5.85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3.36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12.06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6.92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6"/>
        <w:jc w:val="both"/>
      </w:pPr>
      <w:r>
        <w:drawing>
          <wp:inline distT="0" distB="0" distL="114300" distR="114300">
            <wp:extent cx="4826000" cy="3077845"/>
            <wp:effectExtent l="4445" t="4445" r="8255" b="60960"/>
            <wp:docPr id="9" name="图表 4" descr="7b0a202020202263686172745265734964223a202232303437353834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7213"/>
      <w:bookmarkStart w:id="32" w:name="_Toc15378460"/>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174.19</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31"/>
      <w:bookmarkEnd w:id="32"/>
      <w:bookmarkEnd w:id="33"/>
    </w:p>
    <w:p>
      <w:pPr>
        <w:numPr>
          <w:ilvl w:val="0"/>
          <w:numId w:val="0"/>
        </w:numPr>
        <w:spacing w:line="600" w:lineRule="exact"/>
        <w:ind w:firstLine="643" w:firstLineChars="200"/>
        <w:rPr>
          <w:rStyle w:val="17"/>
          <w:rFonts w:ascii="仿宋" w:hAnsi="仿宋" w:eastAsia="仿宋"/>
          <w:b w:val="0"/>
          <w:bCs/>
          <w:color w:val="000000"/>
          <w:sz w:val="32"/>
          <w:szCs w:val="32"/>
        </w:rPr>
      </w:pPr>
      <w:r>
        <w:rPr>
          <w:rFonts w:hint="eastAsia" w:ascii="仿宋" w:hAnsi="仿宋" w:eastAsia="仿宋"/>
          <w:b/>
          <w:bCs w:val="0"/>
          <w:color w:val="000000"/>
          <w:sz w:val="32"/>
          <w:szCs w:val="32"/>
          <w:lang w:val="en-US" w:eastAsia="zh-CN"/>
        </w:rPr>
        <w:t>1.</w:t>
      </w:r>
      <w:r>
        <w:rPr>
          <w:rFonts w:hint="eastAsia" w:ascii="仿宋" w:hAnsi="仿宋" w:eastAsia="仿宋"/>
          <w:b/>
          <w:bCs w:val="0"/>
          <w:color w:val="000000"/>
          <w:sz w:val="32"/>
          <w:szCs w:val="32"/>
        </w:rPr>
        <w:t>城乡社区</w:t>
      </w:r>
      <w:r>
        <w:rPr>
          <w:rFonts w:hint="eastAsia" w:ascii="仿宋" w:hAnsi="仿宋" w:eastAsia="仿宋"/>
          <w:b/>
          <w:bCs w:val="0"/>
          <w:color w:val="000000"/>
          <w:sz w:val="32"/>
          <w:szCs w:val="32"/>
          <w:lang w:eastAsia="zh-CN"/>
        </w:rPr>
        <w:t>支出</w:t>
      </w:r>
      <w:r>
        <w:rPr>
          <w:rFonts w:hint="eastAsia" w:ascii="仿宋" w:hAnsi="仿宋" w:eastAsia="仿宋"/>
          <w:b/>
          <w:bCs w:val="0"/>
          <w:color w:val="000000"/>
          <w:sz w:val="32"/>
          <w:szCs w:val="32"/>
        </w:rPr>
        <w:t>（类）</w:t>
      </w:r>
      <w:r>
        <w:rPr>
          <w:rStyle w:val="17"/>
          <w:rFonts w:hint="eastAsia" w:ascii="仿宋" w:hAnsi="仿宋" w:eastAsia="仿宋"/>
          <w:b/>
          <w:bCs w:val="0"/>
          <w:color w:val="000000"/>
          <w:sz w:val="32"/>
          <w:szCs w:val="32"/>
        </w:rPr>
        <w:t>城乡社区</w:t>
      </w:r>
      <w:r>
        <w:rPr>
          <w:rStyle w:val="17"/>
          <w:rFonts w:hint="eastAsia" w:ascii="仿宋" w:hAnsi="仿宋" w:eastAsia="仿宋"/>
          <w:b/>
          <w:bCs w:val="0"/>
          <w:color w:val="000000"/>
          <w:sz w:val="32"/>
          <w:szCs w:val="32"/>
          <w:lang w:eastAsia="zh-CN"/>
        </w:rPr>
        <w:t>管理</w:t>
      </w:r>
      <w:r>
        <w:rPr>
          <w:rStyle w:val="17"/>
          <w:rFonts w:hint="eastAsia" w:ascii="仿宋" w:hAnsi="仿宋" w:eastAsia="仿宋"/>
          <w:b/>
          <w:bCs w:val="0"/>
          <w:color w:val="000000"/>
          <w:sz w:val="32"/>
          <w:szCs w:val="32"/>
        </w:rPr>
        <w:t>事物（款）</w:t>
      </w:r>
      <w:r>
        <w:rPr>
          <w:rStyle w:val="17"/>
          <w:rFonts w:hint="eastAsia" w:ascii="仿宋" w:hAnsi="仿宋" w:eastAsia="仿宋"/>
          <w:b/>
          <w:bCs w:val="0"/>
          <w:color w:val="000000"/>
          <w:sz w:val="32"/>
          <w:szCs w:val="32"/>
          <w:lang w:eastAsia="zh-CN"/>
        </w:rPr>
        <w:t>其他城乡社区管理事务支出</w:t>
      </w:r>
      <w:r>
        <w:rPr>
          <w:rStyle w:val="17"/>
          <w:rFonts w:hint="eastAsia" w:ascii="仿宋" w:hAnsi="仿宋" w:eastAsia="仿宋"/>
          <w:b/>
          <w:bCs w:val="0"/>
          <w:color w:val="000000"/>
          <w:sz w:val="32"/>
          <w:szCs w:val="32"/>
        </w:rPr>
        <w:t>（项）</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支出决算为</w:t>
      </w:r>
      <w:r>
        <w:rPr>
          <w:rFonts w:hint="eastAsia" w:ascii="仿宋" w:hAnsi="仿宋" w:eastAsia="仿宋"/>
          <w:b w:val="0"/>
          <w:bCs w:val="0"/>
          <w:color w:val="000000"/>
          <w:sz w:val="32"/>
          <w:szCs w:val="32"/>
          <w:lang w:val="en-US" w:eastAsia="zh-CN"/>
        </w:rPr>
        <w:t>140.95</w:t>
      </w:r>
      <w:r>
        <w:rPr>
          <w:rStyle w:val="17"/>
          <w:rFonts w:hint="eastAsia" w:ascii="仿宋" w:hAnsi="仿宋" w:eastAsia="仿宋"/>
          <w:b w:val="0"/>
          <w:bCs/>
          <w:color w:val="000000"/>
          <w:sz w:val="32"/>
          <w:szCs w:val="32"/>
        </w:rPr>
        <w:t>万元，完成预算</w:t>
      </w:r>
      <w:r>
        <w:rPr>
          <w:rStyle w:val="17"/>
          <w:rFonts w:ascii="仿宋" w:hAnsi="仿宋" w:eastAsia="仿宋"/>
          <w:b w:val="0"/>
          <w:bCs/>
          <w:color w:val="000000"/>
          <w:sz w:val="32"/>
          <w:szCs w:val="32"/>
        </w:rPr>
        <w:t>100%</w:t>
      </w:r>
      <w:r>
        <w:rPr>
          <w:rStyle w:val="17"/>
          <w:rFonts w:hint="eastAsia" w:ascii="仿宋" w:hAnsi="仿宋" w:eastAsia="仿宋"/>
          <w:b w:val="0"/>
          <w:bCs/>
          <w:color w:val="000000"/>
          <w:sz w:val="32"/>
          <w:szCs w:val="32"/>
          <w:lang w:eastAsia="zh-CN"/>
        </w:rPr>
        <w:t>，</w:t>
      </w:r>
      <w:r>
        <w:rPr>
          <w:rStyle w:val="17"/>
          <w:rFonts w:hint="eastAsia" w:ascii="仿宋" w:hAnsi="仿宋" w:eastAsia="仿宋"/>
          <w:b w:val="0"/>
          <w:bCs/>
          <w:color w:val="000000"/>
          <w:sz w:val="32"/>
          <w:szCs w:val="32"/>
          <w:lang w:val="en-US" w:eastAsia="zh-CN"/>
        </w:rPr>
        <w:t>预算数等于决算数</w:t>
      </w:r>
      <w:r>
        <w:rPr>
          <w:rStyle w:val="17"/>
          <w:rFonts w:hint="eastAsia" w:ascii="仿宋" w:hAnsi="仿宋" w:eastAsia="仿宋"/>
          <w:b w:val="0"/>
          <w:bCs/>
          <w:color w:val="000000"/>
          <w:sz w:val="32"/>
          <w:szCs w:val="32"/>
        </w:rPr>
        <w:t>。</w:t>
      </w:r>
    </w:p>
    <w:p>
      <w:pPr>
        <w:spacing w:line="600" w:lineRule="exact"/>
        <w:ind w:firstLine="643" w:firstLineChars="200"/>
        <w:rPr>
          <w:rFonts w:ascii="仿宋" w:hAnsi="仿宋" w:eastAsia="仿宋"/>
          <w:bCs/>
          <w:color w:val="000000"/>
          <w:sz w:val="32"/>
          <w:szCs w:val="32"/>
        </w:rPr>
      </w:pPr>
      <w:r>
        <w:rPr>
          <w:rStyle w:val="17"/>
          <w:rFonts w:hint="eastAsia" w:ascii="仿宋" w:hAnsi="仿宋" w:eastAsia="仿宋"/>
          <w:b/>
          <w:bCs w:val="0"/>
          <w:color w:val="000000"/>
          <w:sz w:val="32"/>
          <w:szCs w:val="32"/>
          <w:lang w:val="en-US" w:eastAsia="zh-CN"/>
        </w:rPr>
        <w:t>2</w:t>
      </w:r>
      <w:r>
        <w:rPr>
          <w:rStyle w:val="17"/>
          <w:rFonts w:ascii="仿宋" w:hAnsi="仿宋" w:eastAsia="仿宋"/>
          <w:b/>
          <w:bCs w:val="0"/>
          <w:color w:val="000000"/>
          <w:sz w:val="32"/>
          <w:szCs w:val="32"/>
        </w:rPr>
        <w:t>.</w:t>
      </w:r>
      <w:r>
        <w:rPr>
          <w:rStyle w:val="17"/>
          <w:rFonts w:hint="eastAsia" w:ascii="仿宋" w:hAnsi="仿宋" w:eastAsia="仿宋"/>
          <w:b/>
          <w:bCs w:val="0"/>
          <w:color w:val="000000"/>
          <w:sz w:val="32"/>
          <w:szCs w:val="32"/>
        </w:rPr>
        <w:t>社会保障和就业</w:t>
      </w:r>
      <w:r>
        <w:rPr>
          <w:rStyle w:val="17"/>
          <w:rFonts w:hint="eastAsia" w:ascii="仿宋" w:hAnsi="仿宋" w:eastAsia="仿宋"/>
          <w:b/>
          <w:bCs w:val="0"/>
          <w:color w:val="000000"/>
          <w:sz w:val="32"/>
          <w:szCs w:val="32"/>
          <w:lang w:eastAsia="zh-CN"/>
        </w:rPr>
        <w:t>支出</w:t>
      </w:r>
      <w:r>
        <w:rPr>
          <w:rStyle w:val="17"/>
          <w:rFonts w:hint="eastAsia" w:ascii="仿宋" w:hAnsi="仿宋" w:eastAsia="仿宋"/>
          <w:b/>
          <w:bCs w:val="0"/>
          <w:color w:val="000000"/>
          <w:sz w:val="32"/>
          <w:szCs w:val="32"/>
        </w:rPr>
        <w:t>（类）行政事业单位</w:t>
      </w:r>
      <w:r>
        <w:rPr>
          <w:rStyle w:val="17"/>
          <w:rFonts w:hint="eastAsia" w:ascii="仿宋" w:hAnsi="仿宋" w:eastAsia="仿宋"/>
          <w:b/>
          <w:bCs w:val="0"/>
          <w:color w:val="000000"/>
          <w:sz w:val="32"/>
          <w:szCs w:val="32"/>
          <w:lang w:eastAsia="zh-CN"/>
        </w:rPr>
        <w:t>养老支出</w:t>
      </w:r>
      <w:r>
        <w:rPr>
          <w:rStyle w:val="17"/>
          <w:rFonts w:hint="eastAsia" w:ascii="仿宋" w:hAnsi="仿宋" w:eastAsia="仿宋"/>
          <w:b/>
          <w:bCs w:val="0"/>
          <w:color w:val="000000"/>
          <w:sz w:val="32"/>
          <w:szCs w:val="32"/>
        </w:rPr>
        <w:t>（款）机关事业单位基本养老保险缴费支出（项）</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15.33</w:t>
      </w:r>
      <w:r>
        <w:rPr>
          <w:rStyle w:val="17"/>
          <w:rFonts w:hint="eastAsia" w:ascii="仿宋" w:hAnsi="仿宋" w:eastAsia="仿宋"/>
          <w:b w:val="0"/>
          <w:bCs/>
          <w:color w:val="000000"/>
          <w:sz w:val="32"/>
          <w:szCs w:val="32"/>
        </w:rPr>
        <w:t>万元，完成预算</w:t>
      </w:r>
      <w:r>
        <w:rPr>
          <w:rStyle w:val="17"/>
          <w:rFonts w:ascii="仿宋" w:hAnsi="仿宋" w:eastAsia="仿宋"/>
          <w:b w:val="0"/>
          <w:bCs/>
          <w:color w:val="000000"/>
          <w:sz w:val="32"/>
          <w:szCs w:val="32"/>
        </w:rPr>
        <w:t>100%</w:t>
      </w:r>
      <w:r>
        <w:rPr>
          <w:rStyle w:val="17"/>
          <w:rFonts w:hint="eastAsia" w:ascii="仿宋" w:hAnsi="仿宋" w:eastAsia="仿宋"/>
          <w:b w:val="0"/>
          <w:bCs/>
          <w:color w:val="000000"/>
          <w:sz w:val="32"/>
          <w:szCs w:val="32"/>
          <w:lang w:eastAsia="zh-CN"/>
        </w:rPr>
        <w:t>，</w:t>
      </w:r>
      <w:r>
        <w:rPr>
          <w:rStyle w:val="17"/>
          <w:rFonts w:hint="eastAsia" w:ascii="仿宋" w:hAnsi="仿宋" w:eastAsia="仿宋"/>
          <w:b w:val="0"/>
          <w:bCs/>
          <w:color w:val="000000"/>
          <w:sz w:val="32"/>
          <w:szCs w:val="32"/>
          <w:lang w:val="en-US" w:eastAsia="zh-CN"/>
        </w:rPr>
        <w:t>预算数等于决算数</w:t>
      </w:r>
      <w:r>
        <w:rPr>
          <w:rStyle w:val="17"/>
          <w:rFonts w:hint="eastAsia" w:ascii="仿宋" w:hAnsi="仿宋" w:eastAsia="仿宋"/>
          <w:b w:val="0"/>
          <w:bCs/>
          <w:color w:val="000000"/>
          <w:sz w:val="32"/>
          <w:szCs w:val="32"/>
        </w:rPr>
        <w:t>。</w:t>
      </w:r>
    </w:p>
    <w:p>
      <w:pPr>
        <w:spacing w:line="600" w:lineRule="exact"/>
        <w:ind w:firstLine="643" w:firstLineChars="200"/>
        <w:rPr>
          <w:rFonts w:ascii="仿宋" w:hAnsi="仿宋" w:eastAsia="仿宋"/>
          <w:bCs/>
          <w:color w:val="000000"/>
          <w:sz w:val="32"/>
          <w:szCs w:val="32"/>
        </w:rPr>
      </w:pPr>
      <w:r>
        <w:rPr>
          <w:rStyle w:val="17"/>
          <w:rFonts w:hint="eastAsia" w:ascii="仿宋" w:hAnsi="仿宋" w:eastAsia="仿宋"/>
          <w:b/>
          <w:bCs w:val="0"/>
          <w:color w:val="000000"/>
          <w:sz w:val="32"/>
          <w:szCs w:val="32"/>
          <w:lang w:val="en-US" w:eastAsia="zh-CN"/>
        </w:rPr>
        <w:t>3.</w:t>
      </w:r>
      <w:r>
        <w:rPr>
          <w:rStyle w:val="17"/>
          <w:rFonts w:hint="eastAsia" w:ascii="仿宋" w:hAnsi="仿宋" w:eastAsia="仿宋"/>
          <w:b/>
          <w:bCs w:val="0"/>
          <w:color w:val="000000"/>
          <w:sz w:val="32"/>
          <w:szCs w:val="32"/>
          <w:lang w:eastAsia="zh-CN"/>
        </w:rPr>
        <w:t>卫生健康支出</w:t>
      </w:r>
      <w:r>
        <w:rPr>
          <w:rStyle w:val="17"/>
          <w:rFonts w:hint="eastAsia" w:ascii="仿宋" w:hAnsi="仿宋" w:eastAsia="仿宋"/>
          <w:b/>
          <w:bCs w:val="0"/>
          <w:color w:val="000000"/>
          <w:sz w:val="32"/>
          <w:szCs w:val="32"/>
        </w:rPr>
        <w:t>（类）行政事业单位医疗（款）事业单位医疗（项）</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5.85</w:t>
      </w:r>
      <w:r>
        <w:rPr>
          <w:rStyle w:val="17"/>
          <w:rFonts w:hint="eastAsia" w:ascii="仿宋" w:hAnsi="仿宋" w:eastAsia="仿宋"/>
          <w:b w:val="0"/>
          <w:bCs/>
          <w:color w:val="000000"/>
          <w:sz w:val="32"/>
          <w:szCs w:val="32"/>
        </w:rPr>
        <w:t>万元，完成预算</w:t>
      </w:r>
      <w:r>
        <w:rPr>
          <w:rStyle w:val="17"/>
          <w:rFonts w:ascii="仿宋" w:hAnsi="仿宋" w:eastAsia="仿宋"/>
          <w:b w:val="0"/>
          <w:bCs/>
          <w:color w:val="000000"/>
          <w:sz w:val="32"/>
          <w:szCs w:val="32"/>
        </w:rPr>
        <w:t>100%</w:t>
      </w:r>
      <w:r>
        <w:rPr>
          <w:rStyle w:val="17"/>
          <w:rFonts w:hint="eastAsia" w:ascii="仿宋" w:hAnsi="仿宋" w:eastAsia="仿宋"/>
          <w:b w:val="0"/>
          <w:bCs/>
          <w:color w:val="000000"/>
          <w:sz w:val="32"/>
          <w:szCs w:val="32"/>
          <w:lang w:eastAsia="zh-CN"/>
        </w:rPr>
        <w:t>，</w:t>
      </w:r>
      <w:r>
        <w:rPr>
          <w:rStyle w:val="17"/>
          <w:rFonts w:hint="eastAsia" w:ascii="仿宋" w:hAnsi="仿宋" w:eastAsia="仿宋"/>
          <w:b w:val="0"/>
          <w:bCs/>
          <w:color w:val="000000"/>
          <w:sz w:val="32"/>
          <w:szCs w:val="32"/>
          <w:lang w:val="en-US" w:eastAsia="zh-CN"/>
        </w:rPr>
        <w:t>预算数等于决算数</w:t>
      </w:r>
      <w:r>
        <w:rPr>
          <w:rStyle w:val="17"/>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7"/>
          <w:rFonts w:hint="eastAsia" w:ascii="仿宋" w:hAnsi="仿宋" w:eastAsia="仿宋"/>
          <w:b/>
          <w:bCs w:val="0"/>
          <w:color w:val="000000"/>
          <w:sz w:val="32"/>
          <w:szCs w:val="32"/>
          <w:lang w:val="en-US" w:eastAsia="zh-CN"/>
        </w:rPr>
        <w:t>4.</w:t>
      </w:r>
      <w:r>
        <w:rPr>
          <w:rStyle w:val="17"/>
          <w:rFonts w:hint="eastAsia" w:ascii="仿宋" w:hAnsi="仿宋" w:eastAsia="仿宋"/>
          <w:b/>
          <w:bCs w:val="0"/>
          <w:color w:val="000000"/>
          <w:sz w:val="32"/>
          <w:szCs w:val="32"/>
        </w:rPr>
        <w:t>住房保障支出（类）住房改革支出（款）住房公积金（项）</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支出决算为</w:t>
      </w:r>
      <w:r>
        <w:rPr>
          <w:rFonts w:hint="eastAsia" w:ascii="仿宋" w:hAnsi="仿宋" w:eastAsia="仿宋"/>
          <w:b w:val="0"/>
          <w:bCs w:val="0"/>
          <w:color w:val="000000"/>
          <w:sz w:val="32"/>
          <w:szCs w:val="32"/>
          <w:lang w:val="en-US" w:eastAsia="zh-CN"/>
        </w:rPr>
        <w:t>12.06</w:t>
      </w:r>
      <w:r>
        <w:rPr>
          <w:rStyle w:val="17"/>
          <w:rFonts w:hint="eastAsia" w:ascii="仿宋" w:hAnsi="仿宋" w:eastAsia="仿宋"/>
          <w:b w:val="0"/>
          <w:bCs/>
          <w:color w:val="000000"/>
          <w:sz w:val="32"/>
          <w:szCs w:val="32"/>
        </w:rPr>
        <w:t>万元，完成预算</w:t>
      </w:r>
      <w:r>
        <w:rPr>
          <w:rStyle w:val="17"/>
          <w:rFonts w:ascii="仿宋" w:hAnsi="仿宋" w:eastAsia="仿宋"/>
          <w:b w:val="0"/>
          <w:bCs/>
          <w:color w:val="000000"/>
          <w:sz w:val="32"/>
          <w:szCs w:val="32"/>
        </w:rPr>
        <w:t>100%</w:t>
      </w:r>
      <w:r>
        <w:rPr>
          <w:rStyle w:val="17"/>
          <w:rFonts w:hint="eastAsia" w:ascii="仿宋" w:hAnsi="仿宋" w:eastAsia="仿宋"/>
          <w:b w:val="0"/>
          <w:bCs/>
          <w:color w:val="000000"/>
          <w:sz w:val="32"/>
          <w:szCs w:val="32"/>
          <w:lang w:eastAsia="zh-CN"/>
        </w:rPr>
        <w:t>，</w:t>
      </w:r>
      <w:r>
        <w:rPr>
          <w:rStyle w:val="17"/>
          <w:rFonts w:hint="eastAsia" w:ascii="仿宋" w:hAnsi="仿宋" w:eastAsia="仿宋"/>
          <w:b w:val="0"/>
          <w:bCs/>
          <w:color w:val="000000"/>
          <w:sz w:val="32"/>
          <w:szCs w:val="32"/>
          <w:lang w:val="en-US" w:eastAsia="zh-CN"/>
        </w:rPr>
        <w:t>预算数等于决算数</w:t>
      </w:r>
      <w:r>
        <w:rPr>
          <w:rStyle w:val="17"/>
          <w:rFonts w:hint="eastAsia" w:ascii="仿宋" w:hAnsi="仿宋" w:eastAsia="仿宋"/>
          <w:b w:val="0"/>
          <w:bCs/>
          <w:color w:val="000000"/>
          <w:sz w:val="32"/>
          <w:szCs w:val="32"/>
        </w:rPr>
        <w:t>。</w:t>
      </w:r>
    </w:p>
    <w:p>
      <w:pPr>
        <w:tabs>
          <w:tab w:val="right" w:pos="8306"/>
        </w:tabs>
        <w:spacing w:line="600" w:lineRule="exact"/>
        <w:ind w:firstLine="640"/>
        <w:outlineLvl w:val="1"/>
        <w:rPr>
          <w:rStyle w:val="29"/>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34"/>
      <w:bookmarkEnd w:id="35"/>
      <w:r>
        <w:rPr>
          <w:rStyle w:val="29"/>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174.19</w:t>
      </w:r>
      <w:r>
        <w:rPr>
          <w:rFonts w:hint="eastAsia" w:ascii="仿宋" w:hAnsi="仿宋" w:eastAsia="仿宋"/>
          <w:color w:val="auto"/>
          <w:sz w:val="32"/>
          <w:szCs w:val="32"/>
          <w:highlight w:val="none"/>
        </w:rPr>
        <w:t>万元，其中：</w:t>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130.39</w:t>
      </w:r>
      <w:r>
        <w:rPr>
          <w:rFonts w:hint="eastAsia" w:ascii="仿宋" w:hAnsi="仿宋" w:eastAsia="仿宋"/>
          <w:color w:val="auto"/>
          <w:sz w:val="32"/>
          <w:szCs w:val="32"/>
          <w:highlight w:val="none"/>
        </w:rPr>
        <w:t>万元，主要包括：基本工资、津贴补贴、绩效工资、机关事业单位基本养老保险缴费、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、其他社会保障缴费、住房公积金</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43.8</w:t>
      </w:r>
      <w:r>
        <w:rPr>
          <w:rFonts w:hint="eastAsia" w:ascii="仿宋" w:hAnsi="仿宋" w:eastAsia="仿宋"/>
          <w:color w:val="auto"/>
          <w:sz w:val="32"/>
          <w:szCs w:val="32"/>
          <w:highlight w:val="none"/>
        </w:rPr>
        <w:t>万元，主要包括：办公费、印刷费、手续费、水费、电费、邮电费、物业管理费、差旅费、维修（护）费、租赁费、会议费、公务接待费、劳务费、工会经费、其他交通费、其他商品和服务支出等。</w:t>
      </w:r>
    </w:p>
    <w:p>
      <w:pPr>
        <w:spacing w:line="600" w:lineRule="exact"/>
        <w:ind w:firstLine="640"/>
        <w:outlineLvl w:val="1"/>
        <w:rPr>
          <w:rStyle w:val="29"/>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9"/>
          <w:rFonts w:hint="eastAsia" w:ascii="黑体" w:hAnsi="黑体" w:eastAsia="黑体"/>
          <w:b w:val="0"/>
          <w:color w:val="auto"/>
          <w:highlight w:val="none"/>
        </w:rPr>
        <w:t>财政拨款</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b/>
          <w:color w:val="000000"/>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0.13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18.57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减少1.82万元，下降93.33%。</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我中心</w:t>
      </w:r>
      <w:r>
        <w:rPr>
          <w:rFonts w:hint="eastAsia" w:ascii="仿宋" w:hAnsi="仿宋" w:eastAsia="仿宋"/>
          <w:color w:val="000000"/>
          <w:sz w:val="32"/>
          <w:szCs w:val="32"/>
        </w:rPr>
        <w:t>严格贯彻中央八项规定、省委十项规定和市区相关规定，尽力压缩三公经费支出。</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6"/>
        <w:rPr>
          <w:rFonts w:hint="eastAsia" w:ascii="仿宋" w:hAnsi="仿宋" w:eastAsia="仿宋"/>
          <w:color w:val="auto"/>
          <w:sz w:val="32"/>
          <w:szCs w:val="32"/>
          <w:highlight w:val="none"/>
        </w:rPr>
      </w:pPr>
      <w:r>
        <w:drawing>
          <wp:inline distT="0" distB="0" distL="114300" distR="114300">
            <wp:extent cx="5045710" cy="2962275"/>
            <wp:effectExtent l="4445" t="4445" r="17145" b="62230"/>
            <wp:docPr id="12" name="图表 1" descr="7b0a202020202263686172745265734964223a202232303437353834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1.因公出国（境）经费支出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Style w:val="17"/>
          <w:rFonts w:hint="eastAsia" w:ascii="仿宋" w:hAnsi="仿宋" w:eastAsia="仿宋" w:cs="仿宋"/>
          <w:b w:val="0"/>
          <w:bCs/>
          <w:color w:val="000000"/>
          <w:sz w:val="32"/>
          <w:szCs w:val="32"/>
          <w:lang w:eastAsia="zh-CN"/>
        </w:rPr>
        <w:t>年初未安排预算</w:t>
      </w:r>
      <w:r>
        <w:rPr>
          <w:rStyle w:val="17"/>
          <w:rFonts w:hint="eastAsia" w:ascii="仿宋" w:hAnsi="仿宋" w:eastAsia="仿宋" w:cs="仿宋"/>
          <w:b w:val="0"/>
          <w:bCs/>
          <w:color w:val="000000"/>
          <w:sz w:val="32"/>
          <w:szCs w:val="32"/>
        </w:rPr>
        <w:t>。</w:t>
      </w:r>
      <w:r>
        <w:rPr>
          <w:rFonts w:hint="eastAsia" w:ascii="仿宋" w:hAnsi="仿宋" w:eastAsia="仿宋" w:cs="仿宋"/>
          <w:color w:val="000000"/>
          <w:sz w:val="32"/>
          <w:szCs w:val="32"/>
        </w:rPr>
        <w:t>因公出国（境）支出决算</w:t>
      </w:r>
      <w:r>
        <w:rPr>
          <w:rFonts w:hint="eastAsia" w:ascii="仿宋" w:hAnsi="仿宋" w:eastAsia="仿宋" w:cs="仿宋"/>
          <w:color w:val="000000"/>
          <w:sz w:val="32"/>
          <w:szCs w:val="32"/>
          <w:lang w:eastAsia="zh-CN"/>
        </w:rPr>
        <w:t>较</w:t>
      </w:r>
      <w:r>
        <w:rPr>
          <w:rFonts w:hint="eastAsia" w:ascii="仿宋" w:hAnsi="仿宋" w:eastAsia="仿宋" w:cs="仿宋"/>
          <w:color w:val="000000"/>
          <w:sz w:val="32"/>
          <w:szCs w:val="32"/>
          <w:lang w:val="en-US" w:eastAsia="zh-CN"/>
        </w:rPr>
        <w:t>2021</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无变化</w:t>
      </w:r>
      <w:r>
        <w:rPr>
          <w:rFonts w:hint="eastAsia" w:ascii="仿宋" w:hAnsi="仿宋" w:eastAsia="仿宋" w:cs="仿宋"/>
          <w:color w:val="auto"/>
          <w:sz w:val="32"/>
          <w:szCs w:val="32"/>
          <w:highlight w:val="none"/>
        </w:rPr>
        <w:t>。</w:t>
      </w:r>
    </w:p>
    <w:p>
      <w:pPr>
        <w:spacing w:line="600" w:lineRule="exact"/>
        <w:ind w:firstLine="64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2.公务用车购置及运行维护费支出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Style w:val="17"/>
          <w:rFonts w:hint="eastAsia" w:ascii="仿宋" w:hAnsi="仿宋" w:eastAsia="仿宋" w:cs="仿宋"/>
          <w:b w:val="0"/>
          <w:bCs/>
          <w:color w:val="000000"/>
          <w:sz w:val="32"/>
          <w:szCs w:val="32"/>
          <w:lang w:eastAsia="zh-CN"/>
        </w:rPr>
        <w:t>年初未安排预算</w:t>
      </w:r>
      <w:r>
        <w:rPr>
          <w:rStyle w:val="17"/>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公务用车购置及运行维护费支出决算比20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年减少</w:t>
      </w:r>
      <w:r>
        <w:rPr>
          <w:rFonts w:hint="eastAsia" w:ascii="仿宋" w:hAnsi="仿宋" w:eastAsia="仿宋" w:cs="仿宋"/>
          <w:color w:val="auto"/>
          <w:sz w:val="32"/>
          <w:szCs w:val="32"/>
          <w:highlight w:val="none"/>
          <w:lang w:val="en-US" w:eastAsia="zh-CN"/>
        </w:rPr>
        <w:t>1.95</w:t>
      </w:r>
      <w:r>
        <w:rPr>
          <w:rFonts w:hint="eastAsia" w:ascii="仿宋" w:hAnsi="仿宋" w:eastAsia="仿宋" w:cs="仿宋"/>
          <w:color w:val="auto"/>
          <w:sz w:val="32"/>
          <w:szCs w:val="32"/>
          <w:highlight w:val="none"/>
        </w:rPr>
        <w:t>万元，下降</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eastAsia="zh-CN"/>
        </w:rPr>
        <w:t>我中心</w:t>
      </w:r>
      <w:r>
        <w:rPr>
          <w:rFonts w:hint="eastAsia" w:ascii="仿宋" w:hAnsi="仿宋" w:eastAsia="仿宋" w:cs="仿宋"/>
          <w:color w:val="auto"/>
          <w:sz w:val="32"/>
          <w:szCs w:val="32"/>
          <w:highlight w:val="none"/>
          <w:lang w:val="en-US" w:eastAsia="zh-CN"/>
        </w:rPr>
        <w:t>2022年度无</w:t>
      </w:r>
      <w:r>
        <w:rPr>
          <w:rFonts w:hint="eastAsia" w:ascii="仿宋" w:hAnsi="仿宋" w:eastAsia="仿宋" w:cs="仿宋"/>
          <w:color w:val="auto"/>
          <w:sz w:val="32"/>
          <w:szCs w:val="32"/>
          <w:highlight w:val="none"/>
        </w:rPr>
        <w:t>公务用车购置及运行维护费</w:t>
      </w:r>
      <w:r>
        <w:rPr>
          <w:rFonts w:hint="eastAsia" w:ascii="仿宋" w:hAnsi="仿宋" w:eastAsia="仿宋" w:cs="仿宋"/>
          <w:color w:val="auto"/>
          <w:sz w:val="32"/>
          <w:szCs w:val="32"/>
          <w:highlight w:val="none"/>
          <w:lang w:eastAsia="zh-CN"/>
        </w:rPr>
        <w:t>相关预算</w:t>
      </w:r>
      <w:r>
        <w:rPr>
          <w:rFonts w:hint="eastAsia" w:ascii="仿宋" w:hAnsi="仿宋" w:eastAsia="仿宋" w:cs="仿宋"/>
          <w:color w:val="auto"/>
          <w:sz w:val="32"/>
          <w:szCs w:val="32"/>
          <w:highlight w:val="none"/>
        </w:rPr>
        <w:t>。</w:t>
      </w:r>
    </w:p>
    <w:p>
      <w:pPr>
        <w:spacing w:line="600" w:lineRule="exact"/>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其中：</w:t>
      </w:r>
      <w:r>
        <w:rPr>
          <w:rFonts w:hint="eastAsia" w:ascii="仿宋" w:hAnsi="仿宋" w:eastAsia="仿宋" w:cs="仿宋"/>
          <w:b/>
          <w:color w:val="auto"/>
          <w:sz w:val="32"/>
          <w:szCs w:val="32"/>
          <w:highlight w:val="none"/>
        </w:rPr>
        <w:t>公务用车购置支出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，年初未安排预算</w:t>
      </w:r>
      <w:r>
        <w:rPr>
          <w:rFonts w:hint="eastAsia" w:ascii="仿宋" w:hAnsi="仿宋" w:eastAsia="仿宋" w:cs="仿宋"/>
          <w:color w:val="auto"/>
          <w:sz w:val="32"/>
          <w:szCs w:val="32"/>
          <w:highlight w:val="none"/>
        </w:rPr>
        <w:t>。</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公务用车运行维护费支出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，年初未安排预算。</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3.公务接待费支出</w:t>
      </w:r>
      <w:r>
        <w:rPr>
          <w:rFonts w:hint="eastAsia" w:ascii="仿宋" w:hAnsi="仿宋" w:eastAsia="仿宋" w:cs="仿宋"/>
          <w:color w:val="auto"/>
          <w:sz w:val="32"/>
          <w:szCs w:val="32"/>
          <w:highlight w:val="none"/>
          <w:lang w:val="en-US" w:eastAsia="zh-CN"/>
        </w:rPr>
        <w:t>0.13</w:t>
      </w:r>
      <w:r>
        <w:rPr>
          <w:rFonts w:hint="eastAsia" w:ascii="仿宋" w:hAnsi="仿宋" w:eastAsia="仿宋" w:cs="仿宋"/>
          <w:color w:val="auto"/>
          <w:sz w:val="32"/>
          <w:szCs w:val="32"/>
          <w:highlight w:val="none"/>
        </w:rPr>
        <w:t>万元，</w:t>
      </w:r>
      <w:r>
        <w:rPr>
          <w:rStyle w:val="17"/>
          <w:rFonts w:hint="eastAsia" w:ascii="仿宋" w:hAnsi="仿宋" w:eastAsia="仿宋" w:cs="仿宋"/>
          <w:b w:val="0"/>
          <w:bCs/>
          <w:color w:val="auto"/>
          <w:sz w:val="32"/>
          <w:szCs w:val="32"/>
          <w:highlight w:val="none"/>
        </w:rPr>
        <w:t>完成预算</w:t>
      </w:r>
      <w:r>
        <w:rPr>
          <w:rStyle w:val="17"/>
          <w:rFonts w:hint="eastAsia" w:ascii="仿宋" w:hAnsi="仿宋" w:eastAsia="仿宋" w:cs="仿宋"/>
          <w:b w:val="0"/>
          <w:bCs/>
          <w:color w:val="auto"/>
          <w:sz w:val="32"/>
          <w:szCs w:val="32"/>
          <w:highlight w:val="none"/>
          <w:lang w:val="en-US" w:eastAsia="zh-CN"/>
        </w:rPr>
        <w:t>18.57</w:t>
      </w:r>
      <w:r>
        <w:rPr>
          <w:rStyle w:val="17"/>
          <w:rFonts w:hint="eastAsia" w:ascii="仿宋" w:hAnsi="仿宋" w:eastAsia="仿宋" w:cs="仿宋"/>
          <w:b w:val="0"/>
          <w:bCs/>
          <w:color w:val="auto"/>
          <w:sz w:val="32"/>
          <w:szCs w:val="32"/>
          <w:highlight w:val="none"/>
        </w:rPr>
        <w:t>%。</w:t>
      </w:r>
      <w:r>
        <w:rPr>
          <w:rFonts w:hint="eastAsia" w:ascii="仿宋" w:hAnsi="仿宋" w:eastAsia="仿宋" w:cs="仿宋"/>
          <w:color w:val="auto"/>
          <w:sz w:val="32"/>
          <w:szCs w:val="32"/>
          <w:highlight w:val="none"/>
        </w:rPr>
        <w:t>公务接待费支出决算比20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年增加</w:t>
      </w:r>
      <w:r>
        <w:rPr>
          <w:rFonts w:hint="eastAsia" w:ascii="仿宋" w:hAnsi="仿宋" w:eastAsia="仿宋" w:cs="仿宋"/>
          <w:color w:val="auto"/>
          <w:sz w:val="32"/>
          <w:szCs w:val="32"/>
          <w:highlight w:val="none"/>
          <w:lang w:val="en-US" w:eastAsia="zh-CN"/>
        </w:rPr>
        <w:t>0.13</w:t>
      </w:r>
      <w:r>
        <w:rPr>
          <w:rFonts w:hint="eastAsia" w:ascii="仿宋" w:hAnsi="仿宋" w:eastAsia="仿宋" w:cs="仿宋"/>
          <w:color w:val="auto"/>
          <w:sz w:val="32"/>
          <w:szCs w:val="32"/>
          <w:highlight w:val="none"/>
        </w:rPr>
        <w:t>万元，增长</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val="en-US" w:eastAsia="zh-CN"/>
        </w:rPr>
        <w:t>2021年度我中心未发生公务接待支出，而2022年度发生了一次公务接待事项</w:t>
      </w:r>
      <w:r>
        <w:rPr>
          <w:rFonts w:hint="eastAsia" w:ascii="仿宋" w:hAnsi="仿宋" w:eastAsia="仿宋" w:cs="仿宋"/>
          <w:color w:val="auto"/>
          <w:sz w:val="32"/>
          <w:szCs w:val="32"/>
          <w:highlight w:val="none"/>
        </w:rPr>
        <w:t>。其中：</w:t>
      </w:r>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国内公务接待支出</w:t>
      </w:r>
      <w:r>
        <w:rPr>
          <w:rFonts w:hint="eastAsia" w:ascii="仿宋" w:hAnsi="仿宋" w:eastAsia="仿宋" w:cs="仿宋"/>
          <w:color w:val="auto"/>
          <w:sz w:val="32"/>
          <w:szCs w:val="32"/>
          <w:highlight w:val="none"/>
          <w:lang w:val="en-US" w:eastAsia="zh-CN"/>
        </w:rPr>
        <w:t>0.13</w:t>
      </w:r>
      <w:r>
        <w:rPr>
          <w:rFonts w:hint="eastAsia" w:ascii="仿宋" w:hAnsi="仿宋" w:eastAsia="仿宋" w:cs="仿宋"/>
          <w:color w:val="auto"/>
          <w:sz w:val="32"/>
          <w:szCs w:val="32"/>
          <w:highlight w:val="none"/>
        </w:rPr>
        <w:t>万元，主要用于执行公务、开展业务活动开支的用餐费等。国内公务接待</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批次，</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人次（不包括陪同人员），共计支出</w:t>
      </w:r>
      <w:r>
        <w:rPr>
          <w:rFonts w:hint="eastAsia" w:ascii="仿宋" w:hAnsi="仿宋" w:eastAsia="仿宋" w:cs="仿宋"/>
          <w:color w:val="auto"/>
          <w:sz w:val="32"/>
          <w:szCs w:val="32"/>
          <w:highlight w:val="none"/>
          <w:lang w:val="en-US" w:eastAsia="zh-CN"/>
        </w:rPr>
        <w:t>0.13</w:t>
      </w:r>
      <w:r>
        <w:rPr>
          <w:rFonts w:hint="eastAsia" w:ascii="仿宋" w:hAnsi="仿宋" w:eastAsia="仿宋" w:cs="仿宋"/>
          <w:color w:val="auto"/>
          <w:sz w:val="32"/>
          <w:szCs w:val="32"/>
          <w:highlight w:val="none"/>
        </w:rPr>
        <w:t>万元，具体内容包括：</w:t>
      </w:r>
      <w:r>
        <w:rPr>
          <w:rFonts w:hint="eastAsia" w:ascii="仿宋" w:hAnsi="仿宋" w:eastAsia="仿宋" w:cs="仿宋"/>
          <w:color w:val="auto"/>
          <w:sz w:val="32"/>
          <w:szCs w:val="32"/>
          <w:highlight w:val="none"/>
          <w:lang w:eastAsia="zh-CN"/>
        </w:rPr>
        <w:t>青川县土地房屋征收拆迁事务中心前来交流座谈失地农民保险办理及人口安置政策接待项目，产生接待费用</w:t>
      </w:r>
      <w:r>
        <w:rPr>
          <w:rFonts w:hint="eastAsia" w:ascii="仿宋" w:hAnsi="仿宋" w:eastAsia="仿宋" w:cs="仿宋"/>
          <w:color w:val="auto"/>
          <w:sz w:val="32"/>
          <w:szCs w:val="32"/>
          <w:highlight w:val="none"/>
          <w:lang w:val="en-US" w:eastAsia="zh-CN"/>
        </w:rPr>
        <w:t>0.13万元</w:t>
      </w:r>
      <w:r>
        <w:rPr>
          <w:rFonts w:hint="eastAsia" w:ascii="仿宋" w:hAnsi="仿宋" w:eastAsia="仿宋" w:cs="仿宋"/>
          <w:color w:val="auto"/>
          <w:sz w:val="32"/>
          <w:szCs w:val="32"/>
          <w:highlight w:val="none"/>
        </w:rPr>
        <w:t>。</w:t>
      </w:r>
    </w:p>
    <w:p>
      <w:pPr>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外事接待支出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外事接待</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批次，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eastAsia="zh-CN"/>
        </w:rPr>
        <w:t>次（不包括陪同人员）</w:t>
      </w:r>
      <w:r>
        <w:rPr>
          <w:rFonts w:hint="eastAsia" w:ascii="仿宋" w:hAnsi="仿宋" w:eastAsia="仿宋" w:cs="仿宋"/>
          <w:color w:val="auto"/>
          <w:sz w:val="32"/>
          <w:szCs w:val="32"/>
          <w:highlight w:val="none"/>
        </w:rPr>
        <w:t>，共计支出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spacing w:line="600" w:lineRule="exact"/>
        <w:ind w:firstLine="640"/>
        <w:outlineLvl w:val="1"/>
        <w:rPr>
          <w:rFonts w:hint="eastAsia" w:ascii="仿宋" w:hAnsi="仿宋" w:eastAsia="仿宋" w:cs="仿宋"/>
          <w:color w:val="auto"/>
          <w:sz w:val="32"/>
          <w:szCs w:val="32"/>
          <w:highlight w:val="none"/>
        </w:rPr>
      </w:pPr>
      <w:bookmarkStart w:id="40" w:name="_Toc15377218"/>
      <w:bookmarkStart w:id="41" w:name="_Toc15396610"/>
    </w:p>
    <w:p>
      <w:pPr>
        <w:spacing w:line="600" w:lineRule="exact"/>
        <w:ind w:firstLine="640"/>
        <w:outlineLvl w:val="1"/>
        <w:rPr>
          <w:rStyle w:val="29"/>
          <w:rFonts w:ascii="黑体" w:hAnsi="黑体" w:eastAsia="黑体"/>
          <w:color w:val="auto"/>
          <w:highlight w:val="none"/>
        </w:rPr>
      </w:pPr>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年政府性基金预算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59.58</w:t>
      </w:r>
      <w:r>
        <w:rPr>
          <w:rFonts w:hint="eastAsia" w:ascii="仿宋" w:hAnsi="仿宋" w:eastAsia="仿宋" w:cs="仿宋"/>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3"/>
        </w:numPr>
        <w:spacing w:line="600" w:lineRule="exact"/>
        <w:ind w:firstLine="640"/>
        <w:outlineLvl w:val="1"/>
        <w:rPr>
          <w:rStyle w:val="29"/>
          <w:rFonts w:ascii="黑体" w:hAnsi="黑体" w:eastAsia="黑体"/>
          <w:b w:val="0"/>
          <w:color w:val="auto"/>
          <w:highlight w:val="none"/>
        </w:rPr>
      </w:pPr>
      <w:bookmarkStart w:id="42" w:name="_Toc15396611"/>
      <w:bookmarkStart w:id="43" w:name="_Toc15377219"/>
      <w:r>
        <w:rPr>
          <w:rStyle w:val="29"/>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年国有资本经营预算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firstLine="640"/>
        <w:outlineLvl w:val="1"/>
        <w:rPr>
          <w:rStyle w:val="29"/>
          <w:rFonts w:hint="eastAsia" w:ascii="黑体" w:hAnsi="黑体" w:eastAsia="黑体"/>
          <w:b w:val="0"/>
          <w:color w:val="auto"/>
          <w:highlight w:val="none"/>
        </w:rPr>
      </w:pPr>
      <w:bookmarkStart w:id="44" w:name="_Toc15396612"/>
      <w:bookmarkStart w:id="45" w:name="_Toc15377221"/>
      <w:r>
        <w:rPr>
          <w:rStyle w:val="29"/>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 w:hAnsi="仿宋" w:eastAsia="仿宋" w:cs="仿宋"/>
          <w:sz w:val="32"/>
          <w:szCs w:val="32"/>
          <w:highlight w:val="none"/>
          <w:lang w:val="en-US" w:eastAsia="zh-CN"/>
        </w:rPr>
        <w:t>本单位未发生机关运行经费支出</w:t>
      </w:r>
      <w:r>
        <w:rPr>
          <w:rFonts w:hint="eastAsia" w:ascii="仿宋" w:hAnsi="仿宋" w:eastAsia="仿宋" w:cs="仿宋"/>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区土地房屋征收中心</w:t>
      </w:r>
      <w:r>
        <w:rPr>
          <w:rFonts w:hint="eastAsia" w:ascii="仿宋" w:hAnsi="仿宋" w:eastAsia="仿宋" w:cs="仿宋"/>
          <w:color w:val="auto"/>
          <w:sz w:val="32"/>
          <w:szCs w:val="32"/>
          <w:highlight w:val="none"/>
        </w:rPr>
        <w:t>政府采购支出总额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highlight w:val="none"/>
          <w:lang w:val="en-US" w:eastAsia="zh-CN"/>
        </w:rPr>
        <w:t>本年未发生政府采购</w:t>
      </w:r>
      <w:r>
        <w:rPr>
          <w:rFonts w:hint="eastAsia" w:ascii="仿宋_GB2312" w:eastAsia="仿宋_GB2312"/>
          <w:sz w:val="32"/>
          <w:szCs w:val="32"/>
          <w:highlight w:val="none"/>
          <w:lang w:val="en-US" w:eastAsia="zh-CN"/>
        </w:rPr>
        <w:t>）</w:t>
      </w:r>
      <w:r>
        <w:rPr>
          <w:rFonts w:hint="eastAsia" w:ascii="仿宋" w:hAnsi="仿宋" w:eastAsia="仿宋" w:cs="仿宋"/>
          <w:color w:val="auto"/>
          <w:sz w:val="32"/>
          <w:szCs w:val="32"/>
          <w:highlight w:val="none"/>
        </w:rPr>
        <w:t>，其中：政府采购货物支出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万元、政府采购工程支出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万元、政府采购服务支出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万元。授予中小企业合同金额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%，其中：授予小微企业合同金额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年12月31日，</w:t>
      </w:r>
      <w:r>
        <w:rPr>
          <w:rFonts w:hint="eastAsia" w:ascii="仿宋" w:hAnsi="仿宋" w:eastAsia="仿宋" w:cs="仿宋"/>
          <w:color w:val="auto"/>
          <w:sz w:val="32"/>
          <w:szCs w:val="32"/>
          <w:highlight w:val="none"/>
          <w:lang w:eastAsia="zh-CN"/>
        </w:rPr>
        <w:t>区土地房屋征收中心</w:t>
      </w:r>
      <w:r>
        <w:rPr>
          <w:rFonts w:hint="eastAsia" w:ascii="仿宋" w:hAnsi="仿宋" w:eastAsia="仿宋" w:cs="仿宋"/>
          <w:color w:val="auto"/>
          <w:sz w:val="32"/>
          <w:szCs w:val="32"/>
          <w:highlight w:val="none"/>
        </w:rPr>
        <w:t>共有车辆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辆，其中：主要领导干部用车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辆、机要通信用车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辆、应急保障用车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辆、其他用车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单价100万元以上专用设备</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根据预算绩效管理要求，本部门在202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年度预算编制阶段，组织对</w:t>
      </w:r>
      <w:r>
        <w:rPr>
          <w:rFonts w:hint="eastAsia" w:ascii="仿宋" w:hAnsi="仿宋" w:eastAsia="仿宋" w:cs="仿宋"/>
          <w:sz w:val="32"/>
          <w:szCs w:val="32"/>
          <w:lang w:eastAsia="zh-CN"/>
        </w:rPr>
        <w:t>拆迁工作经费</w:t>
      </w:r>
      <w:r>
        <w:rPr>
          <w:rFonts w:hint="eastAsia" w:ascii="仿宋" w:hAnsi="仿宋" w:eastAsia="仿宋" w:cs="仿宋"/>
          <w:color w:val="auto"/>
          <w:sz w:val="32"/>
          <w:szCs w:val="32"/>
          <w:highlight w:val="none"/>
        </w:rPr>
        <w:t>项目等</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个项目开展了预算事前绩效评估，对</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个项目编制了绩效目标，预算执行过程中，选取</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none"/>
        </w:rPr>
      </w:pPr>
      <w:r>
        <w:rPr>
          <w:rFonts w:hint="eastAsia" w:ascii="仿宋" w:hAnsi="仿宋" w:eastAsia="仿宋" w:cs="仿宋"/>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 w:hAnsi="仿宋" w:eastAsia="仿宋" w:cs="仿宋"/>
          <w:color w:val="auto"/>
          <w:sz w:val="32"/>
          <w:szCs w:val="32"/>
          <w:highlight w:val="none"/>
          <w:lang w:eastAsia="zh-CN"/>
        </w:rPr>
        <w:t>区土地房屋征收中心</w:t>
      </w:r>
      <w:r>
        <w:rPr>
          <w:rFonts w:hint="eastAsia" w:ascii="仿宋" w:hAnsi="仿宋" w:eastAsia="仿宋" w:cs="仿宋"/>
          <w:color w:val="auto"/>
          <w:sz w:val="32"/>
          <w:szCs w:val="32"/>
          <w:highlight w:val="none"/>
        </w:rPr>
        <w:t>部门整体（含部门预算项目）绩效自评报告，其中，</w:t>
      </w:r>
      <w:r>
        <w:rPr>
          <w:rFonts w:hint="eastAsia" w:ascii="仿宋" w:hAnsi="仿宋" w:eastAsia="仿宋" w:cs="仿宋"/>
          <w:color w:val="auto"/>
          <w:sz w:val="32"/>
          <w:szCs w:val="32"/>
          <w:highlight w:val="none"/>
          <w:lang w:eastAsia="zh-CN"/>
        </w:rPr>
        <w:t>区土地房屋征收中心</w:t>
      </w:r>
      <w:r>
        <w:rPr>
          <w:rFonts w:hint="eastAsia" w:ascii="仿宋" w:hAnsi="仿宋" w:eastAsia="仿宋" w:cs="仿宋"/>
          <w:color w:val="auto"/>
          <w:sz w:val="32"/>
          <w:szCs w:val="32"/>
          <w:highlight w:val="none"/>
        </w:rPr>
        <w:t>部门整体（含部门预算项目）绩效自评得分为</w:t>
      </w:r>
      <w:r>
        <w:rPr>
          <w:rFonts w:hint="eastAsia" w:ascii="仿宋" w:hAnsi="仿宋" w:eastAsia="仿宋" w:cs="仿宋"/>
          <w:color w:val="auto"/>
          <w:sz w:val="32"/>
          <w:szCs w:val="32"/>
          <w:highlight w:val="none"/>
          <w:lang w:val="en-US" w:eastAsia="zh-CN"/>
        </w:rPr>
        <w:t>95</w:t>
      </w:r>
      <w:r>
        <w:rPr>
          <w:rFonts w:hint="eastAsia" w:ascii="仿宋" w:hAnsi="仿宋" w:eastAsia="仿宋" w:cs="仿宋"/>
          <w:color w:val="auto"/>
          <w:sz w:val="32"/>
          <w:szCs w:val="32"/>
          <w:highlight w:val="none"/>
        </w:rPr>
        <w:t>分，绩效自评综述：</w:t>
      </w:r>
      <w:r>
        <w:rPr>
          <w:rFonts w:hint="eastAsia" w:ascii="仿宋" w:hAnsi="仿宋" w:eastAsia="仿宋" w:cs="仿宋"/>
          <w:color w:val="000000"/>
          <w:sz w:val="32"/>
          <w:szCs w:val="32"/>
          <w:shd w:val="clear" w:color="auto" w:fill="FFFFFF"/>
          <w:lang w:eastAsia="zh-CN"/>
        </w:rPr>
        <w:t>202</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区土地房屋征收中心</w:t>
      </w:r>
      <w:r>
        <w:rPr>
          <w:rFonts w:hint="eastAsia" w:ascii="仿宋" w:hAnsi="仿宋" w:eastAsia="仿宋" w:cs="仿宋"/>
          <w:color w:val="000000"/>
          <w:sz w:val="32"/>
          <w:szCs w:val="32"/>
          <w:shd w:val="clear" w:color="auto" w:fill="FFFFFF"/>
        </w:rPr>
        <w:t>部门整体支出绩效评价自查自评结果良好，全年基本支出保证了单位的正常运行和日常工作的正常开展，达到预期绩效目标</w:t>
      </w:r>
      <w:r>
        <w:rPr>
          <w:rFonts w:hint="eastAsia" w:ascii="仿宋" w:hAnsi="仿宋" w:eastAsia="仿宋" w:cs="仿宋"/>
          <w:color w:val="auto"/>
          <w:sz w:val="32"/>
          <w:szCs w:val="32"/>
          <w:highlight w:val="none"/>
        </w:rPr>
        <w:t>。绩效自评报告详见附件。</w:t>
      </w: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8"/>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49"/>
      <w:bookmarkEnd w:id="50"/>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lang w:val="en-US" w:eastAsia="zh-CN"/>
        </w:rPr>
        <w:t>.</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社会保障和就业</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（类）行政事业单位</w:t>
      </w:r>
      <w:r>
        <w:rPr>
          <w:rFonts w:hint="eastAsia" w:ascii="仿宋" w:hAnsi="仿宋" w:eastAsia="仿宋"/>
          <w:color w:val="000000"/>
          <w:sz w:val="32"/>
          <w:szCs w:val="32"/>
          <w:lang w:eastAsia="zh-CN"/>
        </w:rPr>
        <w:t>养老支出</w:t>
      </w:r>
      <w:r>
        <w:rPr>
          <w:rFonts w:hint="eastAsia" w:ascii="仿宋" w:hAnsi="仿宋" w:eastAsia="仿宋"/>
          <w:color w:val="000000"/>
          <w:sz w:val="32"/>
          <w:szCs w:val="32"/>
        </w:rPr>
        <w:t>（款）</w:t>
      </w:r>
      <w:r>
        <w:rPr>
          <w:rFonts w:hint="eastAsia" w:ascii="仿宋" w:hAnsi="仿宋" w:eastAsia="仿宋"/>
          <w:color w:val="000000"/>
          <w:sz w:val="32"/>
          <w:szCs w:val="32"/>
          <w:lang w:eastAsia="zh-CN"/>
        </w:rPr>
        <w:t>机关事业单位基本养老保险缴费支出</w:t>
      </w:r>
      <w:r>
        <w:rPr>
          <w:rFonts w:hint="eastAsia" w:ascii="仿宋" w:hAnsi="仿宋" w:eastAsia="仿宋"/>
          <w:color w:val="000000"/>
          <w:sz w:val="32"/>
          <w:szCs w:val="32"/>
        </w:rPr>
        <w:t>（项）：指</w:t>
      </w:r>
      <w:r>
        <w:rPr>
          <w:rFonts w:hint="eastAsia" w:ascii="仿宋" w:hAnsi="仿宋" w:eastAsia="仿宋"/>
          <w:color w:val="000000"/>
          <w:sz w:val="32"/>
          <w:szCs w:val="32"/>
          <w:lang w:eastAsia="zh-CN"/>
        </w:rPr>
        <w:t>机关事业单位实施养老保险制度由单位缴纳的基本养老保险费支出</w:t>
      </w:r>
      <w:r>
        <w:rPr>
          <w:rFonts w:hint="eastAsia" w:ascii="仿宋" w:hAnsi="仿宋" w:eastAsia="仿宋"/>
          <w:color w:val="000000"/>
          <w:sz w:val="32"/>
          <w:szCs w:val="32"/>
        </w:rPr>
        <w:t>。</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6</w:t>
      </w:r>
      <w:r>
        <w:rPr>
          <w:rFonts w:ascii="仿宋" w:hAnsi="仿宋" w:eastAsia="仿宋"/>
          <w:color w:val="000000"/>
          <w:sz w:val="32"/>
          <w:szCs w:val="32"/>
        </w:rPr>
        <w:t>.</w:t>
      </w:r>
      <w:r>
        <w:rPr>
          <w:rFonts w:hint="eastAsia" w:ascii="仿宋" w:hAnsi="仿宋" w:eastAsia="仿宋"/>
          <w:color w:val="000000"/>
          <w:sz w:val="32"/>
          <w:szCs w:val="32"/>
          <w:lang w:eastAsia="zh-CN"/>
        </w:rPr>
        <w:t>卫生健康支出</w:t>
      </w:r>
      <w:r>
        <w:rPr>
          <w:rFonts w:hint="eastAsia" w:ascii="仿宋" w:hAnsi="仿宋" w:eastAsia="仿宋"/>
          <w:color w:val="000000"/>
          <w:sz w:val="32"/>
          <w:szCs w:val="32"/>
        </w:rPr>
        <w:t>（类）行政事业单位医疗（款）</w:t>
      </w:r>
      <w:r>
        <w:rPr>
          <w:rFonts w:hint="eastAsia" w:ascii="仿宋" w:hAnsi="仿宋" w:eastAsia="仿宋"/>
          <w:color w:val="000000"/>
          <w:sz w:val="32"/>
          <w:szCs w:val="32"/>
          <w:lang w:eastAsia="zh-CN"/>
        </w:rPr>
        <w:t>事业</w:t>
      </w:r>
      <w:r>
        <w:rPr>
          <w:rFonts w:hint="eastAsia" w:ascii="仿宋" w:hAnsi="仿宋" w:eastAsia="仿宋"/>
          <w:color w:val="000000"/>
          <w:sz w:val="32"/>
          <w:szCs w:val="32"/>
        </w:rPr>
        <w:t>单位医疗（项）：指财政部门安排的</w:t>
      </w:r>
      <w:r>
        <w:rPr>
          <w:rFonts w:hint="eastAsia" w:ascii="仿宋" w:hAnsi="仿宋" w:eastAsia="仿宋"/>
          <w:color w:val="000000"/>
          <w:sz w:val="32"/>
          <w:szCs w:val="32"/>
          <w:lang w:eastAsia="zh-CN"/>
        </w:rPr>
        <w:t>事业</w:t>
      </w:r>
      <w:r>
        <w:rPr>
          <w:rFonts w:hint="eastAsia" w:ascii="仿宋" w:hAnsi="仿宋" w:eastAsia="仿宋"/>
          <w:color w:val="000000"/>
          <w:sz w:val="32"/>
          <w:szCs w:val="32"/>
        </w:rPr>
        <w:t>单位基本医疗保险缴费经费，未参加医疗保险的</w:t>
      </w:r>
      <w:r>
        <w:rPr>
          <w:rFonts w:hint="eastAsia" w:ascii="仿宋" w:hAnsi="仿宋" w:eastAsia="仿宋"/>
          <w:color w:val="000000"/>
          <w:sz w:val="32"/>
          <w:szCs w:val="32"/>
          <w:lang w:eastAsia="zh-CN"/>
        </w:rPr>
        <w:t>事业</w:t>
      </w:r>
      <w:r>
        <w:rPr>
          <w:rFonts w:hint="eastAsia" w:ascii="仿宋" w:hAnsi="仿宋" w:eastAsia="仿宋"/>
          <w:color w:val="000000"/>
          <w:sz w:val="32"/>
          <w:szCs w:val="32"/>
        </w:rPr>
        <w:t>单位的公费医疗经费，按国家规定享受离休人员待遇人员的医疗经费。</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7</w:t>
      </w:r>
      <w:r>
        <w:rPr>
          <w:rFonts w:ascii="仿宋" w:hAnsi="仿宋" w:eastAsia="仿宋"/>
          <w:color w:val="000000"/>
          <w:sz w:val="32"/>
          <w:szCs w:val="32"/>
        </w:rPr>
        <w:t>.</w:t>
      </w:r>
      <w:r>
        <w:rPr>
          <w:rFonts w:hint="eastAsia" w:ascii="仿宋" w:hAnsi="仿宋" w:eastAsia="仿宋"/>
          <w:color w:val="000000"/>
          <w:sz w:val="32"/>
          <w:szCs w:val="32"/>
        </w:rPr>
        <w:t>住房保障</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（类）住房改革支出（款）住房公积金（项）：指反映行政事业单位按人力资源和社会保障部、财政部规定的基本工资和津贴补贴以及规定比例为职工缴纳的住房公积金。</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8</w:t>
      </w:r>
      <w:r>
        <w:rPr>
          <w:rFonts w:ascii="仿宋" w:hAnsi="仿宋" w:eastAsia="仿宋"/>
          <w:color w:val="000000"/>
          <w:sz w:val="32"/>
          <w:szCs w:val="32"/>
        </w:rPr>
        <w:t>.</w:t>
      </w:r>
      <w:r>
        <w:rPr>
          <w:rFonts w:hint="eastAsia" w:ascii="仿宋" w:hAnsi="仿宋" w:eastAsia="仿宋"/>
          <w:color w:val="000000"/>
          <w:sz w:val="32"/>
          <w:szCs w:val="32"/>
          <w:lang w:eastAsia="zh-CN"/>
        </w:rPr>
        <w:t>城乡社区支出</w:t>
      </w:r>
      <w:r>
        <w:rPr>
          <w:rFonts w:hint="eastAsia" w:ascii="仿宋" w:hAnsi="仿宋" w:eastAsia="仿宋"/>
          <w:color w:val="000000"/>
          <w:sz w:val="32"/>
          <w:szCs w:val="32"/>
        </w:rPr>
        <w:t>（类）</w:t>
      </w:r>
      <w:r>
        <w:rPr>
          <w:rFonts w:hint="eastAsia" w:ascii="仿宋" w:hAnsi="仿宋" w:eastAsia="仿宋"/>
          <w:color w:val="000000"/>
          <w:sz w:val="32"/>
          <w:szCs w:val="32"/>
          <w:lang w:eastAsia="zh-CN"/>
        </w:rPr>
        <w:t>城乡社区管理事务</w:t>
      </w:r>
      <w:r>
        <w:rPr>
          <w:rFonts w:hint="eastAsia" w:ascii="仿宋" w:hAnsi="仿宋" w:eastAsia="仿宋"/>
          <w:color w:val="000000"/>
          <w:sz w:val="32"/>
          <w:szCs w:val="32"/>
        </w:rPr>
        <w:t>（款）</w:t>
      </w:r>
      <w:r>
        <w:rPr>
          <w:rFonts w:hint="eastAsia" w:ascii="仿宋" w:hAnsi="仿宋" w:eastAsia="仿宋"/>
          <w:color w:val="000000"/>
          <w:sz w:val="32"/>
          <w:szCs w:val="32"/>
          <w:lang w:eastAsia="zh-CN"/>
        </w:rPr>
        <w:t>其他城乡社区管理事务支出</w:t>
      </w:r>
      <w:r>
        <w:rPr>
          <w:rFonts w:hint="eastAsia" w:ascii="仿宋" w:hAnsi="仿宋" w:eastAsia="仿宋"/>
          <w:color w:val="000000"/>
          <w:sz w:val="32"/>
          <w:szCs w:val="32"/>
        </w:rPr>
        <w:t>（项）：指反映</w:t>
      </w:r>
      <w:r>
        <w:rPr>
          <w:rFonts w:hint="eastAsia" w:ascii="仿宋" w:hAnsi="仿宋" w:eastAsia="仿宋"/>
          <w:color w:val="000000"/>
          <w:sz w:val="32"/>
          <w:szCs w:val="32"/>
          <w:lang w:eastAsia="zh-CN"/>
        </w:rPr>
        <w:t>其他用于城乡社区管理事务方面的支出</w:t>
      </w:r>
      <w:r>
        <w:rPr>
          <w:rFonts w:hint="eastAsia" w:ascii="仿宋" w:hAnsi="仿宋" w:eastAsia="仿宋"/>
          <w:color w:val="000000"/>
          <w:sz w:val="32"/>
          <w:szCs w:val="32"/>
        </w:rPr>
        <w:t>。</w:t>
      </w:r>
    </w:p>
    <w:p>
      <w:pPr>
        <w:pStyle w:val="6"/>
      </w:pPr>
    </w:p>
    <w:p>
      <w:pPr>
        <w:numPr>
          <w:ilvl w:val="0"/>
          <w:numId w:val="0"/>
        </w:num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基本支出：指为保障机构正常运转、完成日常工作任务而发生的人员支出和公用支出。</w:t>
      </w:r>
    </w:p>
    <w:p>
      <w:pPr>
        <w:ind w:firstLine="640" w:firstLineChars="200"/>
      </w:pP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 xml:space="preserve">.项目支出：指在基本支出之外为完成特定行政任务和事业发展目标所发生的支出。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lang w:val="en-US" w:eastAsia="zh-CN"/>
        </w:rPr>
        <w:t>1</w:t>
      </w:r>
      <w:r>
        <w:rPr>
          <w:rFonts w:ascii="仿宋" w:hAnsi="仿宋" w:eastAsia="仿宋"/>
          <w:color w:val="000000"/>
          <w:sz w:val="32"/>
          <w:szCs w:val="32"/>
        </w:rPr>
        <w:t>.</w:t>
      </w:r>
      <w:r>
        <w:rPr>
          <w:rFonts w:hint="eastAsia" w:ascii="仿宋" w:hAnsi="仿宋" w:eastAsia="仿宋"/>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28"/>
          <w:rFonts w:hint="eastAsia" w:ascii="黑体" w:hAnsi="黑体" w:eastAsia="黑体"/>
          <w:b w:val="0"/>
          <w:color w:val="auto"/>
          <w:highlight w:val="none"/>
          <w:lang w:eastAsia="zh-CN"/>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52"/>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广元市昭化区土地房屋征收中心</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color w:val="000000"/>
          <w:sz w:val="44"/>
          <w:szCs w:val="44"/>
          <w:lang w:eastAsia="zh-CN"/>
        </w:rPr>
      </w:pPr>
      <w:r>
        <w:rPr>
          <w:rFonts w:hint="eastAsia" w:ascii="Times New Roman" w:hAnsi="Times New Roman" w:eastAsia="方正小标宋简体" w:cs="Times New Roman"/>
          <w:color w:val="000000"/>
          <w:sz w:val="44"/>
          <w:szCs w:val="44"/>
          <w:lang w:eastAsia="zh-CN"/>
        </w:rPr>
        <w:t>202</w:t>
      </w:r>
      <w:r>
        <w:rPr>
          <w:rFonts w:hint="eastAsia" w:ascii="Times New Roman" w:hAnsi="Times New Roman" w:eastAsia="方正小标宋简体" w:cs="Times New Roman"/>
          <w:color w:val="000000"/>
          <w:sz w:val="44"/>
          <w:szCs w:val="44"/>
          <w:lang w:val="en-US" w:eastAsia="zh-CN"/>
        </w:rPr>
        <w:t>2</w:t>
      </w:r>
      <w:r>
        <w:rPr>
          <w:rFonts w:hint="eastAsia" w:ascii="Times New Roman" w:hAnsi="Times New Roman" w:eastAsia="方正小标宋简体" w:cs="Times New Roman"/>
          <w:color w:val="000000"/>
          <w:sz w:val="44"/>
          <w:szCs w:val="44"/>
          <w:lang w:eastAsia="zh-CN"/>
        </w:rPr>
        <w:t>年部门整体支出绩效自评报告</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一、预算单位概况</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（一）机构组成</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根据《关于区房屋征收中心更名及机构编制调整事项的通知》（昭编委</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25号）和《关于明确广元市昭化区土地房屋征收办公室主要负责人职级等机构编制事项的通知》（</w:t>
      </w:r>
      <w:r>
        <w:rPr>
          <w:rFonts w:hint="eastAsia" w:ascii="仿宋" w:hAnsi="仿宋" w:eastAsia="仿宋" w:cs="仿宋"/>
          <w:color w:val="000000"/>
          <w:sz w:val="32"/>
          <w:szCs w:val="32"/>
          <w:lang w:eastAsia="zh-CN"/>
        </w:rPr>
        <w:t>昭编委</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7号）文件规定，</w:t>
      </w:r>
      <w:r>
        <w:rPr>
          <w:rFonts w:hint="eastAsia" w:ascii="仿宋" w:hAnsi="仿宋" w:eastAsia="仿宋" w:cs="仿宋"/>
          <w:color w:val="000000"/>
          <w:sz w:val="32"/>
          <w:szCs w:val="32"/>
        </w:rPr>
        <w:t>区</w:t>
      </w:r>
      <w:r>
        <w:rPr>
          <w:rFonts w:hint="eastAsia" w:ascii="仿宋" w:hAnsi="仿宋" w:eastAsia="仿宋" w:cs="仿宋"/>
          <w:color w:val="000000"/>
          <w:sz w:val="32"/>
          <w:szCs w:val="32"/>
          <w:lang w:eastAsia="zh-CN"/>
        </w:rPr>
        <w:t>土地房屋</w:t>
      </w:r>
      <w:r>
        <w:rPr>
          <w:rFonts w:hint="eastAsia" w:ascii="仿宋" w:hAnsi="仿宋" w:eastAsia="仿宋" w:cs="仿宋"/>
          <w:color w:val="000000"/>
          <w:sz w:val="32"/>
          <w:szCs w:val="32"/>
        </w:rPr>
        <w:t>征收</w:t>
      </w:r>
      <w:r>
        <w:rPr>
          <w:rFonts w:hint="eastAsia" w:ascii="仿宋" w:hAnsi="仿宋" w:eastAsia="仿宋" w:cs="仿宋"/>
          <w:color w:val="000000"/>
          <w:sz w:val="32"/>
          <w:szCs w:val="32"/>
          <w:lang w:eastAsia="zh-CN"/>
        </w:rPr>
        <w:t>中心</w:t>
      </w:r>
      <w:r>
        <w:rPr>
          <w:rFonts w:hint="eastAsia" w:ascii="仿宋" w:hAnsi="仿宋" w:eastAsia="仿宋" w:cs="仿宋"/>
          <w:color w:val="000000"/>
          <w:sz w:val="32"/>
          <w:szCs w:val="32"/>
        </w:rPr>
        <w:t>挂靠区住建局，为独立核算一级预算单位</w:t>
      </w:r>
      <w:r>
        <w:rPr>
          <w:rFonts w:hint="eastAsia" w:ascii="仿宋" w:hAnsi="仿宋" w:eastAsia="仿宋" w:cs="仿宋"/>
          <w:color w:val="000000"/>
          <w:sz w:val="32"/>
          <w:szCs w:val="32"/>
          <w:lang w:eastAsia="zh-CN"/>
        </w:rPr>
        <w:t>，内设</w:t>
      </w:r>
      <w:r>
        <w:rPr>
          <w:rFonts w:hint="eastAsia" w:ascii="仿宋" w:hAnsi="仿宋" w:eastAsia="仿宋" w:cs="仿宋"/>
          <w:color w:val="000000"/>
          <w:sz w:val="32"/>
          <w:szCs w:val="32"/>
          <w:lang w:val="en-US" w:eastAsia="zh-CN"/>
        </w:rPr>
        <w:t>综合股、政策法规股、征收一股、征收二股</w:t>
      </w:r>
      <w:r>
        <w:rPr>
          <w:rFonts w:hint="eastAsia" w:ascii="仿宋" w:hAnsi="仿宋" w:eastAsia="仿宋" w:cs="仿宋"/>
          <w:color w:val="000000"/>
          <w:sz w:val="32"/>
          <w:szCs w:val="32"/>
          <w:lang w:eastAsia="zh-CN"/>
        </w:rPr>
        <w:t>共</w:t>
      </w:r>
      <w:r>
        <w:rPr>
          <w:rFonts w:hint="eastAsia" w:ascii="仿宋" w:hAnsi="仿宋" w:eastAsia="仿宋" w:cs="仿宋"/>
          <w:color w:val="000000"/>
          <w:sz w:val="32"/>
          <w:szCs w:val="32"/>
          <w:lang w:val="en-US" w:eastAsia="zh-CN"/>
        </w:rPr>
        <w:t>4个股室</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lang w:eastAsia="zh-CN"/>
        </w:rPr>
        <w:t>（二）</w:t>
      </w:r>
      <w:r>
        <w:rPr>
          <w:rFonts w:hint="default" w:ascii="楷体_GB2312" w:hAnsi="楷体_GB2312" w:eastAsia="楷体_GB2312" w:cs="楷体_GB2312"/>
          <w:sz w:val="32"/>
          <w:szCs w:val="32"/>
        </w:rPr>
        <w:t>机构职能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负责宣传和贯彻执行土地房屋征收拆迁安置法律、法规及政策；按照发展规划，承担本辖区市区规划范围内集体土地、国有土地及地上房屋和附着物的征收补偿、拆迁安置工作；负责土地房屋征收后的房屋拆除、安置等工作；负责对本辖区市区规划范围外乡镇房屋征收拆迁安置补偿方案的审查和指导；负责统筹协调土地、房屋征收拆迁安置资金；负责做好国家重点工程建设的征地拆迁、资金统筹和协调工作；负责对征收从业人员进行教育培训、做好征收工作信息化建设；负责征收工作中的协调、安全、信访和稳定工作；承担区政府交办的其他事项。</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lang w:eastAsia="zh-CN"/>
        </w:rPr>
        <w:t>（三）</w:t>
      </w:r>
      <w:r>
        <w:rPr>
          <w:rFonts w:hint="default" w:ascii="楷体_GB2312" w:hAnsi="楷体_GB2312" w:eastAsia="楷体_GB2312" w:cs="楷体_GB2312"/>
          <w:sz w:val="32"/>
          <w:szCs w:val="32"/>
        </w:rPr>
        <w:t>人员概况</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 w:hAnsi="仿宋" w:eastAsia="仿宋" w:cs="仿宋"/>
          <w:sz w:val="32"/>
          <w:szCs w:val="32"/>
          <w:lang w:eastAsia="zh-CN"/>
        </w:rPr>
        <w:t>区土地房屋征收中心</w:t>
      </w:r>
      <w:r>
        <w:rPr>
          <w:rFonts w:hint="eastAsia" w:ascii="仿宋" w:hAnsi="仿宋" w:eastAsia="仿宋" w:cs="仿宋"/>
          <w:sz w:val="32"/>
          <w:szCs w:val="32"/>
        </w:rPr>
        <w:t>核定事业</w:t>
      </w:r>
      <w:r>
        <w:rPr>
          <w:rFonts w:hint="eastAsia" w:ascii="仿宋" w:hAnsi="仿宋" w:eastAsia="仿宋" w:cs="仿宋"/>
          <w:color w:val="000000"/>
          <w:sz w:val="32"/>
          <w:szCs w:val="32"/>
          <w:shd w:val="clear" w:color="auto" w:fill="FFFFFF"/>
        </w:rPr>
        <w:t>编制12人</w:t>
      </w:r>
      <w:r>
        <w:rPr>
          <w:rFonts w:hint="eastAsia" w:ascii="仿宋" w:hAnsi="仿宋" w:eastAsia="仿宋" w:cs="仿宋"/>
          <w:color w:val="000000"/>
          <w:sz w:val="32"/>
          <w:szCs w:val="32"/>
          <w:shd w:val="clear" w:color="auto" w:fill="FFFFFF"/>
          <w:lang w:eastAsia="zh-CN"/>
        </w:rPr>
        <w:t>，202</w:t>
      </w:r>
      <w:r>
        <w:rPr>
          <w:rFonts w:hint="eastAsia" w:ascii="仿宋" w:hAnsi="仿宋" w:eastAsia="仿宋" w:cs="仿宋"/>
          <w:color w:val="000000"/>
          <w:sz w:val="32"/>
          <w:szCs w:val="32"/>
          <w:shd w:val="clear" w:color="auto" w:fill="FFFFFF"/>
          <w:lang w:val="en-US" w:eastAsia="zh-CN"/>
        </w:rPr>
        <w:t>2年末实</w:t>
      </w:r>
      <w:r>
        <w:rPr>
          <w:rFonts w:hint="eastAsia" w:ascii="仿宋" w:hAnsi="仿宋" w:eastAsia="仿宋" w:cs="仿宋"/>
          <w:color w:val="000000"/>
          <w:sz w:val="32"/>
          <w:szCs w:val="32"/>
          <w:shd w:val="clear" w:color="auto" w:fill="FFFFFF"/>
          <w:lang w:eastAsia="zh-CN"/>
        </w:rPr>
        <w:t>有工作人员</w:t>
      </w:r>
      <w:r>
        <w:rPr>
          <w:rFonts w:hint="eastAsia" w:ascii="仿宋" w:hAnsi="仿宋" w:eastAsia="仿宋" w:cs="仿宋"/>
          <w:color w:val="000000"/>
          <w:sz w:val="32"/>
          <w:szCs w:val="32"/>
          <w:shd w:val="clear" w:color="auto" w:fill="FFFFFF"/>
          <w:lang w:val="en-US" w:eastAsia="zh-CN"/>
        </w:rPr>
        <w:t>20人，其中：</w:t>
      </w:r>
      <w:r>
        <w:rPr>
          <w:rFonts w:hint="eastAsia" w:ascii="仿宋" w:hAnsi="仿宋" w:eastAsia="仿宋" w:cs="仿宋"/>
          <w:color w:val="000000"/>
          <w:sz w:val="32"/>
          <w:szCs w:val="32"/>
          <w:shd w:val="clear" w:color="auto" w:fill="FFFFFF"/>
        </w:rPr>
        <w:t>在编在职1</w:t>
      </w:r>
      <w:r>
        <w:rPr>
          <w:rFonts w:hint="eastAsia" w:ascii="仿宋" w:hAnsi="仿宋" w:eastAsia="仿宋" w:cs="仿宋"/>
          <w:color w:val="000000"/>
          <w:sz w:val="32"/>
          <w:szCs w:val="32"/>
          <w:shd w:val="clear" w:color="auto" w:fill="FFFFFF"/>
          <w:lang w:val="en-US" w:eastAsia="zh-CN"/>
        </w:rPr>
        <w:t>1</w:t>
      </w:r>
      <w:r>
        <w:rPr>
          <w:rFonts w:hint="eastAsia" w:ascii="仿宋" w:hAnsi="仿宋" w:eastAsia="仿宋" w:cs="仿宋"/>
          <w:color w:val="000000"/>
          <w:sz w:val="32"/>
          <w:szCs w:val="32"/>
          <w:shd w:val="clear" w:color="auto" w:fill="FFFFFF"/>
        </w:rPr>
        <w:t>人，挂职领导1</w:t>
      </w:r>
      <w:r>
        <w:rPr>
          <w:rFonts w:hint="eastAsia" w:ascii="仿宋" w:hAnsi="仿宋" w:eastAsia="仿宋" w:cs="仿宋"/>
          <w:color w:val="000000"/>
          <w:sz w:val="32"/>
          <w:szCs w:val="32"/>
          <w:shd w:val="clear" w:color="auto" w:fill="FFFFFF"/>
          <w:lang w:eastAsia="zh-CN"/>
        </w:rPr>
        <w:t>人</w:t>
      </w:r>
      <w:r>
        <w:rPr>
          <w:rFonts w:hint="eastAsia" w:ascii="仿宋" w:hAnsi="仿宋" w:eastAsia="仿宋" w:cs="仿宋"/>
          <w:color w:val="000000"/>
          <w:sz w:val="32"/>
          <w:szCs w:val="32"/>
          <w:shd w:val="clear" w:color="auto" w:fill="FFFFFF"/>
        </w:rPr>
        <w:t>，</w:t>
      </w:r>
      <w:r>
        <w:rPr>
          <w:rFonts w:hint="eastAsia" w:ascii="仿宋" w:hAnsi="仿宋" w:eastAsia="仿宋" w:cs="仿宋"/>
          <w:sz w:val="32"/>
          <w:szCs w:val="32"/>
          <w:lang w:eastAsia="zh-CN"/>
        </w:rPr>
        <w:t>借调</w:t>
      </w:r>
      <w:r>
        <w:rPr>
          <w:rFonts w:hint="eastAsia" w:ascii="仿宋" w:hAnsi="仿宋" w:eastAsia="仿宋" w:cs="仿宋"/>
          <w:sz w:val="32"/>
          <w:szCs w:val="32"/>
          <w:lang w:val="en-US" w:eastAsia="zh-CN"/>
        </w:rPr>
        <w:t>4人，</w:t>
      </w:r>
      <w:r>
        <w:rPr>
          <w:rFonts w:hint="eastAsia" w:ascii="仿宋" w:hAnsi="仿宋" w:eastAsia="仿宋" w:cs="仿宋"/>
          <w:sz w:val="32"/>
          <w:szCs w:val="32"/>
          <w:lang w:eastAsia="zh-CN"/>
        </w:rPr>
        <w:t>劳务派遣</w:t>
      </w:r>
      <w:r>
        <w:rPr>
          <w:rFonts w:hint="eastAsia" w:ascii="仿宋" w:hAnsi="仿宋" w:eastAsia="仿宋" w:cs="仿宋"/>
          <w:sz w:val="32"/>
          <w:szCs w:val="32"/>
        </w:rPr>
        <w:t>4</w:t>
      </w:r>
      <w:r>
        <w:rPr>
          <w:rFonts w:hint="eastAsia" w:ascii="仿宋" w:hAnsi="仿宋" w:eastAsia="仿宋" w:cs="仿宋"/>
          <w:sz w:val="32"/>
          <w:szCs w:val="32"/>
          <w:lang w:eastAsia="zh-CN"/>
        </w:rPr>
        <w:t>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二、</w:t>
      </w:r>
      <w:r>
        <w:rPr>
          <w:rFonts w:hint="eastAsia" w:ascii="黑体" w:hAnsi="黑体" w:eastAsia="黑体" w:cs="黑体"/>
          <w:sz w:val="32"/>
          <w:szCs w:val="32"/>
          <w:lang w:eastAsia="zh-CN"/>
        </w:rPr>
        <w:t>预算单位</w:t>
      </w:r>
      <w:r>
        <w:rPr>
          <w:rFonts w:hint="default" w:ascii="黑体" w:hAnsi="黑体" w:eastAsia="黑体" w:cs="黑体"/>
          <w:sz w:val="32"/>
          <w:szCs w:val="32"/>
          <w:lang w:eastAsia="zh-CN"/>
        </w:rPr>
        <w:t>财政支出情况</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eastAsia="zh-CN"/>
        </w:rPr>
        <w:t>单位财政资金收入情况</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2022年区土地房屋征收中心一般公共预算收入为</w:t>
      </w:r>
      <w:r>
        <w:rPr>
          <w:rFonts w:hint="eastAsia" w:ascii="仿宋" w:hAnsi="仿宋" w:eastAsia="仿宋" w:cs="仿宋"/>
          <w:color w:val="000000"/>
          <w:sz w:val="32"/>
          <w:szCs w:val="32"/>
          <w:shd w:val="clear" w:color="auto" w:fill="FFFFFF"/>
          <w:lang w:val="en-US" w:eastAsia="zh-CN"/>
        </w:rPr>
        <w:t>174.19万元。2022年</w:t>
      </w:r>
      <w:r>
        <w:rPr>
          <w:rFonts w:hint="eastAsia" w:ascii="仿宋" w:hAnsi="仿宋" w:eastAsia="仿宋" w:cs="仿宋"/>
          <w:color w:val="000000"/>
          <w:sz w:val="32"/>
          <w:szCs w:val="32"/>
          <w:shd w:val="clear" w:color="auto" w:fill="FFFFFF"/>
          <w:lang w:eastAsia="zh-CN"/>
        </w:rPr>
        <w:t>财政决算收入总额为</w:t>
      </w:r>
      <w:r>
        <w:rPr>
          <w:rFonts w:hint="eastAsia" w:ascii="仿宋" w:hAnsi="仿宋" w:eastAsia="仿宋" w:cs="仿宋"/>
          <w:color w:val="000000"/>
          <w:sz w:val="32"/>
          <w:szCs w:val="32"/>
          <w:shd w:val="clear" w:color="auto" w:fill="FFFFFF"/>
          <w:lang w:val="en-US" w:eastAsia="zh-CN"/>
        </w:rPr>
        <w:t>438</w:t>
      </w:r>
      <w:r>
        <w:rPr>
          <w:rFonts w:hint="eastAsia" w:ascii="仿宋" w:hAnsi="仿宋" w:eastAsia="仿宋" w:cs="仿宋"/>
          <w:color w:val="000000"/>
          <w:sz w:val="32"/>
          <w:szCs w:val="32"/>
          <w:shd w:val="clear" w:color="auto" w:fill="FFFFFF"/>
          <w:lang w:eastAsia="zh-CN"/>
        </w:rPr>
        <w:t>.77万元，其中：当年财政一般公共预算拨款收入174.19万元、财政其他拨款收入205万元、上年结转收入59.58万元。</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color w:val="000000"/>
          <w:sz w:val="32"/>
          <w:szCs w:val="32"/>
          <w:shd w:val="clear" w:color="auto" w:fill="FFFFFF"/>
          <w:lang w:val="en-US" w:eastAsia="zh-CN"/>
        </w:rPr>
      </w:pPr>
      <w:r>
        <w:rPr>
          <w:rFonts w:hint="default" w:ascii="楷体_GB2312" w:hAnsi="楷体_GB2312" w:eastAsia="楷体_GB2312" w:cs="楷体_GB2312"/>
          <w:sz w:val="32"/>
          <w:szCs w:val="32"/>
          <w:lang w:eastAsia="zh-CN"/>
        </w:rPr>
        <w:t>（</w:t>
      </w:r>
      <w:r>
        <w:rPr>
          <w:rFonts w:hint="eastAsia" w:ascii="楷体_GB2312" w:hAnsi="楷体_GB2312" w:eastAsia="楷体_GB2312" w:cs="楷体_GB2312"/>
          <w:sz w:val="32"/>
          <w:szCs w:val="32"/>
          <w:lang w:eastAsia="zh-CN"/>
        </w:rPr>
        <w:t>二</w:t>
      </w:r>
      <w:r>
        <w:rPr>
          <w:rFonts w:hint="default" w:ascii="楷体_GB2312" w:hAnsi="楷体_GB2312" w:eastAsia="楷体_GB2312" w:cs="楷体_GB2312"/>
          <w:sz w:val="32"/>
          <w:szCs w:val="32"/>
          <w:lang w:eastAsia="zh-CN"/>
        </w:rPr>
        <w:t>）</w:t>
      </w:r>
      <w:r>
        <w:rPr>
          <w:rFonts w:hint="eastAsia" w:ascii="楷体_GB2312" w:hAnsi="楷体_GB2312" w:eastAsia="楷体_GB2312" w:cs="楷体_GB2312"/>
          <w:sz w:val="32"/>
          <w:szCs w:val="32"/>
          <w:lang w:eastAsia="zh-CN"/>
        </w:rPr>
        <w:t>单位财政资金支出情况</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lang w:eastAsia="zh-CN"/>
        </w:rPr>
        <w:t>022年区土地房屋征收中心安排的一般公共预算支出为</w:t>
      </w:r>
      <w:r>
        <w:rPr>
          <w:rFonts w:hint="eastAsia" w:ascii="仿宋" w:hAnsi="仿宋" w:eastAsia="仿宋" w:cs="仿宋"/>
          <w:color w:val="000000"/>
          <w:sz w:val="32"/>
          <w:szCs w:val="32"/>
          <w:shd w:val="clear" w:color="auto" w:fill="FFFFFF"/>
          <w:lang w:val="en-US" w:eastAsia="zh-CN"/>
        </w:rPr>
        <w:t>174.19万元，其中：基本支出174.19万元，项目支出0万元。2022年</w:t>
      </w:r>
      <w:r>
        <w:rPr>
          <w:rFonts w:hint="eastAsia" w:ascii="仿宋" w:hAnsi="仿宋" w:eastAsia="仿宋" w:cs="仿宋"/>
          <w:color w:val="000000"/>
          <w:sz w:val="32"/>
          <w:szCs w:val="32"/>
          <w:shd w:val="clear" w:color="auto" w:fill="FFFFFF"/>
          <w:lang w:eastAsia="zh-CN"/>
        </w:rPr>
        <w:t>财政决算支出总额为</w:t>
      </w:r>
      <w:r>
        <w:rPr>
          <w:rFonts w:hint="eastAsia" w:ascii="仿宋" w:hAnsi="仿宋" w:eastAsia="仿宋" w:cs="仿宋"/>
          <w:color w:val="000000"/>
          <w:sz w:val="32"/>
          <w:szCs w:val="32"/>
          <w:shd w:val="clear" w:color="auto" w:fill="FFFFFF"/>
          <w:lang w:val="en-US" w:eastAsia="zh-CN"/>
        </w:rPr>
        <w:t>433.63</w:t>
      </w:r>
      <w:r>
        <w:rPr>
          <w:rFonts w:hint="eastAsia" w:ascii="仿宋" w:hAnsi="仿宋" w:eastAsia="仿宋" w:cs="仿宋"/>
          <w:color w:val="000000"/>
          <w:sz w:val="32"/>
          <w:szCs w:val="32"/>
          <w:shd w:val="clear" w:color="auto" w:fill="FFFFFF"/>
          <w:lang w:eastAsia="zh-CN"/>
        </w:rPr>
        <w:t>万元，其中：当年财政一般公共预算基本支出为</w:t>
      </w:r>
      <w:r>
        <w:rPr>
          <w:rFonts w:hint="eastAsia" w:ascii="仿宋" w:hAnsi="仿宋" w:eastAsia="仿宋" w:cs="仿宋"/>
          <w:color w:val="000000"/>
          <w:sz w:val="32"/>
          <w:szCs w:val="32"/>
          <w:shd w:val="clear" w:color="auto" w:fill="FFFFFF"/>
          <w:lang w:val="en-US" w:eastAsia="zh-CN"/>
        </w:rPr>
        <w:t>169.05</w:t>
      </w:r>
      <w:r>
        <w:rPr>
          <w:rFonts w:hint="eastAsia" w:ascii="仿宋" w:hAnsi="仿宋" w:eastAsia="仿宋" w:cs="仿宋"/>
          <w:color w:val="000000"/>
          <w:sz w:val="32"/>
          <w:szCs w:val="32"/>
          <w:shd w:val="clear" w:color="auto" w:fill="FFFFFF"/>
          <w:lang w:eastAsia="zh-CN"/>
        </w:rPr>
        <w:t>万元</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eastAsia="zh-CN"/>
        </w:rPr>
        <w:t>财政其他拨款基本支出</w:t>
      </w:r>
      <w:r>
        <w:rPr>
          <w:rFonts w:hint="eastAsia" w:ascii="仿宋" w:hAnsi="仿宋" w:eastAsia="仿宋" w:cs="仿宋"/>
          <w:color w:val="000000"/>
          <w:sz w:val="32"/>
          <w:szCs w:val="32"/>
          <w:shd w:val="clear" w:color="auto" w:fill="FFFFFF"/>
          <w:lang w:val="en-US" w:eastAsia="zh-CN"/>
        </w:rPr>
        <w:t>5万元、</w:t>
      </w:r>
      <w:r>
        <w:rPr>
          <w:rFonts w:hint="eastAsia" w:ascii="仿宋" w:hAnsi="仿宋" w:eastAsia="仿宋" w:cs="仿宋"/>
          <w:color w:val="000000"/>
          <w:sz w:val="32"/>
          <w:szCs w:val="32"/>
          <w:shd w:val="clear" w:color="auto" w:fill="FFFFFF"/>
          <w:lang w:eastAsia="zh-CN"/>
        </w:rPr>
        <w:t>项目支出</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lang w:eastAsia="zh-CN"/>
        </w:rPr>
        <w:t>59.58万元（其中上年结转</w:t>
      </w:r>
      <w:r>
        <w:rPr>
          <w:rFonts w:hint="eastAsia" w:ascii="仿宋" w:hAnsi="仿宋" w:eastAsia="仿宋" w:cs="仿宋"/>
          <w:color w:val="000000"/>
          <w:sz w:val="32"/>
          <w:szCs w:val="32"/>
          <w:shd w:val="clear" w:color="auto" w:fill="FFFFFF"/>
          <w:lang w:val="en-US" w:eastAsia="zh-CN"/>
        </w:rPr>
        <w:t>59.58万元</w:t>
      </w:r>
      <w:r>
        <w:rPr>
          <w:rFonts w:hint="eastAsia" w:ascii="仿宋" w:hAnsi="仿宋" w:eastAsia="仿宋" w:cs="仿宋"/>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部门整体预算绩效管理情况</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eastAsia="zh-CN"/>
        </w:rPr>
        <w:t>部门预算项目绩效管理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val="en-US" w:eastAsia="zh-CN"/>
        </w:rPr>
        <w:t>1.</w:t>
      </w:r>
      <w:r>
        <w:rPr>
          <w:rFonts w:hint="eastAsia" w:ascii="仿宋" w:hAnsi="仿宋" w:eastAsia="仿宋" w:cs="仿宋"/>
          <w:color w:val="000000"/>
          <w:sz w:val="32"/>
          <w:szCs w:val="32"/>
          <w:shd w:val="clear" w:color="auto" w:fill="FFFFFF"/>
          <w:lang w:eastAsia="zh-CN"/>
        </w:rPr>
        <w:t>绩效目标制定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我中心依据区委区政府下达的年度综合目标任务及中心职能职责，从产出指标、效益指标、满意度指标三个维度制定了完整详细的绩效目标，全面实现了要素完整、指标细化量化的基本要求，并在主任办公会上讨论通，绩效目标具体如下：</w:t>
      </w:r>
    </w:p>
    <w:tbl>
      <w:tblPr>
        <w:tblStyle w:val="15"/>
        <w:tblW w:w="87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3"/>
        <w:gridCol w:w="1110"/>
        <w:gridCol w:w="1740"/>
        <w:gridCol w:w="2865"/>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年度总体目标</w:t>
            </w:r>
          </w:p>
        </w:tc>
        <w:tc>
          <w:tcPr>
            <w:tcW w:w="771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    为全区各项目建设做好用地要素保障，按时完成辖区内土地征收工作，保障项目用地需求，及时支付补偿款及办理人员安置，保护失地农民合法利益。一是保障单位正常运转，按时支付人员工资，按时缴纳保险，按时支付保障单位正常运转所产生的水、电、维修、办公等费用；二是完成区委区政府下达的2022年目标任务；三是做好广绵高速、焦化棚改、郦阳城、点亮智慧科技园、家居产业城智慧物流园、广南高速柏林沟互通、宝红路扩建、昭化至毕家营220KV电力线路、白果风电二期、卫子镇王家贡米精加工厂等项目土地房屋征收工作；四是完成区委区政府安排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年度绩效指标</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一级指标</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二级指标</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三级指标</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 w:hAnsi="仿宋" w:eastAsia="仿宋" w:cs="仿宋"/>
                <w:i w:val="0"/>
                <w:iCs w:val="0"/>
                <w:color w:val="000000"/>
                <w:sz w:val="28"/>
                <w:szCs w:val="28"/>
                <w:u w:val="none"/>
              </w:rPr>
            </w:pPr>
          </w:p>
        </w:tc>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产出指标</w:t>
            </w:r>
          </w:p>
        </w:tc>
        <w:tc>
          <w:tcPr>
            <w:tcW w:w="17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数量指标</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拆迁项目数量</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 w:hAnsi="仿宋" w:eastAsia="仿宋" w:cs="仿宋"/>
                <w:i w:val="0"/>
                <w:iCs w:val="0"/>
                <w:color w:val="000000"/>
                <w:sz w:val="28"/>
                <w:szCs w:val="2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 w:hAnsi="仿宋" w:eastAsia="仿宋" w:cs="仿宋"/>
                <w:i w:val="0"/>
                <w:iCs w:val="0"/>
                <w:color w:val="000000"/>
                <w:sz w:val="28"/>
                <w:szCs w:val="2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 w:hAnsi="仿宋" w:eastAsia="仿宋" w:cs="仿宋"/>
                <w:i w:val="0"/>
                <w:iCs w:val="0"/>
                <w:color w:val="000000"/>
                <w:sz w:val="28"/>
                <w:szCs w:val="28"/>
                <w:u w:val="none"/>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在编人员数</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 w:hAnsi="仿宋" w:eastAsia="仿宋" w:cs="仿宋"/>
                <w:i w:val="0"/>
                <w:iCs w:val="0"/>
                <w:color w:val="000000"/>
                <w:sz w:val="28"/>
                <w:szCs w:val="2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 w:hAnsi="仿宋" w:eastAsia="仿宋" w:cs="仿宋"/>
                <w:i w:val="0"/>
                <w:iCs w:val="0"/>
                <w:color w:val="000000"/>
                <w:sz w:val="28"/>
                <w:szCs w:val="28"/>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质量指标</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项目用地保障率</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 w:hAnsi="仿宋" w:eastAsia="仿宋" w:cs="仿宋"/>
                <w:i w:val="0"/>
                <w:iCs w:val="0"/>
                <w:color w:val="000000"/>
                <w:sz w:val="28"/>
                <w:szCs w:val="2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 w:hAnsi="仿宋" w:eastAsia="仿宋" w:cs="仿宋"/>
                <w:i w:val="0"/>
                <w:iCs w:val="0"/>
                <w:color w:val="000000"/>
                <w:sz w:val="28"/>
                <w:szCs w:val="28"/>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时效指标</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拆迁项目完成及时率</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 w:hAnsi="仿宋" w:eastAsia="仿宋" w:cs="仿宋"/>
                <w:i w:val="0"/>
                <w:iCs w:val="0"/>
                <w:color w:val="000000"/>
                <w:sz w:val="28"/>
                <w:szCs w:val="2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 w:hAnsi="仿宋" w:eastAsia="仿宋" w:cs="仿宋"/>
                <w:i w:val="0"/>
                <w:iCs w:val="0"/>
                <w:color w:val="000000"/>
                <w:sz w:val="28"/>
                <w:szCs w:val="28"/>
                <w:u w:val="none"/>
              </w:rPr>
            </w:pPr>
          </w:p>
        </w:tc>
        <w:tc>
          <w:tcPr>
            <w:tcW w:w="17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成本指标</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人员经费</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 w:hAnsi="仿宋" w:eastAsia="仿宋" w:cs="仿宋"/>
                <w:i w:val="0"/>
                <w:iCs w:val="0"/>
                <w:color w:val="000000"/>
                <w:sz w:val="28"/>
                <w:szCs w:val="2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 w:hAnsi="仿宋" w:eastAsia="仿宋" w:cs="仿宋"/>
                <w:i w:val="0"/>
                <w:iCs w:val="0"/>
                <w:color w:val="000000"/>
                <w:sz w:val="28"/>
                <w:szCs w:val="2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 w:hAnsi="仿宋" w:eastAsia="仿宋" w:cs="仿宋"/>
                <w:i w:val="0"/>
                <w:iCs w:val="0"/>
                <w:color w:val="000000"/>
                <w:sz w:val="28"/>
                <w:szCs w:val="28"/>
                <w:u w:val="none"/>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日常公用经费</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 w:hAnsi="仿宋" w:eastAsia="仿宋" w:cs="仿宋"/>
                <w:i w:val="0"/>
                <w:iCs w:val="0"/>
                <w:color w:val="000000"/>
                <w:sz w:val="28"/>
                <w:szCs w:val="2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 w:hAnsi="仿宋" w:eastAsia="仿宋" w:cs="仿宋"/>
                <w:i w:val="0"/>
                <w:iCs w:val="0"/>
                <w:color w:val="000000"/>
                <w:sz w:val="28"/>
                <w:szCs w:val="2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left"/>
              <w:rPr>
                <w:rFonts w:hint="eastAsia" w:ascii="仿宋" w:hAnsi="仿宋" w:eastAsia="仿宋" w:cs="仿宋"/>
                <w:i w:val="0"/>
                <w:iCs w:val="0"/>
                <w:color w:val="000000"/>
                <w:sz w:val="28"/>
                <w:szCs w:val="28"/>
                <w:u w:val="none"/>
              </w:rPr>
            </w:pP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征拆工作经费</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 w:hAnsi="仿宋" w:eastAsia="仿宋" w:cs="仿宋"/>
                <w:i w:val="0"/>
                <w:iCs w:val="0"/>
                <w:color w:val="000000"/>
                <w:sz w:val="28"/>
                <w:szCs w:val="28"/>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效益指标</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社会效益指标</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做好棚改等民生项目用地征收工作，改善人居环境</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定性好坏项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 w:hAnsi="仿宋" w:eastAsia="仿宋" w:cs="仿宋"/>
                <w:i w:val="0"/>
                <w:iCs w:val="0"/>
                <w:color w:val="000000"/>
                <w:sz w:val="28"/>
                <w:szCs w:val="28"/>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满意度指标</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服务对象满意度指标</w:t>
            </w:r>
          </w:p>
        </w:tc>
        <w:tc>
          <w:tcPr>
            <w:tcW w:w="2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被征收对象及单位职工满意度</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lang w:eastAsia="zh-CN"/>
        </w:rPr>
      </w:pP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lang w:eastAsia="zh-CN"/>
        </w:rPr>
        <w:t>目标实现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员类预算经费包括基本工资、津贴补贴、绩效工资、目标奖励、养老保险、医疗保险、失业保险、工伤保险、住房公积金。按照成本可控、职工满意等绩效目标要求及财政总体安排，我中心均按月足额发放人员工资，及时办理人员“五险二金”缴纳。截止12月31日，我中心严格控制人员经费成本，不存在多付、少付、晚付人员经费等情况，单位职工满意度为100%，圆满完成了人员经费的绩效目标任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转类预算经费包括单位定额公用经费及征拆工作经费，主要用于保障单位运转及工作开展的水电、办公、打印、差旅等费用支出，费用支出以绩效目标为导向，严格把控成本、及时合理支付费用，圆满完成绩效目标任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lang w:eastAsia="zh-CN"/>
        </w:rPr>
      </w:pP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lang w:eastAsia="zh-CN"/>
        </w:rPr>
        <w:t>支出控制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rPr>
      </w:pPr>
      <w:r>
        <w:rPr>
          <w:rFonts w:hint="eastAsia" w:ascii="仿宋" w:hAnsi="仿宋" w:eastAsia="仿宋" w:cs="仿宋"/>
          <w:sz w:val="32"/>
          <w:szCs w:val="32"/>
          <w:lang w:val="en-US" w:eastAsia="zh-CN"/>
        </w:rPr>
        <w:t>通过预算数与决算数对比，公用经费相关科目偏差度如下：</w:t>
      </w:r>
    </w:p>
    <w:tbl>
      <w:tblPr>
        <w:tblStyle w:val="15"/>
        <w:tblW w:w="86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21"/>
        <w:gridCol w:w="1830"/>
        <w:gridCol w:w="171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科目</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预算数</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决算数</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偏差度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办公费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42428.72</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印刷费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22147</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水费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2664</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9800</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邮电费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4200</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物业管理费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5520</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咨询费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差旅费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47684</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维修护费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14522.74</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租赁费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13820</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公务接待费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1306</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劳务费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64204</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工会经费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57000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57000</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其他交通费用</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21869.13</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其他商品和服务支出</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130454.41</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会议费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330</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培训费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手续费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1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合计</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438000</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438000</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按照权重不同综合计算，预决算偏差度为：16.94%</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lang w:eastAsia="zh-CN"/>
        </w:rPr>
        <w:t>及时处置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我中心</w:t>
      </w:r>
      <w:r>
        <w:rPr>
          <w:rFonts w:hint="eastAsia" w:ascii="仿宋" w:hAnsi="仿宋" w:eastAsia="仿宋" w:cs="仿宋"/>
          <w:sz w:val="32"/>
          <w:szCs w:val="32"/>
        </w:rPr>
        <w:t>部门绩效监控调整取消额与结余注销额</w:t>
      </w:r>
      <w:r>
        <w:rPr>
          <w:rFonts w:hint="eastAsia" w:ascii="仿宋" w:hAnsi="仿宋" w:eastAsia="仿宋" w:cs="仿宋"/>
          <w:sz w:val="32"/>
          <w:szCs w:val="32"/>
          <w:lang w:eastAsia="zh-CN"/>
        </w:rPr>
        <w:t>均为零</w:t>
      </w:r>
      <w:r>
        <w:rPr>
          <w:rFonts w:hint="eastAsia" w:ascii="仿宋" w:hAnsi="仿宋" w:eastAsia="仿宋" w:cs="仿宋"/>
          <w:color w:val="00000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val="en-US" w:eastAsia="zh-CN"/>
        </w:rPr>
        <w:t>5.</w:t>
      </w:r>
      <w:r>
        <w:rPr>
          <w:rFonts w:hint="eastAsia" w:ascii="仿宋" w:hAnsi="仿宋" w:eastAsia="仿宋" w:cs="仿宋"/>
          <w:color w:val="000000"/>
          <w:sz w:val="32"/>
          <w:szCs w:val="32"/>
          <w:shd w:val="clear" w:color="auto" w:fill="FFFFFF"/>
          <w:lang w:eastAsia="zh-CN"/>
        </w:rPr>
        <w:t>执行进度</w:t>
      </w:r>
    </w:p>
    <w:tbl>
      <w:tblPr>
        <w:tblStyle w:val="15"/>
        <w:tblW w:w="87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7"/>
        <w:gridCol w:w="1215"/>
        <w:gridCol w:w="1305"/>
        <w:gridCol w:w="1035"/>
        <w:gridCol w:w="1380"/>
        <w:gridCol w:w="1245"/>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777"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预算执行进度表（单位：万元）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7" w:type="dxa"/>
            <w:vMerge w:val="restar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32"/>
                <w:szCs w:val="32"/>
                <w:u w:val="none"/>
              </w:rPr>
            </w:pPr>
          </w:p>
        </w:tc>
        <w:tc>
          <w:tcPr>
            <w:tcW w:w="252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人员经费</w:t>
            </w:r>
          </w:p>
        </w:tc>
        <w:tc>
          <w:tcPr>
            <w:tcW w:w="24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日常公用经费</w:t>
            </w:r>
          </w:p>
        </w:tc>
        <w:tc>
          <w:tcPr>
            <w:tcW w:w="27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7" w:type="dxa"/>
            <w:vMerge w:val="continue"/>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32"/>
                <w:szCs w:val="32"/>
                <w:u w:val="none"/>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金额</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进度</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金额</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进度</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金额</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7"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预算</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130.39</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43.8</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174.19</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6月</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64.42</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49.41%</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16.43</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37.51%</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80.85</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46.41%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9月</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101.51</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77.85%</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25.61</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58.47%</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127.12</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72.98%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11月</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106.5</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81.68%</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38.09</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86.96%</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144.59</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83.01%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如上表，我中心预算执行进度符合量化指标要求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val="en-US" w:eastAsia="zh-CN"/>
        </w:rPr>
        <w:t>6.</w:t>
      </w:r>
      <w:r>
        <w:rPr>
          <w:rFonts w:hint="eastAsia" w:ascii="仿宋" w:hAnsi="仿宋" w:eastAsia="仿宋" w:cs="仿宋"/>
          <w:color w:val="000000"/>
          <w:sz w:val="32"/>
          <w:szCs w:val="32"/>
          <w:shd w:val="clear" w:color="auto" w:fill="FFFFFF"/>
          <w:lang w:eastAsia="zh-CN"/>
        </w:rPr>
        <w:t>预算完成情况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本单位年初预算收入执行总额为233.77万元，其中：当年财政拨款收入174.19万元，事业收入0万元，其他收入0万元，上年结转收入59.58万元；2022年本单位年初预算支出执行总额为228.63万元，其中：当年一般公共预算财政拨款支出169.05万元,政府性基金预算财政拨款支出为0万元，上年结转59.58万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val="en-US" w:eastAsia="zh-CN"/>
        </w:rPr>
        <w:t>7.</w:t>
      </w:r>
      <w:r>
        <w:rPr>
          <w:rFonts w:hint="eastAsia" w:ascii="仿宋" w:hAnsi="仿宋" w:eastAsia="仿宋" w:cs="仿宋"/>
          <w:color w:val="000000"/>
          <w:sz w:val="32"/>
          <w:szCs w:val="32"/>
          <w:shd w:val="clear" w:color="auto" w:fill="FFFFFF"/>
          <w:lang w:eastAsia="zh-CN"/>
        </w:rPr>
        <w:t>资金结余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我单位预算金额为233.77万元，预算执行金额为228.63万元，指标结转金额为5.14万元，资金结余率为0.02。资金结余的主要原因为机关事业单位养老保险财政预算基数与社保缴纳基础不同,导致预算金额大于实际缴纳金额。</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val="en-US" w:eastAsia="zh-CN"/>
        </w:rPr>
        <w:t>8.</w:t>
      </w:r>
      <w:r>
        <w:rPr>
          <w:rFonts w:hint="eastAsia" w:ascii="仿宋" w:hAnsi="仿宋" w:eastAsia="仿宋" w:cs="仿宋"/>
          <w:color w:val="000000"/>
          <w:sz w:val="32"/>
          <w:szCs w:val="32"/>
          <w:shd w:val="clear" w:color="auto" w:fill="FFFFFF"/>
          <w:lang w:eastAsia="zh-CN"/>
        </w:rPr>
        <w:t>违规记录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无。</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结果应用公开情况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内部应用：我中心制定了《财政预算绩效及征收项目绩效管理制度及考核办法》，根据单位年度总体绩效目标，按照内设股室的分工不同，我单位对内设的各股室设定了绩效目标，制定了相匹配的考核办法，并在年终考核汇总后，成为单位绩效目标完成情况自评的基础。</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2.自评公开：按区财政局统一安排，我中心将相关绩效信息随同决算公开已在区政府门户网站进行了公开。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3.问题整改:根据上年度第三方绩效评价提出的公务卡使用率低的情况,我中心在2022年坚决按照非现金,公务卡优先结账支付的原则，加大了公务卡使用力度，大大提高了公务卡使用率。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lang w:val="en-US" w:eastAsia="zh-CN"/>
        </w:rPr>
      </w:pPr>
      <w:r>
        <w:rPr>
          <w:rFonts w:hint="eastAsia" w:ascii="仿宋" w:hAnsi="仿宋" w:eastAsia="仿宋" w:cs="仿宋"/>
          <w:sz w:val="32"/>
          <w:szCs w:val="32"/>
          <w:lang w:val="en-US" w:eastAsia="zh-CN"/>
        </w:rPr>
        <w:t>4.应用反馈:根据自评及第三方现场评价发现的问题及情况，我中心及时进行了完善整改，目前单位绩效目标设置合理规范，绩效管理高效有序，绩效运行监督机制运行流畅。</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（三）</w:t>
      </w:r>
      <w:r>
        <w:rPr>
          <w:rFonts w:hint="eastAsia" w:ascii="楷体_GB2312" w:hAnsi="楷体_GB2312" w:eastAsia="楷体_GB2312" w:cs="楷体_GB2312"/>
          <w:sz w:val="32"/>
          <w:szCs w:val="32"/>
          <w:lang w:eastAsia="zh-CN"/>
        </w:rPr>
        <w:t>自评质量</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eastAsia="zh-CN"/>
        </w:rPr>
        <w:t>我中心依据</w:t>
      </w:r>
      <w:r>
        <w:rPr>
          <w:rFonts w:hint="eastAsia" w:ascii="仿宋" w:hAnsi="仿宋" w:eastAsia="仿宋" w:cs="仿宋"/>
          <w:color w:val="000000"/>
          <w:sz w:val="32"/>
          <w:szCs w:val="32"/>
          <w:shd w:val="clear" w:color="auto" w:fill="FFFFFF"/>
          <w:lang w:val="en-US" w:eastAsia="zh-CN"/>
        </w:rPr>
        <w:t>2022年单位预算收支执行情况及单位绩效目标的实现过程及完成情况，结合区委区政府综合目标任务的完成情况对单位绩效工作做了合理准确的自评。</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eastAsia="zh-CN"/>
        </w:rPr>
        <w:t>部门整体预算绩效管理情况</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w:t>
      </w:r>
      <w:r>
        <w:rPr>
          <w:rFonts w:hint="default" w:ascii="楷体_GB2312" w:hAnsi="楷体_GB2312" w:eastAsia="楷体_GB2312" w:cs="楷体_GB2312"/>
          <w:sz w:val="32"/>
          <w:szCs w:val="32"/>
          <w:lang w:eastAsia="zh-CN"/>
        </w:rPr>
        <w:t>自评</w:t>
      </w:r>
      <w:r>
        <w:rPr>
          <w:rFonts w:hint="default" w:ascii="楷体_GB2312" w:hAnsi="楷体_GB2312" w:eastAsia="楷体_GB2312" w:cs="楷体_GB2312"/>
          <w:sz w:val="32"/>
          <w:szCs w:val="32"/>
        </w:rPr>
        <w:t>结论</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202</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rPr>
        <w:t>年我</w:t>
      </w:r>
      <w:r>
        <w:rPr>
          <w:rFonts w:hint="eastAsia" w:ascii="仿宋" w:hAnsi="仿宋" w:eastAsia="仿宋" w:cs="仿宋"/>
          <w:color w:val="000000"/>
          <w:sz w:val="32"/>
          <w:szCs w:val="32"/>
          <w:shd w:val="clear" w:color="auto" w:fill="FFFFFF"/>
          <w:lang w:eastAsia="zh-CN"/>
        </w:rPr>
        <w:t>单位</w:t>
      </w:r>
      <w:r>
        <w:rPr>
          <w:rFonts w:hint="eastAsia" w:ascii="仿宋" w:hAnsi="仿宋" w:eastAsia="仿宋" w:cs="仿宋"/>
          <w:color w:val="000000"/>
          <w:sz w:val="32"/>
          <w:szCs w:val="32"/>
          <w:shd w:val="clear" w:color="auto" w:fill="FFFFFF"/>
        </w:rPr>
        <w:t>部门整体支出绩效评价自查自评结果良好，全年基本支出保证了单位的正常运行和日常工作的正常开展，达到预期绩效目标。</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（二）存在</w:t>
      </w:r>
      <w:r>
        <w:rPr>
          <w:rFonts w:hint="eastAsia" w:ascii="楷体_GB2312" w:hAnsi="楷体_GB2312" w:eastAsia="楷体_GB2312" w:cs="楷体_GB2312"/>
          <w:sz w:val="32"/>
          <w:szCs w:val="32"/>
          <w:lang w:eastAsia="zh-CN"/>
        </w:rPr>
        <w:t>的</w:t>
      </w:r>
      <w:r>
        <w:rPr>
          <w:rFonts w:hint="default" w:ascii="楷体_GB2312" w:hAnsi="楷体_GB2312" w:eastAsia="楷体_GB2312" w:cs="楷体_GB2312"/>
          <w:sz w:val="32"/>
          <w:szCs w:val="32"/>
        </w:rPr>
        <w:t>问题</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预算编制精准度有待提高</w:t>
      </w:r>
      <w:r>
        <w:rPr>
          <w:rFonts w:hint="eastAsia" w:ascii="仿宋" w:hAnsi="仿宋" w:eastAsia="仿宋" w:cs="仿宋"/>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（三）改进建议</w:t>
      </w:r>
    </w:p>
    <w:p>
      <w:pPr>
        <w:keepNext w:val="0"/>
        <w:keepLines w:val="0"/>
        <w:pageBreakBefore w:val="0"/>
        <w:widowControl w:val="0"/>
        <w:kinsoku/>
        <w:wordWrap/>
        <w:overflowPunct/>
        <w:topLinePunct w:val="0"/>
        <w:autoSpaceDE/>
        <w:autoSpaceDN/>
        <w:bidi w:val="0"/>
        <w:adjustRightInd/>
        <w:snapToGrid/>
        <w:spacing w:line="576" w:lineRule="exact"/>
        <w:ind w:leftChars="0" w:firstLine="640" w:firstLineChars="200"/>
        <w:jc w:val="both"/>
        <w:textAlignment w:val="auto"/>
        <w:rPr>
          <w:rFonts w:hint="eastAsia" w:ascii="黑体" w:hAnsi="黑体" w:eastAsia="黑体" w:cs="黑体"/>
          <w:color w:val="auto"/>
          <w:sz w:val="32"/>
          <w:szCs w:val="32"/>
          <w:highlight w:val="none"/>
        </w:rPr>
      </w:pPr>
      <w:r>
        <w:rPr>
          <w:rFonts w:hint="eastAsia" w:ascii="仿宋" w:hAnsi="仿宋" w:eastAsia="仿宋" w:cs="仿宋"/>
          <w:color w:val="000000"/>
          <w:sz w:val="32"/>
          <w:szCs w:val="32"/>
          <w:shd w:val="clear" w:color="auto" w:fill="FFFFFF"/>
        </w:rPr>
        <w:t>针对问题，我</w:t>
      </w:r>
      <w:r>
        <w:rPr>
          <w:rFonts w:hint="eastAsia" w:ascii="仿宋" w:hAnsi="仿宋" w:eastAsia="仿宋" w:cs="仿宋"/>
          <w:color w:val="000000"/>
          <w:sz w:val="32"/>
          <w:szCs w:val="32"/>
          <w:shd w:val="clear" w:color="auto" w:fill="FFFFFF"/>
          <w:lang w:eastAsia="zh-CN"/>
        </w:rPr>
        <w:t>单位</w:t>
      </w:r>
      <w:r>
        <w:rPr>
          <w:rFonts w:hint="eastAsia" w:ascii="仿宋" w:hAnsi="仿宋" w:eastAsia="仿宋" w:cs="仿宋"/>
          <w:color w:val="000000"/>
          <w:sz w:val="32"/>
          <w:szCs w:val="32"/>
          <w:shd w:val="clear" w:color="auto" w:fill="FFFFFF"/>
        </w:rPr>
        <w:t>将</w:t>
      </w:r>
      <w:r>
        <w:rPr>
          <w:rFonts w:hint="eastAsia" w:ascii="仿宋" w:hAnsi="仿宋" w:eastAsia="仿宋" w:cs="仿宋"/>
          <w:color w:val="000000"/>
          <w:sz w:val="32"/>
          <w:szCs w:val="32"/>
          <w:shd w:val="clear" w:color="auto" w:fill="FFFFFF"/>
          <w:lang w:eastAsia="zh-CN"/>
        </w:rPr>
        <w:t>进一步</w:t>
      </w:r>
      <w:r>
        <w:rPr>
          <w:rFonts w:hint="eastAsia" w:ascii="仿宋" w:hAnsi="仿宋" w:eastAsia="仿宋" w:cs="仿宋"/>
          <w:color w:val="000000"/>
          <w:sz w:val="32"/>
          <w:szCs w:val="32"/>
          <w:shd w:val="clear" w:color="auto" w:fill="FFFFFF"/>
        </w:rPr>
        <w:t>提高</w:t>
      </w:r>
      <w:r>
        <w:rPr>
          <w:rFonts w:hint="eastAsia" w:ascii="仿宋" w:hAnsi="仿宋" w:eastAsia="仿宋" w:cs="仿宋"/>
          <w:color w:val="000000"/>
          <w:sz w:val="32"/>
          <w:szCs w:val="32"/>
          <w:shd w:val="clear" w:color="auto" w:fill="FFFFFF"/>
          <w:lang w:eastAsia="zh-CN"/>
        </w:rPr>
        <w:t>预算</w:t>
      </w:r>
      <w:r>
        <w:rPr>
          <w:rFonts w:hint="eastAsia" w:ascii="仿宋" w:hAnsi="仿宋" w:eastAsia="仿宋" w:cs="仿宋"/>
          <w:color w:val="000000"/>
          <w:sz w:val="32"/>
          <w:szCs w:val="32"/>
          <w:shd w:val="clear" w:color="auto" w:fill="FFFFFF"/>
        </w:rPr>
        <w:t>编制质量</w:t>
      </w:r>
      <w:r>
        <w:rPr>
          <w:rFonts w:hint="eastAsia" w:ascii="仿宋" w:hAnsi="仿宋" w:eastAsia="仿宋" w:cs="仿宋"/>
          <w:color w:val="000000"/>
          <w:sz w:val="32"/>
          <w:szCs w:val="32"/>
          <w:shd w:val="clear" w:color="auto" w:fill="FFFFFF"/>
          <w:lang w:eastAsia="zh-CN"/>
        </w:rPr>
        <w:t>，切实提高预算编制到预算执行的一致性</w:t>
      </w:r>
      <w:r>
        <w:rPr>
          <w:rFonts w:hint="eastAsia" w:ascii="仿宋" w:hAnsi="仿宋" w:eastAsia="仿宋" w:cs="仿宋"/>
          <w:color w:val="000000"/>
          <w:sz w:val="32"/>
          <w:szCs w:val="32"/>
          <w:shd w:val="clear" w:color="auto" w:fill="FFFFFF"/>
        </w:rPr>
        <w:t>。</w:t>
      </w: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zh-CN" w:eastAsia="zh-CN"/>
        </w:rPr>
        <w:t>附表：</w:t>
      </w:r>
      <w:r>
        <w:rPr>
          <w:rFonts w:hint="eastAsia" w:ascii="仿宋" w:hAnsi="仿宋" w:eastAsia="仿宋" w:cs="仿宋"/>
          <w:color w:val="auto"/>
          <w:sz w:val="32"/>
          <w:szCs w:val="32"/>
          <w:highlight w:val="none"/>
          <w:lang w:val="en-US" w:eastAsia="zh-CN"/>
        </w:rPr>
        <w:t>部门整体支出绩效自评表（2022年度）</w:t>
      </w:r>
    </w:p>
    <w:tbl>
      <w:tblPr>
        <w:tblStyle w:val="15"/>
        <w:tblW w:w="76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450"/>
        <w:gridCol w:w="1365"/>
        <w:gridCol w:w="465"/>
        <w:gridCol w:w="990"/>
        <w:gridCol w:w="1290"/>
        <w:gridCol w:w="975"/>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7665" w:type="dxa"/>
            <w:gridSpan w:val="8"/>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34"/>
                <w:szCs w:val="34"/>
                <w:u w:val="none"/>
              </w:rPr>
            </w:pPr>
            <w:r>
              <w:rPr>
                <w:rFonts w:hint="eastAsia" w:ascii="仿宋" w:hAnsi="仿宋" w:eastAsia="仿宋" w:cs="仿宋"/>
                <w:i w:val="0"/>
                <w:iCs w:val="0"/>
                <w:color w:val="000000"/>
                <w:kern w:val="0"/>
                <w:sz w:val="34"/>
                <w:szCs w:val="34"/>
                <w:u w:val="none"/>
                <w:lang w:val="en-US" w:eastAsia="zh-CN" w:bidi="ar"/>
              </w:rPr>
              <w:t>广元市昭化区部门整体支出绩效目标自评表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8"/>
            <w:tcBorders>
              <w:top w:val="nil"/>
              <w:left w:val="nil"/>
              <w:bottom w:val="nil"/>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Style w:val="35"/>
                <w:lang w:val="en-US" w:eastAsia="zh-CN" w:bidi="ar"/>
              </w:rPr>
              <w:t>（2022</w:t>
            </w:r>
            <w:r>
              <w:rPr>
                <w:rStyle w:val="36"/>
                <w:lang w:val="en-US" w:eastAsia="zh-CN" w:bidi="ar"/>
              </w:rPr>
              <w:t xml:space="preserve"> </w:t>
            </w:r>
            <w:r>
              <w:rPr>
                <w:rStyle w:val="35"/>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主管部门</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实施单位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区土地房屋征收中心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项目（政策）资金 （万元）</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年初预算数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全年预算数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全年执行数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年度资金总额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164.74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（-）财政拨款小计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164.74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 一般公共预算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164.74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2.政府性基金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3.国有资本经营预算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4.社保基金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整体目标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年度目标</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为全区各项目建设做好用地要素保障，按时完成辖区内土地征收工作，保障项目用地需求，及时支付补偿款及办理人员安置，保护失地农民合法利益。一是保障单位正常运转，按时支付人员工资，按时缴纳保险，按时支付保障单位正常运转所产生的水、电、维修、办公等费用；二是完成区委区政府下达的2022年目标任务；三是做好广绵高速、焦化棚改、郦阳城、点亮智慧科技园、家居产业城智慧物流园、广南高速柏林沟互通、宝红路扩建、昭化至毕家营220KV电力线路、白果风电二期、卫子镇王家贡米精加工厂等项目土地房屋征收工作；四是完成区委区政府安排的其他工作。</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是开展了广绵高速、焦化棚改、郦阳城、宝红路扩建、昭毕线项目、白果风电二期、卫子镇王家贡米精加工厂项目、石白路改扩建工程项目、汉寿路商业步行街改造项目、滨江北路道路工程项目、环保路面材料建设项目、环湖公路项目、栖平紫项目、蜀道植物园项目、宝红路改扩建工程、卫子镇中心卫生院、绿色家居产业城项目、王柏棚改项目、摆宴坝大桥项目、渡改桥项目、嘉陵江堤防项目、昭化至巴中输电线路工程等的征收工作，及时支付了补偿款及办理了安置；二是单位调入一人，在编人员有10人增加到11人；三是所有项目都及时保证了项目的用地需求、四是成本均控制在预算范围内，未超支也未留下过多结余资金；五是做好了城区内的棚改项目工作，极大改善了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绩效指标</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一级指标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二级指标</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年度指标值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实际完成值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偏差原因分析及 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产出指标</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数量指标</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拆迁项目数量</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在编人员数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质量指标</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项目用地保障率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时效指标</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迁项目完成及时率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成本指标</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人员经费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≤120.75万元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130.39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日常公用经费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征拆工作经费</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≤30万元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29.8万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效益指标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社会效益指标</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做好棚改等民生项目用地征收工作，改善人居环境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定性好坏项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满意度指标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服务对象满意度指标</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被征收对象及单位职工满意度</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Arial" w:hAnsi="Arial" w:cs="Arial"/>
                <w:i w:val="0"/>
                <w:iCs w:val="0"/>
                <w:color w:val="000000"/>
                <w:sz w:val="18"/>
                <w:szCs w:val="18"/>
                <w:u w:val="none"/>
              </w:rPr>
            </w:pPr>
          </w:p>
        </w:tc>
      </w:tr>
    </w:tbl>
    <w:p>
      <w:pPr>
        <w:widowControl/>
        <w:jc w:val="left"/>
        <w:rPr>
          <w:rStyle w:val="28"/>
          <w:rFonts w:ascii="黑体" w:hAnsi="黑体" w:eastAsia="黑体"/>
          <w:b w:val="0"/>
          <w:color w:val="auto"/>
          <w:highlight w:val="none"/>
        </w:rPr>
      </w:pPr>
      <w:r>
        <w:rPr>
          <w:rStyle w:val="28"/>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53" w:name="_Toc15396618"/>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9"/>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57"/>
    </w:p>
    <w:p>
      <w:pPr>
        <w:pStyle w:val="4"/>
        <w:rPr>
          <w:rStyle w:val="29"/>
          <w:rFonts w:ascii="仿宋" w:hAnsi="仿宋" w:eastAsia="仿宋"/>
          <w:b w:val="0"/>
          <w:bCs w:val="0"/>
          <w:color w:val="auto"/>
          <w:highlight w:val="none"/>
        </w:rPr>
      </w:pPr>
      <w:bookmarkStart w:id="58"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9"/>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64" w:name="_Toc15396629"/>
      <w:r>
        <w:rPr>
          <w:rStyle w:val="29"/>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65" w:name="_Toc15396630"/>
      <w:r>
        <w:rPr>
          <w:rStyle w:val="29"/>
          <w:rFonts w:hint="eastAsia" w:ascii="仿宋" w:hAnsi="仿宋" w:eastAsia="仿宋"/>
          <w:b w:val="0"/>
          <w:bCs w:val="0"/>
          <w:color w:val="auto"/>
          <w:highlight w:val="none"/>
        </w:rPr>
        <w:t>十二、</w:t>
      </w:r>
      <w:bookmarkEnd w:id="65"/>
      <w:r>
        <w:rPr>
          <w:rStyle w:val="29"/>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bookmarkStart w:id="66" w:name="_Toc15396631"/>
      <w:r>
        <w:rPr>
          <w:rStyle w:val="29"/>
          <w:rFonts w:hint="eastAsia" w:ascii="仿宋" w:hAnsi="仿宋" w:eastAsia="仿宋"/>
          <w:b w:val="0"/>
          <w:bCs w:val="0"/>
          <w:color w:val="auto"/>
          <w:highlight w:val="none"/>
        </w:rPr>
        <w:t>十三、</w:t>
      </w:r>
      <w:bookmarkEnd w:id="66"/>
      <w:r>
        <w:rPr>
          <w:rStyle w:val="29"/>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MingLiU">
    <w:altName w:val="ksdb"/>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70F5681"/>
    <w:multiLevelType w:val="singleLevel"/>
    <w:tmpl w:val="F70F5681"/>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7AB457"/>
    <w:multiLevelType w:val="singleLevel"/>
    <w:tmpl w:val="387AB457"/>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zkxYTU1ZmFmODZiZmQ5MGRiZTUzMGY4MDE4Z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671BDD"/>
    <w:rsid w:val="01E70628"/>
    <w:rsid w:val="02143E91"/>
    <w:rsid w:val="021A6C4F"/>
    <w:rsid w:val="02520308"/>
    <w:rsid w:val="02AD7AC3"/>
    <w:rsid w:val="04516E80"/>
    <w:rsid w:val="04F33787"/>
    <w:rsid w:val="056A1C9B"/>
    <w:rsid w:val="066E0107"/>
    <w:rsid w:val="07996F6E"/>
    <w:rsid w:val="087846CF"/>
    <w:rsid w:val="0A2032A3"/>
    <w:rsid w:val="0AB37C41"/>
    <w:rsid w:val="0AE07FA5"/>
    <w:rsid w:val="0B9416F8"/>
    <w:rsid w:val="0CBE28CD"/>
    <w:rsid w:val="0CF63E15"/>
    <w:rsid w:val="0E912047"/>
    <w:rsid w:val="0EEA79A9"/>
    <w:rsid w:val="0F98263C"/>
    <w:rsid w:val="101860EC"/>
    <w:rsid w:val="105A1C98"/>
    <w:rsid w:val="10C055FF"/>
    <w:rsid w:val="118107EC"/>
    <w:rsid w:val="13D50BC4"/>
    <w:rsid w:val="1594066F"/>
    <w:rsid w:val="16BB723D"/>
    <w:rsid w:val="177B5642"/>
    <w:rsid w:val="177D585E"/>
    <w:rsid w:val="18C64FE3"/>
    <w:rsid w:val="19314B52"/>
    <w:rsid w:val="1A1104E0"/>
    <w:rsid w:val="1A204BC7"/>
    <w:rsid w:val="1BE8440E"/>
    <w:rsid w:val="1C1678EA"/>
    <w:rsid w:val="1D155CEE"/>
    <w:rsid w:val="1F185E6D"/>
    <w:rsid w:val="1F980D5B"/>
    <w:rsid w:val="1FF35744"/>
    <w:rsid w:val="222B5EB7"/>
    <w:rsid w:val="224C6559"/>
    <w:rsid w:val="23860B96"/>
    <w:rsid w:val="240371BF"/>
    <w:rsid w:val="2446347C"/>
    <w:rsid w:val="254E083A"/>
    <w:rsid w:val="257D2ECD"/>
    <w:rsid w:val="265754CC"/>
    <w:rsid w:val="26977FBF"/>
    <w:rsid w:val="290A2CCA"/>
    <w:rsid w:val="29211DC2"/>
    <w:rsid w:val="29A62ABE"/>
    <w:rsid w:val="29B11398"/>
    <w:rsid w:val="29CC4423"/>
    <w:rsid w:val="29FD04D3"/>
    <w:rsid w:val="2BBD6A48"/>
    <w:rsid w:val="2C8A61B5"/>
    <w:rsid w:val="2CD94E8D"/>
    <w:rsid w:val="2D9B0395"/>
    <w:rsid w:val="2DF04E50"/>
    <w:rsid w:val="2F040D46"/>
    <w:rsid w:val="3029612C"/>
    <w:rsid w:val="319F7F4E"/>
    <w:rsid w:val="3304709D"/>
    <w:rsid w:val="33EA433A"/>
    <w:rsid w:val="3545329B"/>
    <w:rsid w:val="3619279E"/>
    <w:rsid w:val="365732C7"/>
    <w:rsid w:val="36783969"/>
    <w:rsid w:val="36AA5135"/>
    <w:rsid w:val="376D39B2"/>
    <w:rsid w:val="37E16F03"/>
    <w:rsid w:val="38B247E4"/>
    <w:rsid w:val="38D469F0"/>
    <w:rsid w:val="39ED1FF2"/>
    <w:rsid w:val="3AA35E66"/>
    <w:rsid w:val="3B893F22"/>
    <w:rsid w:val="3BFD046C"/>
    <w:rsid w:val="3C574020"/>
    <w:rsid w:val="3D98207C"/>
    <w:rsid w:val="3E151A9D"/>
    <w:rsid w:val="3E155F41"/>
    <w:rsid w:val="3E78745D"/>
    <w:rsid w:val="3EF47905"/>
    <w:rsid w:val="44307631"/>
    <w:rsid w:val="44D75CFE"/>
    <w:rsid w:val="44E268DA"/>
    <w:rsid w:val="44F87A23"/>
    <w:rsid w:val="45E71F71"/>
    <w:rsid w:val="462E5DF2"/>
    <w:rsid w:val="46445615"/>
    <w:rsid w:val="46C93D6D"/>
    <w:rsid w:val="487675DC"/>
    <w:rsid w:val="4A627F82"/>
    <w:rsid w:val="4B0E749A"/>
    <w:rsid w:val="4B2C0426"/>
    <w:rsid w:val="4B4F25DA"/>
    <w:rsid w:val="4B9A5CD8"/>
    <w:rsid w:val="4BE068DB"/>
    <w:rsid w:val="4BED5E07"/>
    <w:rsid w:val="4CBA03DF"/>
    <w:rsid w:val="4CF338F1"/>
    <w:rsid w:val="4CFD651E"/>
    <w:rsid w:val="4D577224"/>
    <w:rsid w:val="4DF96CE5"/>
    <w:rsid w:val="4E41243B"/>
    <w:rsid w:val="4E630603"/>
    <w:rsid w:val="4E953B94"/>
    <w:rsid w:val="4EAB630A"/>
    <w:rsid w:val="4EC62939"/>
    <w:rsid w:val="4ECE2238"/>
    <w:rsid w:val="4F7800DE"/>
    <w:rsid w:val="4FC41575"/>
    <w:rsid w:val="51C25640"/>
    <w:rsid w:val="52ED493F"/>
    <w:rsid w:val="537E6D0A"/>
    <w:rsid w:val="59CD7278"/>
    <w:rsid w:val="5A3B2434"/>
    <w:rsid w:val="5AF92295"/>
    <w:rsid w:val="5BA1276A"/>
    <w:rsid w:val="5C7659A5"/>
    <w:rsid w:val="5CD71FC4"/>
    <w:rsid w:val="5E3E0745"/>
    <w:rsid w:val="5FDE3F8D"/>
    <w:rsid w:val="602F61F5"/>
    <w:rsid w:val="6381535B"/>
    <w:rsid w:val="649B41FB"/>
    <w:rsid w:val="65DF422C"/>
    <w:rsid w:val="681D761D"/>
    <w:rsid w:val="683426D7"/>
    <w:rsid w:val="6ADA17F5"/>
    <w:rsid w:val="6C4A05C8"/>
    <w:rsid w:val="6C8B2DA7"/>
    <w:rsid w:val="6CBF0CA2"/>
    <w:rsid w:val="6D567859"/>
    <w:rsid w:val="6DAD6E81"/>
    <w:rsid w:val="6E3336F6"/>
    <w:rsid w:val="6E7E3605"/>
    <w:rsid w:val="6FF5CC65"/>
    <w:rsid w:val="70480FAF"/>
    <w:rsid w:val="715C0E4B"/>
    <w:rsid w:val="71CD79BE"/>
    <w:rsid w:val="72734D90"/>
    <w:rsid w:val="73AD73D5"/>
    <w:rsid w:val="73B6EB34"/>
    <w:rsid w:val="744731E5"/>
    <w:rsid w:val="744D3038"/>
    <w:rsid w:val="74736F42"/>
    <w:rsid w:val="749E5641"/>
    <w:rsid w:val="76D65566"/>
    <w:rsid w:val="76E3355F"/>
    <w:rsid w:val="76F37EC6"/>
    <w:rsid w:val="778769C8"/>
    <w:rsid w:val="78397B5B"/>
    <w:rsid w:val="79EE5BA4"/>
    <w:rsid w:val="7A894339"/>
    <w:rsid w:val="7B4C4049"/>
    <w:rsid w:val="7C44283F"/>
    <w:rsid w:val="7CF60710"/>
    <w:rsid w:val="7D2012E9"/>
    <w:rsid w:val="7D407BDD"/>
    <w:rsid w:val="7EEF11D3"/>
    <w:rsid w:val="7F7D0C75"/>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Normal Indent"/>
    <w:basedOn w:val="1"/>
    <w:qFormat/>
    <w:uiPriority w:val="99"/>
    <w:pPr>
      <w:ind w:firstLine="420" w:firstLineChars="200"/>
    </w:p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font31"/>
    <w:basedOn w:val="16"/>
    <w:uiPriority w:val="0"/>
    <w:rPr>
      <w:rFonts w:hint="eastAsia" w:ascii="宋体" w:hAnsi="宋体" w:eastAsia="宋体" w:cs="宋体"/>
      <w:color w:val="000000"/>
      <w:sz w:val="22"/>
      <w:szCs w:val="22"/>
      <w:u w:val="none"/>
    </w:rPr>
  </w:style>
  <w:style w:type="character" w:customStyle="1" w:styleId="36">
    <w:name w:val="font61"/>
    <w:basedOn w:val="16"/>
    <w:uiPriority w:val="0"/>
    <w:rPr>
      <w:rFonts w:ascii="MingLiU" w:hAnsi="MingLiU" w:eastAsia="MingLiU" w:cs="MingLiU"/>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2.xml"/><Relationship Id="rId1" Type="http://schemas.openxmlformats.org/officeDocument/2006/relationships/oleObject" Target="file:///C:\Users\Administrator\Desktop\&#19977;&#20445;&#25903;&#20986;&#21475;&#24452;%20-%202023&#24180;.xlsx"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Administrator\Desktop\&#19977;&#20445;&#25903;&#20986;&#21475;&#24452;%20-%202023&#24180;.xlsx"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oleObject" Target="file:///C:\Users\Administrator\Desktop\&#19977;&#20445;&#25903;&#20986;&#21475;&#24452;%20-%202023&#24180;.xlsx" TargetMode="External"/></Relationships>
</file>

<file path=word/charts/_rels/chart4.xml.rels><?xml version="1.0" encoding="UTF-8" standalone="yes"?>
<Relationships xmlns="http://schemas.openxmlformats.org/package/2006/relationships"><Relationship Id="rId6" Type="http://schemas.microsoft.com/office/2011/relationships/chartColorStyle" Target="colors3.xml"/><Relationship Id="rId5" Type="http://schemas.microsoft.com/office/2011/relationships/chartStyle" Target="style3.xml"/><Relationship Id="rId4" Type="http://schemas.openxmlformats.org/officeDocument/2006/relationships/image" Target="../media/image3.png"/><Relationship Id="rId3" Type="http://schemas.openxmlformats.org/officeDocument/2006/relationships/image" Target="../media/image2.png"/><Relationship Id="rId2" Type="http://schemas.openxmlformats.org/officeDocument/2006/relationships/themeOverride" Target="../theme/themeOverride4.xml"/><Relationship Id="rId1" Type="http://schemas.openxmlformats.org/officeDocument/2006/relationships/oleObject" Target="file:///C:\Users\Administrator\Desktop\&#19977;&#20445;&#25903;&#20986;&#21475;&#24452;%20-%202023&#24180;.xlsx" TargetMode="External"/></Relationships>
</file>

<file path=word/charts/_rels/chart5.xml.rels><?xml version="1.0" encoding="UTF-8" standalone="yes"?>
<Relationships xmlns="http://schemas.openxmlformats.org/package/2006/relationships"><Relationship Id="rId5" Type="http://schemas.microsoft.com/office/2011/relationships/chartColorStyle" Target="colors2.xml"/><Relationship Id="rId4" Type="http://schemas.microsoft.com/office/2011/relationships/chartStyle" Target="style2.xml"/><Relationship Id="rId3" Type="http://schemas.openxmlformats.org/officeDocument/2006/relationships/image" Target="../media/image1.png"/><Relationship Id="rId2" Type="http://schemas.openxmlformats.org/officeDocument/2006/relationships/themeOverride" Target="../theme/themeOverride3.xml"/><Relationship Id="rId1" Type="http://schemas.openxmlformats.org/officeDocument/2006/relationships/oleObject" Target="file:///C:\Users\Administrator\Desktop\&#19977;&#20445;&#25903;&#20986;&#21475;&#24452;%20-%202023&#24180;.xlsx"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oleObject" Target="file:///C:\Users\Administrator\Desktop\&#19977;&#20445;&#25903;&#20986;&#21475;&#24452;%20-%202023&#24180;.xlsx" TargetMode="External"/></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oleObject" Target="file:///C:\Users\Administrator\Desktop\&#19977;&#20445;&#25903;&#20986;&#21475;&#24452;%20-%202023&#241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微软雅黑" panose="020B0503020204020204" charset="-122"/>
                <a:ea typeface="微软雅黑" panose="020B0503020204020204" charset="-122"/>
                <a:cs typeface="+mn-cs"/>
              </a:defRPr>
            </a:pPr>
            <a:r>
              <a:rPr>
                <a:solidFill>
                  <a:schemeClr val="tx1"/>
                </a:solidFill>
              </a:rPr>
              <a:t>收、支决算总计变动情况图</a:t>
            </a:r>
            <a:endParaRPr>
              <a:solidFill>
                <a:schemeClr val="tx1"/>
              </a:solidFill>
            </a:endParaRPr>
          </a:p>
        </c:rich>
      </c:tx>
      <c:layout/>
      <c:overlay val="0"/>
      <c:spPr>
        <a:noFill/>
        <a:ln>
          <a:noFill/>
        </a:ln>
        <a:effectLst/>
      </c:spPr>
    </c:title>
    <c:autoTitleDeleted val="0"/>
    <c:plotArea>
      <c:layout/>
      <c:barChart>
        <c:barDir val="col"/>
        <c:grouping val="clustered"/>
        <c:varyColors val="0"/>
        <c:ser>
          <c:idx val="0"/>
          <c:order val="0"/>
          <c:spPr>
            <a:gradFill>
              <a:gsLst>
                <a:gs pos="0">
                  <a:srgbClr val="012D86"/>
                </a:gs>
                <a:gs pos="100000">
                  <a:srgbClr val="0E2557"/>
                </a:gs>
              </a:gsLst>
              <a:lin ang="5400000" scaled="0"/>
            </a:gradFill>
            <a:ln>
              <a:noFill/>
            </a:ln>
            <a:effectLst>
              <a:outerShdw blurRad="76200" dir="18900000" sy="23000" kx="-1200000" algn="bl" rotWithShape="0">
                <a:prstClr val="black">
                  <a:alpha val="20000"/>
                </a:prstClr>
              </a:outerShdw>
            </a:effectLst>
          </c:spPr>
          <c:invertIfNegative val="0"/>
          <c:dPt>
            <c:idx val="0"/>
            <c:invertIfNegative val="0"/>
            <c:bubble3D val="0"/>
            <c:spPr>
              <a:gradFill>
                <a:gsLst>
                  <a:gs pos="0">
                    <a:srgbClr val="012D86"/>
                  </a:gs>
                  <a:gs pos="100000">
                    <a:srgbClr val="0E2557"/>
                  </a:gs>
                </a:gsLst>
                <a:lin ang="5400000" scaled="0"/>
              </a:gradFill>
              <a:ln>
                <a:noFill/>
              </a:ln>
              <a:effectLst>
                <a:outerShdw blurRad="76200" dir="18900000" sy="23000" kx="-1200000" algn="bl" rotWithShape="0">
                  <a:prstClr val="black">
                    <a:alpha val="20000"/>
                  </a:prstClr>
                </a:outerShdw>
              </a:effectLst>
            </c:spPr>
          </c:dPt>
          <c:dPt>
            <c:idx val="1"/>
            <c:invertIfNegative val="0"/>
            <c:bubble3D val="0"/>
            <c:spPr>
              <a:gradFill>
                <a:gsLst>
                  <a:gs pos="0">
                    <a:srgbClr val="9EE256"/>
                  </a:gs>
                  <a:gs pos="100000">
                    <a:srgbClr val="52762D"/>
                  </a:gs>
                </a:gsLst>
                <a:lin ang="5400000" scaled="0"/>
              </a:gradFill>
              <a:ln>
                <a:noFill/>
              </a:ln>
              <a:effectLst>
                <a:outerShdw blurRad="76200" dir="18900000" sy="23000" kx="-1200000" algn="bl" rotWithShape="0">
                  <a:prstClr val="black">
                    <a:alpha val="20000"/>
                  </a:prst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tx1"/>
                    </a:solidFill>
                    <a:latin typeface="微软雅黑" panose="020B0503020204020204" charset="-122"/>
                    <a:ea typeface="微软雅黑" panose="020B0503020204020204"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'[三保支出口径 - 2023年.xlsx]Sheet1'!$B$1:$C$1</c:f>
              <c:strCache>
                <c:ptCount val="2"/>
                <c:pt idx="0">
                  <c:v>2021年</c:v>
                </c:pt>
                <c:pt idx="1">
                  <c:v>2022年</c:v>
                </c:pt>
              </c:strCache>
            </c:strRef>
          </c:cat>
          <c:val>
            <c:numRef>
              <c:f>'[三保支出口径 - 2023年.xlsx]Sheet1'!$B$2:$C$2</c:f>
              <c:numCache>
                <c:formatCode>General</c:formatCode>
                <c:ptCount val="2"/>
                <c:pt idx="0">
                  <c:v>240.54</c:v>
                </c:pt>
                <c:pt idx="1">
                  <c:v>233.78</c:v>
                </c:pt>
              </c:numCache>
            </c:numRef>
          </c:val>
        </c:ser>
        <c:dLbls>
          <c:showLegendKey val="0"/>
          <c:showVal val="1"/>
          <c:showCatName val="0"/>
          <c:showSerName val="0"/>
          <c:showPercent val="0"/>
          <c:showBubbleSize val="0"/>
        </c:dLbls>
        <c:gapWidth val="100"/>
        <c:overlap val="-30"/>
        <c:axId val="679881327"/>
        <c:axId val="538048073"/>
      </c:barChart>
      <c:catAx>
        <c:axId val="679881327"/>
        <c:scaling>
          <c:orientation val="minMax"/>
        </c:scaling>
        <c:delete val="0"/>
        <c:axPos val="b"/>
        <c:majorGridlines>
          <c:spPr>
            <a:ln w="9525" cap="flat" cmpd="sng" algn="ctr">
              <a:solidFill>
                <a:schemeClr val="bg1">
                  <a:lumMod val="95000"/>
                </a:schemeClr>
              </a:solidFill>
              <a:round/>
            </a:ln>
            <a:effectLst/>
          </c:spPr>
        </c:majorGridlines>
        <c:numFmt formatCode="General" sourceLinked="1"/>
        <c:majorTickMark val="none"/>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chemeClr val="tx1"/>
                </a:solidFill>
                <a:latin typeface="微软雅黑" panose="020B0503020204020204" charset="-122"/>
                <a:ea typeface="微软雅黑" panose="020B0503020204020204" charset="-122"/>
                <a:cs typeface="+mn-cs"/>
              </a:defRPr>
            </a:pPr>
          </a:p>
        </c:txPr>
        <c:crossAx val="538048073"/>
        <c:crosses val="autoZero"/>
        <c:auto val="1"/>
        <c:lblAlgn val="ctr"/>
        <c:lblOffset val="100"/>
        <c:noMultiLvlLbl val="0"/>
      </c:catAx>
      <c:valAx>
        <c:axId val="538048073"/>
        <c:scaling>
          <c:orientation val="minMax"/>
        </c:scaling>
        <c:delete val="1"/>
        <c:axPos val="l"/>
        <c:majorGridlines>
          <c:spPr>
            <a:ln w="9525" cap="flat" cmpd="sng" algn="ctr">
              <a:solidFill>
                <a:schemeClr val="bg1">
                  <a:lumMod val="9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solidFill>
                <a:latin typeface="微软雅黑" panose="020B0503020204020204" charset="-122"/>
                <a:ea typeface="微软雅黑" panose="020B0503020204020204" charset="-122"/>
                <a:cs typeface="+mn-cs"/>
              </a:defRPr>
            </a:pPr>
          </a:p>
        </c:txPr>
        <c:crossAx val="679881327"/>
        <c:crosses val="autoZero"/>
        <c:crossBetween val="between"/>
      </c:valAx>
      <c:spPr>
        <a:solidFill>
          <a:schemeClr val="bg1"/>
        </a:solid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微软雅黑" panose="020B0503020204020204" charset="-122"/>
                <a:ea typeface="微软雅黑" panose="020B0503020204020204" charset="-122"/>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微软雅黑" panose="020B0503020204020204" charset="-122"/>
                <a:ea typeface="微软雅黑" panose="020B0503020204020204" charset="-122"/>
                <a:cs typeface="+mn-cs"/>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solidFill>
              <a:latin typeface="微软雅黑" panose="020B0503020204020204" charset="-122"/>
              <a:ea typeface="微软雅黑" panose="020B0503020204020204" charset="-122"/>
              <a:cs typeface="+mn-cs"/>
            </a:defRPr>
          </a:pPr>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lang="zh-CN">
          <a:solidFill>
            <a:schemeClr val="tx1"/>
          </a:solidFill>
          <a:latin typeface="微软雅黑" panose="020B0503020204020204" charset="-122"/>
          <a:ea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收入决算结构图</a:t>
            </a:r>
          </a:p>
        </c:rich>
      </c:tx>
      <c:layout/>
      <c:overlay val="0"/>
      <c:spPr>
        <a:noFill/>
        <a:ln>
          <a:noFill/>
        </a:ln>
        <a:effectLst/>
      </c:spPr>
    </c:title>
    <c:autoTitleDeleted val="0"/>
    <c:view3D>
      <c:rotX val="25"/>
      <c:rotY val="0"/>
      <c:depthPercent val="100"/>
      <c:rAngAx val="0"/>
      <c:perspective val="20"/>
    </c:view3D>
    <c:floor>
      <c:thickness val="0"/>
    </c:floor>
    <c:sideWall>
      <c:thickness val="0"/>
    </c:sideWall>
    <c:backWall>
      <c:thickness val="0"/>
    </c:backWall>
    <c:plotArea>
      <c:layout/>
      <c:pie3DChart>
        <c:varyColors val="1"/>
        <c:ser>
          <c:idx val="0"/>
          <c:order val="0"/>
          <c:spPr>
            <a:ln w="15875" cmpd="sng">
              <a:solidFill>
                <a:schemeClr val="bg1"/>
              </a:solidFill>
              <a:prstDash val="solid"/>
            </a:ln>
            <a:effectLst/>
            <a:scene3d>
              <a:camera prst="orthographicFront"/>
              <a:lightRig rig="threePt" dir="t"/>
            </a:scene3d>
            <a:sp3d contourW="15875" prstMaterial="flat"/>
          </c:spPr>
          <c:explosion val="0"/>
          <c:dPt>
            <c:idx val="0"/>
            <c:bubble3D val="0"/>
            <c:spPr>
              <a:solidFill>
                <a:srgbClr val="1F497D">
                  <a:lumMod val="75000"/>
                </a:srgbClr>
              </a:solidFill>
              <a:ln w="15875" cmpd="sng">
                <a:solidFill>
                  <a:schemeClr val="accent1">
                    <a:lumMod val="75000"/>
                  </a:schemeClr>
                </a:solidFill>
                <a:prstDash val="solid"/>
              </a:ln>
              <a:effectLst/>
              <a:scene3d>
                <a:camera prst="orthographicFront"/>
                <a:lightRig rig="threePt" dir="t"/>
              </a:scene3d>
              <a:sp3d contourW="15875" prstMaterial="flat"/>
            </c:spPr>
          </c:dPt>
          <c:dPt>
            <c:idx val="1"/>
            <c:bubble3D val="0"/>
            <c:explosion val="22"/>
            <c:spPr>
              <a:gradFill>
                <a:gsLst>
                  <a:gs pos="0">
                    <a:schemeClr val="accent2">
                      <a:lumMod val="60000"/>
                      <a:lumOff val="40000"/>
                    </a:schemeClr>
                  </a:gs>
                  <a:gs pos="94000">
                    <a:schemeClr val="accent2"/>
                  </a:gs>
                </a:gsLst>
                <a:lin ang="13500000" scaled="0"/>
              </a:gradFill>
              <a:ln w="15875" cmpd="sng">
                <a:solidFill>
                  <a:schemeClr val="accent2">
                    <a:lumMod val="75000"/>
                  </a:schemeClr>
                </a:solidFill>
                <a:prstDash val="solid"/>
              </a:ln>
              <a:effectLst/>
              <a:scene3d>
                <a:camera prst="orthographicFront"/>
                <a:lightRig rig="threePt" dir="t"/>
              </a:scene3d>
              <a:sp3d contourW="15875" prstMaterial="fla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'[三保支出口径 - 2023年.xlsx]Sheet2'!$A$1:$A$2</c:f>
              <c:strCache>
                <c:ptCount val="2"/>
                <c:pt idx="0">
                  <c:v>一般公共预算财政拨款收入</c:v>
                </c:pt>
                <c:pt idx="1">
                  <c:v>政府性基金预算财政拨款收入</c:v>
                </c:pt>
              </c:strCache>
            </c:strRef>
          </c:cat>
          <c:val>
            <c:numRef>
              <c:f>'[三保支出口径 - 2023年.xlsx]Sheet2'!$B$1:$B$2</c:f>
              <c:numCache>
                <c:formatCode>0%</c:formatCode>
                <c:ptCount val="2"/>
                <c:pt idx="0">
                  <c:v>1</c:v>
                </c:pt>
                <c:pt idx="1">
                  <c:v>0</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支出决算结构图</a:t>
            </a:r>
          </a:p>
        </c:rich>
      </c:tx>
      <c:layout/>
      <c:overlay val="0"/>
      <c:spPr>
        <a:noFill/>
        <a:ln>
          <a:noFill/>
        </a:ln>
        <a:effectLst/>
      </c:spPr>
    </c:title>
    <c:autoTitleDeleted val="0"/>
    <c:view3D>
      <c:rotX val="20"/>
      <c:rotY val="0"/>
      <c:depthPercent val="100"/>
      <c:rAngAx val="0"/>
    </c:view3D>
    <c:floor>
      <c:thickness val="0"/>
    </c:floor>
    <c:sideWall>
      <c:thickness val="0"/>
    </c:sideWall>
    <c:backWall>
      <c:thickness val="0"/>
    </c:backWall>
    <c:plotArea>
      <c:layout/>
      <c:pie3DChart>
        <c:varyColors val="1"/>
        <c:ser>
          <c:idx val="0"/>
          <c:order val="0"/>
          <c:spPr>
            <a:ln w="31750">
              <a:solidFill>
                <a:schemeClr val="bg1"/>
              </a:solidFill>
            </a:ln>
            <a:effectLst>
              <a:outerShdw blurRad="63500" sx="102000" sy="102000" algn="ctr" rotWithShape="0">
                <a:schemeClr val="bg1">
                  <a:lumMod val="50000"/>
                  <a:alpha val="40000"/>
                </a:schemeClr>
              </a:outerShdw>
            </a:effectLst>
            <a:scene3d>
              <a:camera prst="orthographicFront"/>
              <a:lightRig rig="threePt" dir="t"/>
            </a:scene3d>
            <a:sp3d contourW="31750"/>
          </c:spPr>
          <c:explosion val="3"/>
          <c:dPt>
            <c:idx val="0"/>
            <c:bubble3D val="0"/>
            <c:spPr>
              <a:solidFill>
                <a:schemeClr val="accent1"/>
              </a:solidFill>
              <a:ln w="31750">
                <a:solidFill>
                  <a:schemeClr val="accent1">
                    <a:lumMod val="75000"/>
                  </a:schemeClr>
                </a:solidFill>
              </a:ln>
              <a:effectLst>
                <a:outerShdw blurRad="63500" sx="102000" sy="102000" algn="ctr" rotWithShape="0">
                  <a:schemeClr val="bg1">
                    <a:lumMod val="50000"/>
                    <a:alpha val="40000"/>
                  </a:schemeClr>
                </a:outerShdw>
              </a:effectLst>
              <a:scene3d>
                <a:camera prst="orthographicFront"/>
                <a:lightRig rig="threePt" dir="t"/>
              </a:scene3d>
              <a:sp3d contourW="31750"/>
            </c:spPr>
          </c:dPt>
          <c:dPt>
            <c:idx val="1"/>
            <c:bubble3D val="0"/>
            <c:spPr>
              <a:solidFill>
                <a:srgbClr val="1F497D">
                  <a:lumMod val="60000"/>
                  <a:lumOff val="40000"/>
                </a:srgbClr>
              </a:solidFill>
              <a:ln w="31750">
                <a:solidFill>
                  <a:schemeClr val="accent2">
                    <a:lumMod val="75000"/>
                  </a:schemeClr>
                </a:solidFill>
              </a:ln>
              <a:effectLst>
                <a:outerShdw blurRad="63500" sx="102000" sy="102000" algn="ctr" rotWithShape="0">
                  <a:schemeClr val="bg1">
                    <a:lumMod val="50000"/>
                    <a:alpha val="40000"/>
                  </a:schemeClr>
                </a:outerShdw>
              </a:effectLst>
              <a:scene3d>
                <a:camera prst="orthographicFront"/>
                <a:lightRig rig="threePt" dir="t"/>
              </a:scene3d>
              <a:sp3d contourW="31750"/>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200" b="1" i="0" u="none" strike="noStrike" kern="1200" baseline="0">
                      <a:solidFill>
                        <a:schemeClr val="bg1"/>
                      </a:solidFill>
                      <a:effectLst>
                        <a:outerShdw blurRad="50800" dist="38100" dir="2700000" algn="tl" rotWithShape="0">
                          <a:schemeClr val="accent1">
                            <a:lumMod val="50000"/>
                            <a:alpha val="70000"/>
                          </a:schemeClr>
                        </a:outerShdw>
                      </a:effectLst>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200" b="1" i="0" u="none" strike="noStrike" kern="1200" baseline="0">
                      <a:solidFill>
                        <a:schemeClr val="bg1"/>
                      </a:solidFill>
                      <a:effectLst>
                        <a:outerShdw blurRad="50800" dist="38100" dir="2700000" algn="tl" rotWithShape="0">
                          <a:schemeClr val="accent2">
                            <a:lumMod val="50000"/>
                            <a:alpha val="70000"/>
                          </a:schemeClr>
                        </a:outerShdw>
                      </a:effectLst>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200" b="1"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'[三保支出口径 - 2023年.xlsx]Sheet4'!$A$1:$A$2</c:f>
              <c:strCache>
                <c:ptCount val="2"/>
                <c:pt idx="0">
                  <c:v>基本支出</c:v>
                </c:pt>
                <c:pt idx="1">
                  <c:v>项目支出</c:v>
                </c:pt>
              </c:strCache>
            </c:strRef>
          </c:cat>
          <c:val>
            <c:numRef>
              <c:f>'[三保支出口径 - 2023年.xlsx]Sheet4'!$B$1:$B$2</c:f>
              <c:numCache>
                <c:formatCode>0.00%</c:formatCode>
                <c:ptCount val="2"/>
                <c:pt idx="0">
                  <c:v>0.7451</c:v>
                </c:pt>
                <c:pt idx="1">
                  <c:v>0.2549</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a:scene3d>
      <a:camera prst="orthographicFront"/>
      <a:lightRig rig="threePt" dir="t"/>
    </a:scene3d>
    <a:sp3d prstMaterial="fla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bg1">
                    <a:lumMod val="50000"/>
                  </a:schemeClr>
                </a:solidFill>
                <a:latin typeface="微软雅黑" panose="020B0503020204020204" charset="-122"/>
                <a:ea typeface="微软雅黑" panose="020B0503020204020204" charset="-122"/>
                <a:cs typeface="+mn-cs"/>
              </a:defRPr>
            </a:pPr>
            <a:r>
              <a:rPr>
                <a:solidFill>
                  <a:schemeClr val="tx1"/>
                </a:solidFill>
              </a:rPr>
              <a:t>财政拨款收、支决算总计变动情况</a:t>
            </a:r>
            <a:endParaRPr>
              <a:solidFill>
                <a:schemeClr val="tx1"/>
              </a:solidFill>
            </a:endParaRPr>
          </a:p>
        </c:rich>
      </c:tx>
      <c:layout>
        <c:manualLayout>
          <c:xMode val="edge"/>
          <c:yMode val="edge"/>
          <c:x val="0.220263157894737"/>
          <c:y val="0.0243055555555556"/>
        </c:manualLayout>
      </c:layout>
      <c:overlay val="0"/>
      <c:spPr>
        <a:noFill/>
        <a:ln>
          <a:noFill/>
        </a:ln>
        <a:effectLst/>
      </c:spPr>
    </c:title>
    <c:autoTitleDeleted val="0"/>
    <c:plotArea>
      <c:layout/>
      <c:barChart>
        <c:barDir val="col"/>
        <c:grouping val="clustered"/>
        <c:varyColors val="0"/>
        <c:ser>
          <c:idx val="0"/>
          <c:order val="0"/>
          <c:tx>
            <c:strRef>
              <c:f>'[三保支出口径 - 2023年.xlsx]Sheet5'!$B$1:$B$2</c:f>
              <c:strCache>
                <c:ptCount val="1"/>
                <c:pt idx="0">
                  <c:v>2021年</c:v>
                </c:pt>
              </c:strCache>
            </c:strRef>
          </c:tx>
          <c:spPr>
            <a:blipFill>
              <a:blip xmlns:r="http://schemas.openxmlformats.org/officeDocument/2006/relationships" r:embed="rId3"/>
              <a:stretch>
                <a:fillRect/>
              </a:stretch>
            </a:blipFill>
            <a:ln>
              <a:noFill/>
            </a:ln>
            <a:effectLst>
              <a:outerShdw blurRad="76200" dir="18900000" sy="23000" kx="-1200000" algn="bl" rotWithShape="0">
                <a:prstClr val="black">
                  <a:alpha val="20000"/>
                </a:prstClr>
              </a:outerShdw>
            </a:effectLst>
          </c:spPr>
          <c:invertIfNegative val="0"/>
          <c:dPt>
            <c:idx val="0"/>
            <c:invertIfNegative val="0"/>
            <c:bubble3D val="0"/>
            <c:spPr>
              <a:blipFill>
                <a:blip xmlns:r="http://schemas.openxmlformats.org/officeDocument/2006/relationships" r:embed="rId3"/>
                <a:stretch>
                  <a:fillRect/>
                </a:stretch>
              </a:blipFill>
              <a:ln>
                <a:noFill/>
              </a:ln>
              <a:effectLst>
                <a:outerShdw blurRad="76200" dir="18900000" sy="23000" kx="-1200000" algn="bl" rotWithShape="0">
                  <a:prstClr val="black">
                    <a:alpha val="20000"/>
                  </a:prstClr>
                </a:outerShdw>
              </a:effectLst>
            </c:spPr>
          </c:dPt>
          <c:dPt>
            <c:idx val="1"/>
            <c:invertIfNegative val="0"/>
            <c:bubble3D val="0"/>
            <c:spPr>
              <a:blipFill>
                <a:blip xmlns:r="http://schemas.openxmlformats.org/officeDocument/2006/relationships" r:embed="rId3"/>
                <a:stretch>
                  <a:fillRect/>
                </a:stretch>
              </a:blipFill>
              <a:ln>
                <a:noFill/>
              </a:ln>
              <a:effectLst>
                <a:outerShdw blurRad="76200" dir="18900000" sy="23000" kx="-1200000" algn="bl" rotWithShape="0">
                  <a:prstClr val="black">
                    <a:alpha val="20000"/>
                  </a:prst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tx1"/>
                    </a:solidFill>
                    <a:latin typeface="微软雅黑" panose="020B0503020204020204" charset="-122"/>
                    <a:ea typeface="微软雅黑" panose="020B0503020204020204"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'[三保支出口径 - 2023年.xlsx]Sheet5'!$A$3:$A$4</c:f>
              <c:strCache>
                <c:ptCount val="2"/>
                <c:pt idx="0">
                  <c:v>财政拨款收入</c:v>
                </c:pt>
                <c:pt idx="1">
                  <c:v>财政拨款支出</c:v>
                </c:pt>
              </c:strCache>
            </c:strRef>
          </c:cat>
          <c:val>
            <c:numRef>
              <c:f>'[三保支出口径 - 2023年.xlsx]Sheet5'!$B$3:$B$4</c:f>
              <c:numCache>
                <c:formatCode>General</c:formatCode>
                <c:ptCount val="2"/>
                <c:pt idx="0">
                  <c:v>240.54</c:v>
                </c:pt>
                <c:pt idx="1">
                  <c:v>240.54</c:v>
                </c:pt>
              </c:numCache>
            </c:numRef>
          </c:val>
        </c:ser>
        <c:ser>
          <c:idx val="1"/>
          <c:order val="1"/>
          <c:tx>
            <c:strRef>
              <c:f>'[三保支出口径 - 2023年.xlsx]Sheet5'!$C$1:$C$2</c:f>
              <c:strCache>
                <c:ptCount val="1"/>
                <c:pt idx="0">
                  <c:v>2022年</c:v>
                </c:pt>
              </c:strCache>
            </c:strRef>
          </c:tx>
          <c:spPr>
            <a:blipFill>
              <a:blip xmlns:r="http://schemas.openxmlformats.org/officeDocument/2006/relationships" r:embed="rId4"/>
              <a:stretch>
                <a:fillRect/>
              </a:stretch>
            </a:blipFill>
            <a:ln>
              <a:noFill/>
            </a:ln>
            <a:effectLst>
              <a:outerShdw blurRad="76200" dir="18900000" sy="23000" kx="-1200000" algn="bl" rotWithShape="0">
                <a:prstClr val="black">
                  <a:alpha val="20000"/>
                </a:prst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tx1"/>
                    </a:solidFill>
                    <a:latin typeface="微软雅黑" panose="020B0503020204020204" charset="-122"/>
                    <a:ea typeface="微软雅黑" panose="020B0503020204020204"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'[三保支出口径 - 2023年.xlsx]Sheet5'!$A$3:$A$4</c:f>
              <c:strCache>
                <c:ptCount val="2"/>
                <c:pt idx="0">
                  <c:v>财政拨款收入</c:v>
                </c:pt>
                <c:pt idx="1">
                  <c:v>财政拨款支出</c:v>
                </c:pt>
              </c:strCache>
            </c:strRef>
          </c:cat>
          <c:val>
            <c:numRef>
              <c:f>'[三保支出口径 - 2023年.xlsx]Sheet5'!$C$3:$C$4</c:f>
              <c:numCache>
                <c:formatCode>General</c:formatCode>
                <c:ptCount val="2"/>
                <c:pt idx="0">
                  <c:v>233.78</c:v>
                </c:pt>
                <c:pt idx="1">
                  <c:v>233.78</c:v>
                </c:pt>
              </c:numCache>
            </c:numRef>
          </c:val>
        </c:ser>
        <c:dLbls>
          <c:showLegendKey val="0"/>
          <c:showVal val="1"/>
          <c:showCatName val="0"/>
          <c:showSerName val="0"/>
          <c:showPercent val="0"/>
          <c:showBubbleSize val="0"/>
        </c:dLbls>
        <c:gapWidth val="100"/>
        <c:overlap val="-30"/>
        <c:axId val="509134123"/>
        <c:axId val="626278730"/>
      </c:barChart>
      <c:catAx>
        <c:axId val="509134123"/>
        <c:scaling>
          <c:orientation val="minMax"/>
        </c:scaling>
        <c:delete val="0"/>
        <c:axPos val="b"/>
        <c:majorGridlines>
          <c:spPr>
            <a:ln w="9525" cap="flat" cmpd="sng" algn="ctr">
              <a:solidFill>
                <a:schemeClr val="bg1">
                  <a:lumMod val="95000"/>
                </a:schemeClr>
              </a:solidFill>
              <a:round/>
            </a:ln>
            <a:effectLst/>
          </c:spPr>
        </c:majorGridlines>
        <c:numFmt formatCode="General" sourceLinked="1"/>
        <c:majorTickMark val="none"/>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chemeClr val="tx1"/>
                </a:solidFill>
                <a:latin typeface="微软雅黑" panose="020B0503020204020204" charset="-122"/>
                <a:ea typeface="微软雅黑" panose="020B0503020204020204" charset="-122"/>
                <a:cs typeface="+mn-cs"/>
              </a:defRPr>
            </a:pPr>
          </a:p>
        </c:txPr>
        <c:crossAx val="626278730"/>
        <c:crosses val="autoZero"/>
        <c:auto val="1"/>
        <c:lblAlgn val="ctr"/>
        <c:lblOffset val="100"/>
        <c:noMultiLvlLbl val="0"/>
      </c:catAx>
      <c:valAx>
        <c:axId val="626278730"/>
        <c:scaling>
          <c:orientation val="minMax"/>
        </c:scaling>
        <c:delete val="1"/>
        <c:axPos val="l"/>
        <c:majorGridlines>
          <c:spPr>
            <a:ln w="9525" cap="flat" cmpd="sng" algn="ctr">
              <a:solidFill>
                <a:schemeClr val="bg1">
                  <a:lumMod val="9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bg1">
                    <a:lumMod val="50000"/>
                  </a:schemeClr>
                </a:solidFill>
                <a:latin typeface="微软雅黑" panose="020B0503020204020204" charset="-122"/>
                <a:ea typeface="微软雅黑" panose="020B0503020204020204" charset="-122"/>
                <a:cs typeface="+mn-cs"/>
              </a:defRPr>
            </a:pPr>
          </a:p>
        </c:txPr>
        <c:crossAx val="509134123"/>
        <c:crosses val="autoZero"/>
        <c:crossBetween val="between"/>
      </c:valAx>
      <c:spPr>
        <a:solidFill>
          <a:schemeClr val="bg1"/>
        </a:solid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微软雅黑" panose="020B0503020204020204" charset="-122"/>
                <a:ea typeface="微软雅黑" panose="020B0503020204020204" charset="-122"/>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微软雅黑" panose="020B0503020204020204" charset="-122"/>
                <a:ea typeface="微软雅黑" panose="020B0503020204020204" charset="-122"/>
                <a:cs typeface="+mn-cs"/>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solidFill>
              <a:latin typeface="微软雅黑" panose="020B0503020204020204" charset="-122"/>
              <a:ea typeface="微软雅黑" panose="020B0503020204020204" charset="-122"/>
              <a:cs typeface="+mn-cs"/>
            </a:defRPr>
          </a:pPr>
        </a:p>
      </c:txPr>
    </c:legend>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lang="zh-CN">
          <a:solidFill>
            <a:schemeClr val="bg1">
              <a:lumMod val="50000"/>
            </a:schemeClr>
          </a:solidFill>
          <a:latin typeface="微软雅黑" panose="020B0503020204020204" charset="-122"/>
          <a:ea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b="0">
                <a:solidFill>
                  <a:schemeClr val="tx1"/>
                </a:solidFill>
              </a:rPr>
              <a:t>一般公共预算财政拨款支出决算变动情况图</a:t>
            </a:r>
            <a:endParaRPr b="0">
              <a:solidFill>
                <a:schemeClr val="tx1"/>
              </a:solidFill>
            </a:endParaRPr>
          </a:p>
        </c:rich>
      </c:tx>
      <c:layout>
        <c:manualLayout>
          <c:xMode val="edge"/>
          <c:yMode val="edge"/>
          <c:x val="0.164447236180905"/>
          <c:y val="0.0781589231437256"/>
        </c:manualLayout>
      </c:layout>
      <c:overlay val="0"/>
      <c:spPr>
        <a:noFill/>
        <a:ln>
          <a:noFill/>
        </a:ln>
        <a:effectLst/>
      </c:spPr>
    </c:title>
    <c:autoTitleDeleted val="0"/>
    <c:plotArea>
      <c:layout>
        <c:manualLayout>
          <c:layoutTarget val="inner"/>
          <c:xMode val="edge"/>
          <c:yMode val="edge"/>
          <c:x val="0.09349191500735"/>
          <c:y val="0.217402987919027"/>
          <c:w val="0.877108111719898"/>
          <c:h val="0.609812667261374"/>
        </c:manualLayout>
      </c:layout>
      <c:barChart>
        <c:barDir val="col"/>
        <c:grouping val="clustered"/>
        <c:varyColors val="0"/>
        <c:ser>
          <c:idx val="0"/>
          <c:order val="0"/>
          <c:spPr>
            <a:blipFill rotWithShape="1">
              <a:blip xmlns:r="http://schemas.openxmlformats.org/officeDocument/2006/relationships" r:embed="rId3"/>
              <a:stretch>
                <a:fillRect/>
              </a:stretch>
            </a:blipFill>
            <a:ln>
              <a:noFill/>
            </a:ln>
            <a:effectLst>
              <a:outerShdw blurRad="76200" dir="18900000" sy="23000" kx="-1200000" algn="bl" rotWithShape="0">
                <a:prstClr val="black">
                  <a:alpha val="20000"/>
                </a:prstClr>
              </a:outerShdw>
            </a:effectLst>
          </c:spPr>
          <c:invertIfNegative val="0"/>
          <c:dLbls>
            <c:delete val="1"/>
          </c:dLbls>
          <c:cat>
            <c:strRef>
              <c:f>'[三保支出口径 - 2023年.xlsx]Sheet6'!$B$2:$C$2</c:f>
              <c:strCache>
                <c:ptCount val="2"/>
                <c:pt idx="0">
                  <c:v>2021年</c:v>
                </c:pt>
                <c:pt idx="1">
                  <c:v>2022年</c:v>
                </c:pt>
              </c:strCache>
            </c:strRef>
          </c:cat>
          <c:val>
            <c:numRef>
              <c:f>'[三保支出口径 - 2023年.xlsx]Sheet6'!$B$3:$C$3</c:f>
              <c:numCache>
                <c:formatCode>General</c:formatCode>
                <c:ptCount val="2"/>
                <c:pt idx="0">
                  <c:v>180.95</c:v>
                </c:pt>
                <c:pt idx="1">
                  <c:v>174.19</c:v>
                </c:pt>
              </c:numCache>
            </c:numRef>
          </c:val>
        </c:ser>
        <c:dLbls>
          <c:showLegendKey val="0"/>
          <c:showVal val="0"/>
          <c:showCatName val="0"/>
          <c:showSerName val="0"/>
          <c:showPercent val="0"/>
          <c:showBubbleSize val="0"/>
        </c:dLbls>
        <c:gapWidth val="168"/>
        <c:overlap val="-10"/>
        <c:axId val="996102548"/>
        <c:axId val="927660830"/>
      </c:barChart>
      <c:catAx>
        <c:axId val="9961025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27660830"/>
        <c:crosses val="autoZero"/>
        <c:auto val="1"/>
        <c:lblAlgn val="ctr"/>
        <c:lblOffset val="100"/>
        <c:noMultiLvlLbl val="0"/>
      </c:catAx>
      <c:valAx>
        <c:axId val="92766083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961025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rPr>
                <a:latin typeface="微软雅黑" panose="020B0503020204020204" charset="-122"/>
                <a:ea typeface="微软雅黑" panose="020B0503020204020204" charset="-122"/>
              </a:rPr>
              <a:t>一般公共预算财政拨款支出决算结构图</a:t>
            </a:r>
            <a:endParaRPr>
              <a:latin typeface="微软雅黑" panose="020B0503020204020204" charset="-122"/>
              <a:ea typeface="微软雅黑" panose="020B0503020204020204" charset="-122"/>
            </a:endParaRPr>
          </a:p>
        </c:rich>
      </c:tx>
      <c:layout>
        <c:manualLayout>
          <c:xMode val="edge"/>
          <c:yMode val="edge"/>
          <c:x val="0.19328947368421"/>
          <c:y val="0.0555555555555556"/>
        </c:manualLayout>
      </c:layout>
      <c:overlay val="0"/>
      <c:spPr>
        <a:noFill/>
        <a:ln>
          <a:noFill/>
        </a:ln>
        <a:effectLst/>
      </c:spPr>
    </c:title>
    <c:autoTitleDeleted val="0"/>
    <c:view3D>
      <c:rotX val="40"/>
      <c:rotY val="0"/>
      <c:depthPercent val="100"/>
      <c:rAngAx val="0"/>
    </c:view3D>
    <c:floor>
      <c:thickness val="0"/>
    </c:floor>
    <c:sideWall>
      <c:thickness val="0"/>
    </c:sideWall>
    <c:backWall>
      <c:thickness val="0"/>
    </c:backWall>
    <c:plotArea>
      <c:layout/>
      <c:pie3DChart>
        <c:varyColors val="1"/>
        <c:ser>
          <c:idx val="0"/>
          <c:order val="0"/>
          <c:spPr>
            <a:ln w="12700"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12700"/>
          </c:spPr>
          <c:explosion val="0"/>
          <c:dPt>
            <c:idx val="0"/>
            <c:bubble3D val="0"/>
            <c:spPr>
              <a:gradFill>
                <a:gsLst>
                  <a:gs pos="0">
                    <a:schemeClr val="accent1">
                      <a:lumMod val="60000"/>
                      <a:lumOff val="40000"/>
                    </a:schemeClr>
                  </a:gs>
                  <a:gs pos="50000">
                    <a:schemeClr val="accent1"/>
                  </a:gs>
                </a:gsLst>
                <a:lin ang="2700000" scaled="0"/>
              </a:gradFill>
              <a:ln w="12700"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12700"/>
            </c:spPr>
          </c:dPt>
          <c:dPt>
            <c:idx val="1"/>
            <c:bubble3D val="0"/>
            <c:spPr>
              <a:gradFill>
                <a:gsLst>
                  <a:gs pos="0">
                    <a:schemeClr val="accent3">
                      <a:lumMod val="60000"/>
                      <a:lumOff val="40000"/>
                    </a:schemeClr>
                  </a:gs>
                  <a:gs pos="60000">
                    <a:schemeClr val="accent3"/>
                  </a:gs>
                </a:gsLst>
                <a:lin ang="2700000" scaled="0"/>
              </a:gradFill>
              <a:ln w="12700"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12700"/>
            </c:spPr>
          </c:dPt>
          <c:dPt>
            <c:idx val="2"/>
            <c:bubble3D val="0"/>
            <c:spPr>
              <a:gradFill>
                <a:gsLst>
                  <a:gs pos="0">
                    <a:schemeClr val="accent2">
                      <a:lumMod val="60000"/>
                      <a:lumOff val="40000"/>
                    </a:schemeClr>
                  </a:gs>
                  <a:gs pos="60000">
                    <a:schemeClr val="accent2">
                      <a:alpha val="100000"/>
                    </a:schemeClr>
                  </a:gs>
                </a:gsLst>
                <a:lin ang="5400000" scaled="0"/>
              </a:gradFill>
              <a:ln w="12700"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12700"/>
            </c:spPr>
          </c:dPt>
          <c:dPt>
            <c:idx val="3"/>
            <c:bubble3D val="0"/>
            <c:spPr>
              <a:gradFill>
                <a:gsLst>
                  <a:gs pos="0">
                    <a:schemeClr val="accent4">
                      <a:lumMod val="60000"/>
                      <a:lumOff val="40000"/>
                    </a:schemeClr>
                  </a:gs>
                  <a:gs pos="60000">
                    <a:schemeClr val="accent4"/>
                  </a:gs>
                </a:gsLst>
                <a:lin ang="5400000" scaled="0"/>
              </a:gradFill>
              <a:ln w="12700"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12700"/>
            </c:spPr>
          </c:dPt>
          <c:dLbls>
            <c:dLbl>
              <c:idx val="0"/>
              <c:layout/>
              <c:numFmt formatCode="General" sourceLinked="1"/>
              <c:spPr>
                <a:solidFill>
                  <a:schemeClr val="accent1"/>
                </a:solidFill>
                <a:ln>
                  <a:solidFill>
                    <a:schemeClr val="accent1">
                      <a:lumMod val="75000"/>
                    </a:schemeClr>
                  </a:solid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manualLayout>
                  <c:x val="-0.00783903841128821"/>
                  <c:y val="-0.0826901874310915"/>
                </c:manualLayout>
              </c:layout>
              <c:numFmt formatCode="General" sourceLinked="1"/>
              <c:spPr>
                <a:solidFill>
                  <a:schemeClr val="accent3"/>
                </a:solidFill>
                <a:ln>
                  <a:solidFill>
                    <a:schemeClr val="accent3">
                      <a:lumMod val="75000"/>
                    </a:schemeClr>
                  </a:solid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numFmt formatCode="General" sourceLinked="1"/>
              <c:spPr>
                <a:solidFill>
                  <a:schemeClr val="accent2"/>
                </a:solidFill>
                <a:ln>
                  <a:solidFill>
                    <a:schemeClr val="accent2">
                      <a:lumMod val="75000"/>
                    </a:schemeClr>
                  </a:solid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3"/>
              <c:layout/>
              <c:numFmt formatCode="General" sourceLinked="1"/>
              <c:spPr>
                <a:solidFill>
                  <a:schemeClr val="accent4"/>
                </a:solidFill>
                <a:ln>
                  <a:solidFill>
                    <a:schemeClr val="accent4">
                      <a:lumMod val="75000"/>
                    </a:schemeClr>
                  </a:solid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numFmt formatCode="General" sourceLinked="1"/>
            <c:spPr>
              <a:solidFill>
                <a:srgbClr val="FFFFFF"/>
              </a:solidFill>
              <a:ln>
                <a:solidFill>
                  <a:srgbClr val="000000">
                    <a:lumMod val="65000"/>
                    <a:lumOff val="35000"/>
                  </a:srgbClr>
                </a:solid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spPr xmlns:c15="http://schemas.microsoft.com/office/drawing/2012/chart">
                  <a:prstGeom prst="wedgeEllipseCallout">
                    <a:avLst/>
                  </a:prstGeom>
                  <a:noFill/>
                  <a:ln>
                    <a:noFill/>
                  </a:ln>
                </c15:spPr>
                <c15:layout/>
                <c15:showLeaderLines val="1"/>
                <c15:leaderLines>
                  <c:spPr>
                    <a:ln w="9525" cap="flat" cmpd="sng" algn="ctr">
                      <a:solidFill>
                        <a:schemeClr val="tx1">
                          <a:lumMod val="35000"/>
                          <a:lumOff val="65000"/>
                        </a:schemeClr>
                      </a:solidFill>
                      <a:prstDash val="solid"/>
                      <a:round/>
                    </a:ln>
                    <a:effectLst/>
                  </c:spPr>
                </c15:leaderLines>
              </c:ext>
            </c:extLst>
          </c:dLbls>
          <c:cat>
            <c:strRef>
              <c:f>'[三保支出口径 - 2023年.xlsx]Sheet7'!$A$1:$A$4</c:f>
              <c:strCache>
                <c:ptCount val="4"/>
                <c:pt idx="0">
                  <c:v>城乡社区支出</c:v>
                </c:pt>
                <c:pt idx="1">
                  <c:v>社会保障和就业支出</c:v>
                </c:pt>
                <c:pt idx="2">
                  <c:v>卫生健康支出</c:v>
                </c:pt>
                <c:pt idx="3">
                  <c:v>住房保障支出</c:v>
                </c:pt>
              </c:strCache>
            </c:strRef>
          </c:cat>
          <c:val>
            <c:numRef>
              <c:f>'[三保支出口径 - 2023年.xlsx]Sheet7'!$B$1:$B$4</c:f>
              <c:numCache>
                <c:formatCode>0.00%</c:formatCode>
                <c:ptCount val="4"/>
                <c:pt idx="0">
                  <c:v>0.8092</c:v>
                </c:pt>
                <c:pt idx="1">
                  <c:v>0.088</c:v>
                </c:pt>
                <c:pt idx="2">
                  <c:v>0.0336</c:v>
                </c:pt>
                <c:pt idx="3">
                  <c:v>0.0692</c:v>
                </c:pt>
              </c:numCache>
            </c:numRef>
          </c:val>
        </c:ser>
        <c:dLbls>
          <c:showLegendKey val="0"/>
          <c:showVal val="0"/>
          <c:showCatName val="0"/>
          <c:showSerName val="0"/>
          <c:showPercent val="1"/>
          <c:showBubbleSize val="0"/>
        </c:dLbls>
      </c:pie3D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rPr>
                <a:latin typeface="微软雅黑" panose="020B0503020204020204" charset="-122"/>
                <a:ea typeface="微软雅黑" panose="020B0503020204020204" charset="-122"/>
                <a:cs typeface="微软雅黑" panose="020B0503020204020204" charset="-122"/>
              </a:rPr>
              <a:t>“三公”经费财政拨款支出结构图</a:t>
            </a:r>
            <a:endParaRPr>
              <a:latin typeface="微软雅黑" panose="020B0503020204020204" charset="-122"/>
              <a:ea typeface="微软雅黑" panose="020B0503020204020204" charset="-122"/>
              <a:cs typeface="微软雅黑" panose="020B0503020204020204" charset="-122"/>
            </a:endParaRPr>
          </a:p>
        </c:rich>
      </c:tx>
      <c:layout/>
      <c:overlay val="0"/>
      <c:spPr>
        <a:noFill/>
        <a:ln>
          <a:noFill/>
        </a:ln>
        <a:effectLst/>
      </c:spPr>
    </c:title>
    <c:autoTitleDeleted val="0"/>
    <c:view3D>
      <c:rotX val="40"/>
      <c:rotY val="0"/>
      <c:depthPercent val="100"/>
      <c:rAngAx val="0"/>
    </c:view3D>
    <c:floor>
      <c:thickness val="0"/>
    </c:floor>
    <c:sideWall>
      <c:thickness val="0"/>
    </c:sideWall>
    <c:backWall>
      <c:thickness val="0"/>
    </c:backWall>
    <c:plotArea>
      <c:layout>
        <c:manualLayout>
          <c:layoutTarget val="inner"/>
          <c:xMode val="edge"/>
          <c:yMode val="edge"/>
          <c:x val="0.0227008149010477"/>
          <c:y val="0.20909652191809"/>
          <c:w val="0.530849825378347"/>
          <c:h val="0.698086025931262"/>
        </c:manualLayout>
      </c:layout>
      <c:pie3DChart>
        <c:varyColors val="1"/>
        <c:ser>
          <c:idx val="0"/>
          <c:order val="0"/>
          <c:spPr>
            <a:ln w="12700"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12700"/>
          </c:spPr>
          <c:explosion val="0"/>
          <c:dPt>
            <c:idx val="0"/>
            <c:bubble3D val="0"/>
            <c:spPr>
              <a:gradFill>
                <a:gsLst>
                  <a:gs pos="0">
                    <a:schemeClr val="accent1">
                      <a:lumMod val="60000"/>
                      <a:lumOff val="40000"/>
                    </a:schemeClr>
                  </a:gs>
                  <a:gs pos="50000">
                    <a:schemeClr val="accent1"/>
                  </a:gs>
                </a:gsLst>
                <a:lin ang="2700000" scaled="0"/>
              </a:gradFill>
              <a:ln w="12700"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12700"/>
            </c:spPr>
          </c:dPt>
          <c:dPt>
            <c:idx val="1"/>
            <c:bubble3D val="0"/>
            <c:spPr>
              <a:gradFill>
                <a:gsLst>
                  <a:gs pos="0">
                    <a:schemeClr val="accent3">
                      <a:lumMod val="60000"/>
                      <a:lumOff val="40000"/>
                    </a:schemeClr>
                  </a:gs>
                  <a:gs pos="60000">
                    <a:schemeClr val="accent3"/>
                  </a:gs>
                </a:gsLst>
                <a:lin ang="2700000" scaled="0"/>
              </a:gradFill>
              <a:ln w="12700"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12700"/>
            </c:spPr>
          </c:dPt>
          <c:dPt>
            <c:idx val="2"/>
            <c:bubble3D val="0"/>
            <c:spPr>
              <a:gradFill>
                <a:gsLst>
                  <a:gs pos="0">
                    <a:schemeClr val="accent2">
                      <a:lumMod val="60000"/>
                      <a:lumOff val="40000"/>
                    </a:schemeClr>
                  </a:gs>
                  <a:gs pos="60000">
                    <a:schemeClr val="accent2">
                      <a:alpha val="100000"/>
                    </a:schemeClr>
                  </a:gs>
                </a:gsLst>
                <a:lin ang="5400000" scaled="0"/>
              </a:gradFill>
              <a:ln w="12700"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12700"/>
            </c:spPr>
          </c:dPt>
          <c:dLbls>
            <c:dLbl>
              <c:idx val="0"/>
              <c:layout/>
              <c:numFmt formatCode="General" sourceLinked="1"/>
              <c:spPr>
                <a:solidFill>
                  <a:schemeClr val="accent1"/>
                </a:solidFill>
                <a:ln>
                  <a:solidFill>
                    <a:schemeClr val="accent1">
                      <a:lumMod val="75000"/>
                    </a:schemeClr>
                  </a:solid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manualLayout>
                  <c:x val="-0.00783903841128821"/>
                  <c:y val="-0.0826901874310915"/>
                </c:manualLayout>
              </c:layout>
              <c:numFmt formatCode="General" sourceLinked="1"/>
              <c:spPr>
                <a:solidFill>
                  <a:schemeClr val="accent3"/>
                </a:solidFill>
                <a:ln>
                  <a:solidFill>
                    <a:schemeClr val="accent3">
                      <a:lumMod val="75000"/>
                    </a:schemeClr>
                  </a:solid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numFmt formatCode="General" sourceLinked="1"/>
              <c:spPr>
                <a:solidFill>
                  <a:schemeClr val="accent2"/>
                </a:solidFill>
                <a:ln>
                  <a:solidFill>
                    <a:schemeClr val="accent2">
                      <a:lumMod val="75000"/>
                    </a:schemeClr>
                  </a:solid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bg1"/>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numFmt formatCode="General" sourceLinked="1"/>
            <c:spPr>
              <a:solidFill>
                <a:srgbClr val="FFFFFF"/>
              </a:solidFill>
              <a:ln>
                <a:solidFill>
                  <a:srgbClr val="000000">
                    <a:lumMod val="65000"/>
                    <a:lumOff val="35000"/>
                  </a:srgbClr>
                </a:solid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spPr xmlns:c15="http://schemas.microsoft.com/office/drawing/2012/chart">
                  <a:prstGeom prst="wedgeEllipseCallout">
                    <a:avLst/>
                  </a:prstGeom>
                  <a:noFill/>
                  <a:ln>
                    <a:noFill/>
                  </a:ln>
                </c15:spPr>
                <c15:layout/>
                <c15:showLeaderLines val="1"/>
                <c15:leaderLines>
                  <c:spPr>
                    <a:ln w="9525" cap="flat" cmpd="sng" algn="ctr">
                      <a:solidFill>
                        <a:schemeClr val="tx1">
                          <a:lumMod val="35000"/>
                          <a:lumOff val="65000"/>
                        </a:schemeClr>
                      </a:solidFill>
                      <a:prstDash val="solid"/>
                      <a:round/>
                    </a:ln>
                    <a:effectLst/>
                  </c:spPr>
                </c15:leaderLines>
              </c:ext>
            </c:extLst>
          </c:dLbls>
          <c:cat>
            <c:strRef>
              <c:f>'[三保支出口径 - 2023年.xlsx]Sheet8'!$A$1:$A$3</c:f>
              <c:strCache>
                <c:ptCount val="3"/>
                <c:pt idx="0">
                  <c:v>因公出国（境）费支出决算</c:v>
                </c:pt>
                <c:pt idx="1">
                  <c:v>公务用车购置及运行维护费支出</c:v>
                </c:pt>
                <c:pt idx="2">
                  <c:v>公务接待费支出</c:v>
                </c:pt>
              </c:strCache>
            </c:strRef>
          </c:cat>
          <c:val>
            <c:numRef>
              <c:f>'[三保支出口径 - 2023年.xlsx]Sheet8'!$B$1:$B$3</c:f>
              <c:numCache>
                <c:formatCode>0%</c:formatCode>
                <c:ptCount val="3"/>
                <c:pt idx="0">
                  <c:v>0</c:v>
                </c:pt>
                <c:pt idx="1">
                  <c:v>0</c:v>
                </c:pt>
                <c:pt idx="2">
                  <c:v>1</c:v>
                </c:pt>
              </c:numCache>
            </c:numRef>
          </c:val>
        </c:ser>
        <c:dLbls>
          <c:showLegendKey val="0"/>
          <c:showVal val="0"/>
          <c:showCatName val="0"/>
          <c:showSerName val="0"/>
          <c:showPercent val="1"/>
          <c:showBubbleSize val="0"/>
        </c:dLbls>
      </c:pie3DChart>
      <c:spPr>
        <a:noFill/>
        <a:ln>
          <a:noFill/>
        </a:ln>
        <a:effectLst/>
      </c:spPr>
    </c:plotArea>
    <c:legend>
      <c:legendPos val="r"/>
      <c:layout>
        <c:manualLayout>
          <c:xMode val="edge"/>
          <c:yMode val="edge"/>
          <c:x val="0.564144353899884"/>
          <c:y val="0.448754887837004"/>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6">
    <a:dk1>
      <a:srgbClr val="000000"/>
    </a:dk1>
    <a:lt1>
      <a:srgbClr val="FFFFFF"/>
    </a:lt1>
    <a:dk2>
      <a:srgbClr val="0C0E1F"/>
    </a:dk2>
    <a:lt2>
      <a:srgbClr val="FEFFFF"/>
    </a:lt2>
    <a:accent1>
      <a:srgbClr val="54C9FA"/>
    </a:accent1>
    <a:accent2>
      <a:srgbClr val="6C92FD"/>
    </a:accent2>
    <a:accent3>
      <a:srgbClr val="FF731F"/>
    </a:accent3>
    <a:accent4>
      <a:srgbClr val="16CC8A"/>
    </a:accent4>
    <a:accent5>
      <a:srgbClr val="FFC619"/>
    </a:accent5>
    <a:accent6>
      <a:srgbClr val="4E37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5】">
    <a:dk1>
      <a:srgbClr val="000000"/>
    </a:dk1>
    <a:lt1>
      <a:srgbClr val="FFFFFF"/>
    </a:lt1>
    <a:dk2>
      <a:srgbClr val="0C0E1F"/>
    </a:dk2>
    <a:lt2>
      <a:srgbClr val="FEFFFF"/>
    </a:lt2>
    <a:accent1>
      <a:srgbClr val="F2B600"/>
    </a:accent1>
    <a:accent2>
      <a:srgbClr val="96CE1E"/>
    </a:accent2>
    <a:accent3>
      <a:srgbClr val="058CF5"/>
    </a:accent3>
    <a:accent4>
      <a:srgbClr val="1CC6C8"/>
    </a:accent4>
    <a:accent5>
      <a:srgbClr val="13AF67"/>
    </a:accent5>
    <a:accent6>
      <a:srgbClr val="566EFE"/>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16.1">
    <a:dk1>
      <a:srgbClr val="000000"/>
    </a:dk1>
    <a:lt1>
      <a:srgbClr val="FFFFFF"/>
    </a:lt1>
    <a:dk2>
      <a:srgbClr val="0F1423"/>
    </a:dk2>
    <a:lt2>
      <a:srgbClr val="FFFFFF"/>
    </a:lt2>
    <a:accent1>
      <a:srgbClr val="7262FD"/>
    </a:accent1>
    <a:accent2>
      <a:srgbClr val="FF6637"/>
    </a:accent2>
    <a:accent3>
      <a:srgbClr val="FF860F"/>
    </a:accent3>
    <a:accent4>
      <a:srgbClr val="FFB607"/>
    </a:accent4>
    <a:accent5>
      <a:srgbClr val="45CBF1"/>
    </a:accent5>
    <a:accent6>
      <a:srgbClr val="41DDAC"/>
    </a:accent6>
    <a:hlink>
      <a:srgbClr val="0563C1"/>
    </a:hlink>
    <a:folHlink>
      <a:srgbClr val="954D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16.1">
    <a:dk1>
      <a:srgbClr val="000000"/>
    </a:dk1>
    <a:lt1>
      <a:srgbClr val="FFFFFF"/>
    </a:lt1>
    <a:dk2>
      <a:srgbClr val="0F1423"/>
    </a:dk2>
    <a:lt2>
      <a:srgbClr val="FFFFFF"/>
    </a:lt2>
    <a:accent1>
      <a:srgbClr val="7262FD"/>
    </a:accent1>
    <a:accent2>
      <a:srgbClr val="FF6637"/>
    </a:accent2>
    <a:accent3>
      <a:srgbClr val="FF860F"/>
    </a:accent3>
    <a:accent4>
      <a:srgbClr val="FFB607"/>
    </a:accent4>
    <a:accent5>
      <a:srgbClr val="45CBF1"/>
    </a:accent5>
    <a:accent6>
      <a:srgbClr val="41DDAC"/>
    </a:accent6>
    <a:hlink>
      <a:srgbClr val="0563C1"/>
    </a:hlink>
    <a:folHlink>
      <a:srgbClr val="954D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6</TotalTime>
  <ScaleCrop>false</ScaleCrop>
  <LinksUpToDate>false</LinksUpToDate>
  <CharactersWithSpaces>8692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依然depr</cp:lastModifiedBy>
  <cp:lastPrinted>2023-09-21T09:36:00Z</cp:lastPrinted>
  <dcterms:modified xsi:type="dcterms:W3CDTF">2023-09-22T01:05:39Z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72F4C82951CB4F829A7FB49B2A818C83_12</vt:lpwstr>
  </property>
</Properties>
</file>