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bidi w:val="0"/>
        <w:adjustRightInd w:val="0"/>
        <w:snapToGrid w:val="0"/>
        <w:spacing w:beforeAutospacing="0" w:afterAutospacing="0" w:line="576" w:lineRule="exact"/>
        <w:ind w:left="0"/>
        <w:jc w:val="center"/>
        <w:textAlignment w:val="auto"/>
        <w:rPr>
          <w:rFonts w:hint="eastAsia" w:ascii="Times New Roman" w:eastAsia="方正小标宋简体" w:cs="方正小标宋简体"/>
          <w:color w:val="auto"/>
          <w:kern w:val="0"/>
          <w:sz w:val="44"/>
          <w:szCs w:val="44"/>
        </w:rPr>
      </w:pPr>
    </w:p>
    <w:p>
      <w:pPr>
        <w:keepNext w:val="0"/>
        <w:keepLines w:val="0"/>
        <w:pageBreakBefore w:val="0"/>
        <w:widowControl w:val="0"/>
        <w:kinsoku/>
        <w:wordWrap/>
        <w:overflowPunct/>
        <w:topLinePunct w:val="0"/>
        <w:autoSpaceDE w:val="0"/>
        <w:autoSpaceDN/>
        <w:bidi w:val="0"/>
        <w:adjustRightInd w:val="0"/>
        <w:snapToGrid w:val="0"/>
        <w:spacing w:beforeAutospacing="0" w:afterAutospacing="0" w:line="600" w:lineRule="exact"/>
        <w:ind w:left="0"/>
        <w:jc w:val="center"/>
        <w:textAlignment w:val="auto"/>
        <w:rPr>
          <w:rFonts w:hint="eastAsia" w:ascii="Times New Roman" w:eastAsia="方正小标宋简体" w:cs="方正小标宋简体"/>
          <w:color w:val="auto"/>
          <w:kern w:val="0"/>
          <w:sz w:val="44"/>
          <w:szCs w:val="44"/>
          <w:lang w:eastAsia="zh-CN"/>
        </w:rPr>
      </w:pPr>
      <w:r>
        <w:rPr>
          <w:rFonts w:hint="eastAsia" w:ascii="Times New Roman" w:eastAsia="方正小标宋简体" w:cs="方正小标宋简体"/>
          <w:color w:val="auto"/>
          <w:kern w:val="0"/>
          <w:sz w:val="44"/>
          <w:szCs w:val="44"/>
        </w:rPr>
        <w:t>广元市昭化区</w:t>
      </w:r>
      <w:r>
        <w:rPr>
          <w:rFonts w:hint="eastAsia" w:ascii="Times New Roman" w:eastAsia="方正小标宋简体" w:cs="方正小标宋简体"/>
          <w:color w:val="auto"/>
          <w:kern w:val="0"/>
          <w:sz w:val="44"/>
          <w:szCs w:val="44"/>
          <w:lang w:eastAsia="zh-CN"/>
        </w:rPr>
        <w:t>住房和城乡建设局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i w:val="0"/>
          <w:caps w:val="0"/>
          <w:color w:val="auto"/>
          <w:spacing w:val="0"/>
          <w:sz w:val="44"/>
          <w:szCs w:val="44"/>
        </w:rPr>
      </w:pPr>
      <w:r>
        <w:rPr>
          <w:rFonts w:hint="eastAsia" w:ascii="方正小标宋简体" w:hAnsi="方正小标宋简体" w:eastAsia="方正小标宋简体" w:cs="方正小标宋简体"/>
          <w:b w:val="0"/>
          <w:bCs/>
          <w:i w:val="0"/>
          <w:caps w:val="0"/>
          <w:color w:val="auto"/>
          <w:spacing w:val="0"/>
          <w:sz w:val="44"/>
          <w:szCs w:val="44"/>
        </w:rPr>
        <w:t>2021年政府信息公开工作年度报告</w:t>
      </w:r>
    </w:p>
    <w:p>
      <w:pPr>
        <w:keepNext w:val="0"/>
        <w:keepLines w:val="0"/>
        <w:pageBreakBefore w:val="0"/>
        <w:widowControl w:val="0"/>
        <w:kinsoku/>
        <w:wordWrap/>
        <w:overflowPunct/>
        <w:topLinePunct w:val="0"/>
        <w:autoSpaceDE w:val="0"/>
        <w:autoSpaceDN/>
        <w:bidi w:val="0"/>
        <w:adjustRightInd w:val="0"/>
        <w:snapToGrid w:val="0"/>
        <w:spacing w:beforeAutospacing="0" w:afterAutospacing="0" w:line="600" w:lineRule="exact"/>
        <w:ind w:left="0" w:firstLine="640" w:firstLineChars="200"/>
        <w:jc w:val="left"/>
        <w:textAlignment w:val="auto"/>
        <w:rPr>
          <w:rFonts w:hint="eastAsia" w:ascii="仿宋_GB2312" w:hAnsi="仿宋_GB2312" w:eastAsia="仿宋_GB2312" w:cs="仿宋_GB2312"/>
          <w:color w:val="auto"/>
          <w:kern w:val="0"/>
          <w:sz w:val="32"/>
          <w:szCs w:val="32"/>
        </w:rPr>
      </w:pPr>
    </w:p>
    <w:p>
      <w:pPr>
        <w:keepNext w:val="0"/>
        <w:keepLines w:val="0"/>
        <w:pageBreakBefore w:val="0"/>
        <w:widowControl w:val="0"/>
        <w:kinsoku/>
        <w:wordWrap/>
        <w:overflowPunct/>
        <w:topLinePunct w:val="0"/>
        <w:autoSpaceDE w:val="0"/>
        <w:autoSpaceDN/>
        <w:bidi w:val="0"/>
        <w:adjustRightInd w:val="0"/>
        <w:snapToGrid w:val="0"/>
        <w:spacing w:beforeAutospacing="0" w:afterAutospacing="0" w:line="600" w:lineRule="exact"/>
        <w:ind w:left="0" w:firstLine="640" w:firstLineChars="200"/>
        <w:jc w:val="left"/>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本</w:t>
      </w:r>
      <w:r>
        <w:rPr>
          <w:rFonts w:hint="eastAsia" w:ascii="仿宋_GB2312" w:hAnsi="仿宋_GB2312" w:eastAsia="仿宋_GB2312" w:cs="仿宋_GB2312"/>
          <w:color w:val="auto"/>
          <w:spacing w:val="-11"/>
          <w:kern w:val="0"/>
          <w:sz w:val="32"/>
          <w:szCs w:val="32"/>
        </w:rPr>
        <w:t>年度报告根据《中华人民共和国政府信息公开条例》《国务院办公厅政府信息与政务公开办公室关于政府信息公开工作年度报告有关事项的通知》（国办公开办函〔2019〕60号）有关工作要求编制，全文包括总体情况、主动公开政府信息情况、收到和处理政府信息公开申请情况、政府信息公开行政复议行政诉讼情况、主要问题及改进措施、其他需要报告事项等六部分内容。本报告所列数据的统计周期为2021年1月1日至2021年12月31日。电子版可在广元市昭化区人民政府网站（www.cnzh.gov.cn）政府信息公开专栏下载。如对本年度报告有疑问，请与广元市昭化区</w:t>
      </w:r>
      <w:r>
        <w:rPr>
          <w:rFonts w:hint="eastAsia" w:ascii="仿宋_GB2312" w:hAnsi="仿宋_GB2312" w:eastAsia="仿宋_GB2312" w:cs="仿宋_GB2312"/>
          <w:color w:val="auto"/>
          <w:spacing w:val="-11"/>
          <w:kern w:val="0"/>
          <w:sz w:val="32"/>
          <w:szCs w:val="32"/>
          <w:lang w:eastAsia="zh-CN"/>
        </w:rPr>
        <w:t>住房和城乡建设局</w:t>
      </w:r>
      <w:r>
        <w:rPr>
          <w:rFonts w:hint="eastAsia" w:ascii="仿宋_GB2312" w:hAnsi="仿宋_GB2312" w:eastAsia="仿宋_GB2312" w:cs="仿宋_GB2312"/>
          <w:color w:val="auto"/>
          <w:spacing w:val="-11"/>
          <w:kern w:val="0"/>
          <w:sz w:val="32"/>
          <w:szCs w:val="32"/>
        </w:rPr>
        <w:t>办公室联系（地址：广元市昭化区元坝镇京兆路</w:t>
      </w:r>
      <w:r>
        <w:rPr>
          <w:rFonts w:hint="eastAsia" w:ascii="仿宋_GB2312" w:hAnsi="仿宋_GB2312" w:eastAsia="仿宋_GB2312" w:cs="仿宋_GB2312"/>
          <w:color w:val="auto"/>
          <w:spacing w:val="-11"/>
          <w:kern w:val="0"/>
          <w:sz w:val="32"/>
          <w:szCs w:val="32"/>
          <w:lang w:val="en-US" w:eastAsia="zh-CN"/>
        </w:rPr>
        <w:t>82</w:t>
      </w:r>
      <w:r>
        <w:rPr>
          <w:rFonts w:hint="eastAsia" w:ascii="仿宋_GB2312" w:hAnsi="仿宋_GB2312" w:eastAsia="仿宋_GB2312" w:cs="仿宋_GB2312"/>
          <w:color w:val="auto"/>
          <w:spacing w:val="-11"/>
          <w:kern w:val="0"/>
          <w:sz w:val="32"/>
          <w:szCs w:val="32"/>
        </w:rPr>
        <w:t>号，邮编：628001，电话：0839-</w:t>
      </w:r>
      <w:r>
        <w:rPr>
          <w:rFonts w:hint="eastAsia" w:ascii="仿宋_GB2312" w:hAnsi="仿宋_GB2312" w:eastAsia="仿宋_GB2312" w:cs="仿宋_GB2312"/>
          <w:color w:val="auto"/>
          <w:spacing w:val="-11"/>
          <w:kern w:val="0"/>
          <w:sz w:val="32"/>
          <w:szCs w:val="32"/>
          <w:lang w:val="en-US" w:eastAsia="zh-CN"/>
        </w:rPr>
        <w:t>8722254</w:t>
      </w:r>
      <w:r>
        <w:rPr>
          <w:rFonts w:hint="eastAsia" w:ascii="仿宋_GB2312" w:hAnsi="仿宋_GB2312" w:eastAsia="仿宋_GB2312" w:cs="仿宋_GB2312"/>
          <w:color w:val="auto"/>
          <w:spacing w:val="-11"/>
          <w:kern w:val="0"/>
          <w:sz w:val="32"/>
          <w:szCs w:val="32"/>
        </w:rPr>
        <w:t>）</w:t>
      </w:r>
      <w:r>
        <w:rPr>
          <w:rFonts w:hint="eastAsia" w:ascii="仿宋_GB2312" w:hAnsi="仿宋_GB2312" w:eastAsia="仿宋_GB2312" w:cs="仿宋_GB2312"/>
          <w:color w:val="auto"/>
          <w:spacing w:val="0"/>
          <w:kern w:val="0"/>
          <w:sz w:val="32"/>
          <w:szCs w:val="32"/>
        </w:rPr>
        <w:t>。</w:t>
      </w:r>
    </w:p>
    <w:p>
      <w:pPr>
        <w:keepNext w:val="0"/>
        <w:keepLines w:val="0"/>
        <w:pageBreakBefore w:val="0"/>
        <w:widowControl w:val="0"/>
        <w:kinsoku/>
        <w:wordWrap/>
        <w:overflowPunct/>
        <w:topLinePunct w:val="0"/>
        <w:autoSpaceDE w:val="0"/>
        <w:autoSpaceDN/>
        <w:bidi w:val="0"/>
        <w:adjustRightInd w:val="0"/>
        <w:snapToGrid w:val="0"/>
        <w:spacing w:beforeAutospacing="0" w:afterAutospacing="0" w:line="600" w:lineRule="exact"/>
        <w:ind w:left="0"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kern w:val="0"/>
          <w:sz w:val="32"/>
          <w:szCs w:val="32"/>
          <w:lang w:eastAsia="zh-CN"/>
        </w:rPr>
        <w:t>一、</w:t>
      </w:r>
      <w:r>
        <w:rPr>
          <w:rFonts w:hint="eastAsia" w:ascii="黑体" w:hAnsi="黑体" w:eastAsia="黑体" w:cs="黑体"/>
          <w:color w:val="auto"/>
          <w:kern w:val="0"/>
          <w:sz w:val="32"/>
          <w:szCs w:val="32"/>
        </w:rPr>
        <w:t>总体情况</w:t>
      </w:r>
    </w:p>
    <w:p>
      <w:pPr>
        <w:keepNext w:val="0"/>
        <w:keepLines w:val="0"/>
        <w:pageBreakBefore w:val="0"/>
        <w:widowControl w:val="0"/>
        <w:kinsoku/>
        <w:wordWrap/>
        <w:overflowPunct/>
        <w:topLinePunct w:val="0"/>
        <w:autoSpaceDN/>
        <w:bidi w:val="0"/>
        <w:spacing w:beforeAutospacing="0" w:afterAutospacing="0" w:line="600" w:lineRule="exact"/>
        <w:ind w:left="0" w:firstLine="640" w:firstLineChars="200"/>
        <w:textAlignment w:val="auto"/>
        <w:rPr>
          <w:rFonts w:hint="eastAsia" w:hAnsi="仿宋_GB2312" w:eastAsia="仿宋_GB2312"/>
          <w:bCs/>
          <w:color w:val="auto"/>
          <w:kern w:val="0"/>
          <w:sz w:val="32"/>
          <w:szCs w:val="32"/>
          <w:lang w:eastAsia="zh-CN"/>
        </w:rPr>
      </w:pPr>
      <w:r>
        <w:rPr>
          <w:rFonts w:hint="eastAsia" w:ascii="华文楷体" w:hAnsi="华文楷体" w:eastAsia="华文楷体"/>
          <w:color w:val="auto"/>
          <w:sz w:val="32"/>
          <w:szCs w:val="32"/>
        </w:rPr>
        <w:t>（一）主动公开方面。</w:t>
      </w:r>
      <w:r>
        <w:rPr>
          <w:rFonts w:hint="eastAsia" w:ascii="仿宋_GB2312" w:hAnsi="仿宋_GB2312" w:eastAsia="仿宋_GB2312" w:cs="仿宋_GB2312"/>
          <w:color w:val="auto"/>
          <w:sz w:val="32"/>
          <w:szCs w:val="32"/>
        </w:rPr>
        <w:t>根据《昭化区2021年政务公开工作要点》和《昭化区全面推进基层政务公开标准化规范化工作实施方案》文件精神。2021年，我局公开</w:t>
      </w:r>
      <w:r>
        <w:rPr>
          <w:rFonts w:hint="eastAsia" w:ascii="仿宋_GB2312" w:hAnsi="仿宋_GB2312" w:eastAsia="仿宋_GB2312" w:cs="仿宋_GB2312"/>
          <w:color w:val="auto"/>
          <w:sz w:val="32"/>
          <w:szCs w:val="32"/>
          <w:lang w:eastAsia="zh-CN"/>
        </w:rPr>
        <w:t>住房保障、</w:t>
      </w:r>
      <w:r>
        <w:rPr>
          <w:rFonts w:hint="eastAsia" w:ascii="仿宋_GB2312" w:hAnsi="仿宋_GB2312" w:eastAsia="仿宋_GB2312" w:cs="仿宋_GB2312"/>
          <w:i w:val="0"/>
          <w:iCs w:val="0"/>
          <w:caps w:val="0"/>
          <w:color w:val="auto"/>
          <w:spacing w:val="0"/>
          <w:sz w:val="32"/>
          <w:szCs w:val="32"/>
          <w:shd w:val="clear" w:fill="FFFFFF"/>
        </w:rPr>
        <w:t>党风廉政建设</w:t>
      </w:r>
      <w:r>
        <w:rPr>
          <w:rFonts w:hint="eastAsia" w:ascii="仿宋_GB2312" w:hAnsi="仿宋_GB2312" w:eastAsia="仿宋_GB2312" w:cs="仿宋_GB2312"/>
          <w:i w:val="0"/>
          <w:iCs w:val="0"/>
          <w:caps w:val="0"/>
          <w:color w:val="auto"/>
          <w:spacing w:val="0"/>
          <w:sz w:val="32"/>
          <w:szCs w:val="32"/>
          <w:shd w:val="clear" w:fill="FFFFFF"/>
          <w:lang w:eastAsia="zh-CN"/>
        </w:rPr>
        <w:t>、工程项目审批制度改革、市政建设、住建领域系统治理等信息</w:t>
      </w:r>
      <w:r>
        <w:rPr>
          <w:rFonts w:hint="eastAsia" w:ascii="仿宋_GB2312" w:hAnsi="仿宋_GB2312" w:eastAsia="仿宋_GB2312" w:cs="仿宋_GB2312"/>
          <w:i w:val="0"/>
          <w:iCs w:val="0"/>
          <w:caps w:val="0"/>
          <w:color w:val="auto"/>
          <w:spacing w:val="0"/>
          <w:sz w:val="32"/>
          <w:szCs w:val="32"/>
          <w:shd w:val="clear" w:fill="FFFFFF"/>
          <w:lang w:val="en-US" w:eastAsia="zh-CN"/>
        </w:rPr>
        <w:t>共88</w:t>
      </w:r>
      <w:r>
        <w:rPr>
          <w:rFonts w:hint="eastAsia" w:ascii="仿宋_GB2312" w:hAnsi="仿宋_GB2312" w:eastAsia="仿宋_GB2312" w:cs="仿宋_GB2312"/>
          <w:b w:val="0"/>
          <w:bCs/>
          <w:i w:val="0"/>
          <w:caps w:val="0"/>
          <w:color w:val="auto"/>
          <w:spacing w:val="0"/>
          <w:sz w:val="32"/>
          <w:szCs w:val="32"/>
          <w:shd w:val="clear" w:fill="FFFFFF"/>
        </w:rPr>
        <w:t>条</w:t>
      </w:r>
      <w:r>
        <w:rPr>
          <w:rFonts w:hint="eastAsia" w:ascii="仿宋_GB2312" w:hAnsi="仿宋_GB2312" w:eastAsia="仿宋_GB2312" w:cs="仿宋_GB2312"/>
          <w:b w:val="0"/>
          <w:bCs/>
          <w:i w:val="0"/>
          <w:caps w:val="0"/>
          <w:color w:val="auto"/>
          <w:spacing w:val="0"/>
          <w:sz w:val="32"/>
          <w:szCs w:val="32"/>
          <w:shd w:val="clear" w:fill="FFFFFF"/>
          <w:lang w:eastAsia="zh-CN"/>
        </w:rPr>
        <w:t>。</w:t>
      </w:r>
    </w:p>
    <w:p>
      <w:pPr>
        <w:keepNext w:val="0"/>
        <w:keepLines w:val="0"/>
        <w:pageBreakBefore w:val="0"/>
        <w:widowControl w:val="0"/>
        <w:kinsoku/>
        <w:wordWrap/>
        <w:overflowPunct/>
        <w:topLinePunct w:val="0"/>
        <w:autoSpaceDN/>
        <w:bidi w:val="0"/>
        <w:spacing w:beforeAutospacing="0" w:afterAutospacing="0" w:line="600" w:lineRule="exact"/>
        <w:ind w:left="0" w:firstLine="640" w:firstLineChars="200"/>
        <w:textAlignment w:val="auto"/>
        <w:rPr>
          <w:rFonts w:eastAsia="仿宋_GB2312"/>
          <w:color w:val="auto"/>
          <w:sz w:val="32"/>
          <w:szCs w:val="32"/>
        </w:rPr>
      </w:pPr>
      <w:r>
        <w:rPr>
          <w:rFonts w:hint="eastAsia" w:ascii="华文楷体" w:hAnsi="华文楷体" w:eastAsia="华文楷体"/>
          <w:color w:val="auto"/>
          <w:sz w:val="32"/>
          <w:szCs w:val="32"/>
        </w:rPr>
        <w:t>（二）依申请公开方面</w:t>
      </w:r>
      <w:r>
        <w:rPr>
          <w:rFonts w:hint="eastAsia" w:ascii="华文楷体" w:hAnsi="华文楷体" w:eastAsia="华文楷体"/>
          <w:color w:val="auto"/>
          <w:sz w:val="32"/>
          <w:szCs w:val="32"/>
          <w:lang w:eastAsia="zh-CN"/>
        </w:rPr>
        <w:t>。</w:t>
      </w:r>
      <w:r>
        <w:rPr>
          <w:rFonts w:hint="eastAsia" w:eastAsia="仿宋_GB2312"/>
          <w:color w:val="auto"/>
          <w:sz w:val="32"/>
          <w:szCs w:val="32"/>
        </w:rPr>
        <w:t>202</w:t>
      </w:r>
      <w:r>
        <w:rPr>
          <w:rFonts w:hint="eastAsia" w:eastAsia="仿宋_GB2312"/>
          <w:color w:val="auto"/>
          <w:sz w:val="32"/>
          <w:szCs w:val="32"/>
          <w:lang w:val="en-US" w:eastAsia="zh-CN"/>
        </w:rPr>
        <w:t>1</w:t>
      </w:r>
      <w:r>
        <w:rPr>
          <w:rFonts w:hint="eastAsia" w:eastAsia="仿宋_GB2312"/>
          <w:color w:val="auto"/>
          <w:sz w:val="32"/>
          <w:szCs w:val="32"/>
        </w:rPr>
        <w:t>年收到公民提交的政府信息公开申请</w:t>
      </w:r>
      <w:r>
        <w:rPr>
          <w:rFonts w:hint="eastAsia" w:eastAsia="仿宋_GB2312"/>
          <w:color w:val="auto"/>
          <w:sz w:val="32"/>
          <w:szCs w:val="32"/>
          <w:lang w:val="en-US" w:eastAsia="zh-CN"/>
        </w:rPr>
        <w:t>2</w:t>
      </w:r>
      <w:r>
        <w:rPr>
          <w:rFonts w:hint="eastAsia" w:eastAsia="仿宋_GB2312"/>
          <w:color w:val="auto"/>
          <w:sz w:val="32"/>
          <w:szCs w:val="32"/>
        </w:rPr>
        <w:t>件，依法按时办结</w:t>
      </w:r>
      <w:r>
        <w:rPr>
          <w:rFonts w:hint="eastAsia" w:eastAsia="仿宋_GB2312"/>
          <w:color w:val="auto"/>
          <w:sz w:val="32"/>
          <w:szCs w:val="32"/>
          <w:lang w:val="en-US" w:eastAsia="zh-CN"/>
        </w:rPr>
        <w:t>2</w:t>
      </w:r>
      <w:r>
        <w:rPr>
          <w:rFonts w:hint="eastAsia" w:eastAsia="仿宋_GB2312"/>
          <w:color w:val="auto"/>
          <w:sz w:val="32"/>
          <w:szCs w:val="32"/>
        </w:rPr>
        <w:t>件，均未引起行政复议和行政诉讼。</w:t>
      </w:r>
    </w:p>
    <w:p>
      <w:pPr>
        <w:keepNext w:val="0"/>
        <w:keepLines w:val="0"/>
        <w:pageBreakBefore w:val="0"/>
        <w:widowControl w:val="0"/>
        <w:kinsoku/>
        <w:wordWrap/>
        <w:overflowPunct/>
        <w:topLinePunct w:val="0"/>
        <w:autoSpaceDN/>
        <w:bidi w:val="0"/>
        <w:spacing w:beforeAutospacing="0" w:afterAutospacing="0" w:line="600" w:lineRule="exact"/>
        <w:ind w:left="0" w:firstLine="640" w:firstLineChars="200"/>
        <w:textAlignment w:val="auto"/>
        <w:rPr>
          <w:rFonts w:eastAsia="仿宋_GB2312"/>
          <w:color w:val="auto"/>
          <w:sz w:val="32"/>
          <w:szCs w:val="32"/>
        </w:rPr>
      </w:pPr>
      <w:r>
        <w:rPr>
          <w:rFonts w:hint="eastAsia" w:ascii="华文楷体" w:hAnsi="华文楷体" w:eastAsia="华文楷体"/>
          <w:color w:val="auto"/>
          <w:sz w:val="32"/>
          <w:szCs w:val="32"/>
        </w:rPr>
        <w:t>（三）政府信息管理方面。</w:t>
      </w:r>
      <w:r>
        <w:rPr>
          <w:rFonts w:hint="eastAsia" w:eastAsia="仿宋_GB2312"/>
          <w:color w:val="auto"/>
          <w:sz w:val="32"/>
          <w:szCs w:val="32"/>
          <w:lang w:eastAsia="zh-CN"/>
        </w:rPr>
        <w:t>我局</w:t>
      </w:r>
      <w:r>
        <w:rPr>
          <w:rFonts w:hint="eastAsia" w:eastAsia="仿宋_GB2312"/>
          <w:color w:val="auto"/>
          <w:sz w:val="32"/>
          <w:szCs w:val="32"/>
        </w:rPr>
        <w:t>严格执行网站信息内容发布“先审后发”制度和保密审查制度，按照“谁公开、谁审查、谁负责”的原则，分级管理，严格把关，未经审核的信息不得上网发布。严格落实政务舆情处理和反馈信息的工作制度，加强舆情处置回应</w:t>
      </w:r>
      <w:r>
        <w:rPr>
          <w:rFonts w:hint="eastAsia" w:eastAsia="仿宋_GB2312"/>
          <w:color w:val="auto"/>
          <w:sz w:val="32"/>
          <w:szCs w:val="32"/>
          <w:lang w:eastAsia="zh-CN"/>
        </w:rPr>
        <w:t>。</w:t>
      </w:r>
      <w:r>
        <w:rPr>
          <w:rFonts w:hint="eastAsia" w:eastAsia="仿宋_GB2312"/>
          <w:color w:val="auto"/>
          <w:sz w:val="32"/>
          <w:szCs w:val="32"/>
        </w:rPr>
        <w:t xml:space="preserve"> </w:t>
      </w:r>
    </w:p>
    <w:p>
      <w:pPr>
        <w:keepNext w:val="0"/>
        <w:keepLines w:val="0"/>
        <w:pageBreakBefore w:val="0"/>
        <w:widowControl w:val="0"/>
        <w:kinsoku/>
        <w:wordWrap/>
        <w:overflowPunct/>
        <w:topLinePunct w:val="0"/>
        <w:autoSpaceDN/>
        <w:bidi w:val="0"/>
        <w:spacing w:beforeAutospacing="0" w:afterAutospacing="0" w:line="600" w:lineRule="exact"/>
        <w:ind w:left="0" w:firstLine="640" w:firstLineChars="200"/>
        <w:textAlignment w:val="auto"/>
        <w:rPr>
          <w:rFonts w:ascii="Times New Roman" w:hAnsi="Times New Roman" w:eastAsia="仿宋_GB2312" w:cs="Times New Roman"/>
          <w:color w:val="auto"/>
          <w:kern w:val="0"/>
          <w:sz w:val="32"/>
          <w:szCs w:val="32"/>
        </w:rPr>
      </w:pPr>
      <w:r>
        <w:rPr>
          <w:rFonts w:hint="eastAsia" w:ascii="华文楷体" w:hAnsi="华文楷体" w:eastAsia="华文楷体"/>
          <w:color w:val="auto"/>
          <w:sz w:val="32"/>
          <w:szCs w:val="32"/>
        </w:rPr>
        <w:t>（四）平台建设方面。</w:t>
      </w:r>
      <w:r>
        <w:rPr>
          <w:rFonts w:hint="default" w:ascii="Times New Roman" w:hAnsi="Times New Roman" w:eastAsia="仿宋_GB2312" w:cs="Times New Roman"/>
          <w:b w:val="0"/>
          <w:bCs/>
          <w:color w:val="auto"/>
          <w:kern w:val="0"/>
          <w:sz w:val="32"/>
          <w:szCs w:val="32"/>
          <w:shd w:val="clear" w:fill="FFFFFF"/>
          <w:lang w:val="en-US" w:eastAsia="zh-CN" w:bidi="ar"/>
        </w:rPr>
        <w:t>及时优化区政府网站区住建局二级栏目，办公室负责政府网站内容</w:t>
      </w:r>
      <w:r>
        <w:rPr>
          <w:rFonts w:hint="eastAsia" w:ascii="Times New Roman" w:hAnsi="Times New Roman" w:eastAsia="仿宋_GB2312" w:cs="Times New Roman"/>
          <w:b w:val="0"/>
          <w:bCs/>
          <w:color w:val="auto"/>
          <w:kern w:val="0"/>
          <w:sz w:val="32"/>
          <w:szCs w:val="32"/>
          <w:shd w:val="clear" w:fill="FFFFFF"/>
          <w:lang w:val="en-US" w:eastAsia="zh-CN" w:bidi="ar"/>
        </w:rPr>
        <w:t>的</w:t>
      </w:r>
      <w:r>
        <w:rPr>
          <w:rFonts w:hint="default" w:ascii="Times New Roman" w:hAnsi="Times New Roman" w:eastAsia="仿宋_GB2312" w:cs="Times New Roman"/>
          <w:b w:val="0"/>
          <w:bCs/>
          <w:color w:val="auto"/>
          <w:kern w:val="0"/>
          <w:sz w:val="32"/>
          <w:szCs w:val="32"/>
          <w:shd w:val="clear" w:fill="FFFFFF"/>
          <w:lang w:val="en-US" w:eastAsia="zh-CN" w:bidi="ar"/>
        </w:rPr>
        <w:t>维护、更新，局机关</w:t>
      </w:r>
      <w:bookmarkStart w:id="0" w:name="_GoBack"/>
      <w:bookmarkEnd w:id="0"/>
      <w:r>
        <w:rPr>
          <w:rFonts w:hint="default" w:ascii="Times New Roman" w:hAnsi="Times New Roman" w:eastAsia="仿宋_GB2312" w:cs="Times New Roman"/>
          <w:b w:val="0"/>
          <w:bCs/>
          <w:color w:val="auto"/>
          <w:kern w:val="0"/>
          <w:sz w:val="32"/>
          <w:szCs w:val="32"/>
          <w:shd w:val="clear" w:fill="FFFFFF"/>
          <w:lang w:val="en-US" w:eastAsia="zh-CN" w:bidi="ar"/>
        </w:rPr>
        <w:t>股室提供相关信息。</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_GB2312" w:hAnsi="仿宋_GB2312" w:eastAsia="仿宋_GB2312" w:cs="仿宋_GB2312"/>
          <w:color w:val="auto"/>
          <w:kern w:val="0"/>
          <w:sz w:val="32"/>
          <w:szCs w:val="32"/>
        </w:rPr>
      </w:pPr>
      <w:r>
        <w:rPr>
          <w:rFonts w:hint="eastAsia" w:ascii="华文楷体" w:hAnsi="华文楷体" w:eastAsia="华文楷体"/>
          <w:color w:val="auto"/>
          <w:sz w:val="32"/>
          <w:szCs w:val="32"/>
        </w:rPr>
        <w:t>（五）监督保障方面。</w:t>
      </w:r>
      <w:r>
        <w:rPr>
          <w:rFonts w:hint="default" w:ascii="Times New Roman" w:hAnsi="Times New Roman" w:eastAsia="仿宋_GB2312" w:cs="Times New Roman"/>
          <w:b w:val="0"/>
          <w:bCs/>
          <w:color w:val="auto"/>
          <w:kern w:val="0"/>
          <w:sz w:val="32"/>
          <w:szCs w:val="32"/>
          <w:shd w:val="clear" w:fill="FFFFFF"/>
          <w:lang w:val="en-US" w:eastAsia="zh-CN" w:bidi="ar"/>
        </w:rPr>
        <w:t>我局领导高度重视政府信息公开工作，</w:t>
      </w:r>
      <w:r>
        <w:rPr>
          <w:rFonts w:hint="eastAsia" w:ascii="仿宋_GB2312" w:hAnsi="仿宋_GB2312" w:eastAsia="仿宋_GB2312" w:cs="仿宋_GB2312"/>
          <w:b w:val="0"/>
          <w:bCs/>
          <w:i w:val="0"/>
          <w:caps w:val="0"/>
          <w:color w:val="auto"/>
          <w:spacing w:val="0"/>
          <w:sz w:val="32"/>
          <w:szCs w:val="32"/>
          <w:shd w:val="clear" w:fill="FFFFFF"/>
        </w:rPr>
        <w:t>建立健全政府信息公开工作机制，成立了以局长为组长，分管办公室</w:t>
      </w:r>
      <w:r>
        <w:rPr>
          <w:rFonts w:hint="eastAsia" w:ascii="仿宋_GB2312" w:hAnsi="仿宋_GB2312" w:eastAsia="仿宋_GB2312" w:cs="仿宋_GB2312"/>
          <w:b w:val="0"/>
          <w:bCs/>
          <w:i w:val="0"/>
          <w:caps w:val="0"/>
          <w:color w:val="auto"/>
          <w:spacing w:val="0"/>
          <w:sz w:val="32"/>
          <w:szCs w:val="32"/>
          <w:shd w:val="clear" w:fill="FFFFFF"/>
          <w:lang w:eastAsia="zh-CN"/>
        </w:rPr>
        <w:t>领导</w:t>
      </w:r>
      <w:r>
        <w:rPr>
          <w:rFonts w:hint="eastAsia" w:ascii="仿宋_GB2312" w:hAnsi="仿宋_GB2312" w:eastAsia="仿宋_GB2312" w:cs="仿宋_GB2312"/>
          <w:b w:val="0"/>
          <w:bCs/>
          <w:i w:val="0"/>
          <w:caps w:val="0"/>
          <w:color w:val="auto"/>
          <w:spacing w:val="0"/>
          <w:sz w:val="32"/>
          <w:szCs w:val="32"/>
          <w:shd w:val="clear" w:fill="FFFFFF"/>
        </w:rPr>
        <w:t>为副组长的政府信息公开领导小组</w:t>
      </w:r>
      <w:r>
        <w:rPr>
          <w:rFonts w:hint="eastAsia" w:ascii="仿宋_GB2312" w:hAnsi="仿宋_GB2312" w:eastAsia="仿宋_GB2312" w:cs="仿宋_GB2312"/>
          <w:b w:val="0"/>
          <w:bCs/>
          <w:i w:val="0"/>
          <w:caps w:val="0"/>
          <w:color w:val="auto"/>
          <w:spacing w:val="0"/>
          <w:sz w:val="32"/>
          <w:szCs w:val="32"/>
          <w:shd w:val="clear" w:fill="FFFFFF"/>
          <w:lang w:eastAsia="zh-CN"/>
        </w:rPr>
        <w:t>。</w:t>
      </w:r>
      <w:r>
        <w:rPr>
          <w:rFonts w:hint="eastAsia" w:ascii="仿宋_GB2312" w:hAnsi="仿宋_GB2312" w:eastAsia="仿宋_GB2312" w:cs="仿宋_GB2312"/>
          <w:color w:val="auto"/>
          <w:sz w:val="32"/>
          <w:szCs w:val="32"/>
        </w:rPr>
        <w:t>严格落实全局各股室信息任务，及时宣传我区建设住建工作中的新情况、新特点、新举措。每月由局办公室通报各股室当月信息报送情况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对存在迟报、漏报，未按照要求开展信息工作的，予以督促整改或者通报批评。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黑体" w:hAnsi="黑体" w:eastAsia="黑体" w:cs="黑体"/>
          <w:b w:val="0"/>
          <w:bCs/>
          <w:i w:val="0"/>
          <w:caps w:val="0"/>
          <w:color w:val="auto"/>
          <w:spacing w:val="0"/>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黑体" w:hAnsi="黑体" w:eastAsia="黑体" w:cs="黑体"/>
          <w:b w:val="0"/>
          <w:bCs/>
          <w:i w:val="0"/>
          <w:caps w:val="0"/>
          <w:color w:val="auto"/>
          <w:spacing w:val="0"/>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黑体" w:hAnsi="黑体" w:eastAsia="黑体" w:cs="黑体"/>
          <w:b w:val="0"/>
          <w:bCs/>
          <w:i w:val="0"/>
          <w:caps w:val="0"/>
          <w:color w:val="auto"/>
          <w:spacing w:val="0"/>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黑体" w:hAnsi="黑体" w:eastAsia="黑体" w:cs="黑体"/>
          <w:b w:val="0"/>
          <w:bCs/>
          <w:i w:val="0"/>
          <w:caps w:val="0"/>
          <w:color w:val="auto"/>
          <w:spacing w:val="0"/>
          <w:sz w:val="32"/>
          <w:szCs w:val="32"/>
        </w:rPr>
      </w:pPr>
      <w:r>
        <w:rPr>
          <w:rFonts w:hint="default" w:ascii="黑体" w:hAnsi="黑体" w:eastAsia="黑体" w:cs="黑体"/>
          <w:b w:val="0"/>
          <w:bCs/>
          <w:i w:val="0"/>
          <w:caps w:val="0"/>
          <w:color w:val="auto"/>
          <w:spacing w:val="0"/>
          <w:sz w:val="32"/>
          <w:szCs w:val="32"/>
        </w:rPr>
        <w:t>二、主动公开政府信息情况</w:t>
      </w:r>
    </w:p>
    <w:tbl>
      <w:tblPr>
        <w:tblStyle w:val="8"/>
        <w:tblW w:w="97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0" w:type="dxa"/>
          <w:left w:w="0" w:type="dxa"/>
          <w:bottom w:w="0" w:type="dxa"/>
          <w:right w:w="0" w:type="dxa"/>
        </w:tblCellMar>
      </w:tblPr>
      <w:tblGrid>
        <w:gridCol w:w="2425"/>
        <w:gridCol w:w="2425"/>
        <w:gridCol w:w="2425"/>
        <w:gridCol w:w="24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46" w:hRule="atLeast"/>
          <w:jc w:val="center"/>
        </w:trPr>
        <w:tc>
          <w:tcPr>
            <w:tcW w:w="9700" w:type="dxa"/>
            <w:gridSpan w:val="4"/>
            <w:tcBorders>
              <w:tl2br w:val="nil"/>
              <w:tr2bl w:val="nil"/>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第二十条第（一）项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746" w:hRule="atLeast"/>
          <w:jc w:val="center"/>
        </w:trPr>
        <w:tc>
          <w:tcPr>
            <w:tcW w:w="2425" w:type="dxa"/>
            <w:tcBorders>
              <w:tl2br w:val="nil"/>
              <w:tr2bl w:val="nil"/>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信息内容</w:t>
            </w:r>
          </w:p>
        </w:tc>
        <w:tc>
          <w:tcPr>
            <w:tcW w:w="2425" w:type="dxa"/>
            <w:tcBorders>
              <w:tl2br w:val="nil"/>
              <w:tr2bl w:val="nil"/>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本年制发件数</w:t>
            </w:r>
          </w:p>
        </w:tc>
        <w:tc>
          <w:tcPr>
            <w:tcW w:w="2425" w:type="dxa"/>
            <w:tcBorders>
              <w:tl2br w:val="nil"/>
              <w:tr2bl w:val="nil"/>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本年废止件数</w:t>
            </w:r>
          </w:p>
        </w:tc>
        <w:tc>
          <w:tcPr>
            <w:tcW w:w="2425" w:type="dxa"/>
            <w:tcBorders>
              <w:tl2br w:val="nil"/>
              <w:tr2bl w:val="nil"/>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现行有效件数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746" w:hRule="atLeast"/>
          <w:jc w:val="center"/>
        </w:trPr>
        <w:tc>
          <w:tcPr>
            <w:tcW w:w="2425" w:type="dxa"/>
            <w:tcBorders>
              <w:tl2br w:val="nil"/>
              <w:tr2bl w:val="nil"/>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规章</w:t>
            </w:r>
          </w:p>
        </w:tc>
        <w:tc>
          <w:tcPr>
            <w:tcW w:w="2425" w:type="dxa"/>
            <w:tcBorders>
              <w:tl2br w:val="nil"/>
              <w:tr2bl w:val="nil"/>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lang w:val="en-US"/>
              </w:rPr>
            </w:pPr>
            <w:r>
              <w:rPr>
                <w:rFonts w:hint="eastAsia" w:ascii="Times New Roman" w:hAnsi="Times New Roman" w:eastAsia="宋体" w:cs="Times New Roman"/>
                <w:color w:val="auto"/>
                <w:kern w:val="0"/>
                <w:sz w:val="20"/>
                <w:szCs w:val="20"/>
                <w:lang w:val="en-US" w:eastAsia="zh-CN" w:bidi="ar"/>
              </w:rPr>
              <w:t>0</w:t>
            </w:r>
          </w:p>
        </w:tc>
        <w:tc>
          <w:tcPr>
            <w:tcW w:w="2425" w:type="dxa"/>
            <w:tcBorders>
              <w:tl2br w:val="nil"/>
              <w:tr2bl w:val="nil"/>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lang w:val="en-US"/>
              </w:rPr>
            </w:pPr>
            <w:r>
              <w:rPr>
                <w:rFonts w:hint="eastAsia" w:ascii="Times New Roman" w:hAnsi="Times New Roman" w:eastAsia="宋体" w:cs="Times New Roman"/>
                <w:color w:val="auto"/>
                <w:kern w:val="0"/>
                <w:sz w:val="20"/>
                <w:szCs w:val="20"/>
                <w:lang w:val="en-US" w:eastAsia="zh-CN" w:bidi="ar"/>
              </w:rPr>
              <w:t>0</w:t>
            </w:r>
          </w:p>
        </w:tc>
        <w:tc>
          <w:tcPr>
            <w:tcW w:w="2425" w:type="dxa"/>
            <w:tcBorders>
              <w:tl2br w:val="nil"/>
              <w:tr2bl w:val="nil"/>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lang w:val="en-US"/>
              </w:rPr>
            </w:pPr>
            <w:r>
              <w:rPr>
                <w:rFonts w:hint="eastAsia" w:ascii="Times New Roman" w:hAnsi="Times New Roman" w:cs="Times New Roman"/>
                <w:color w:val="auto"/>
                <w:kern w:val="0"/>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746" w:hRule="atLeast"/>
          <w:jc w:val="center"/>
        </w:trPr>
        <w:tc>
          <w:tcPr>
            <w:tcW w:w="2425" w:type="dxa"/>
            <w:tcBorders>
              <w:tl2br w:val="nil"/>
              <w:tr2bl w:val="nil"/>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行政规范性文件</w:t>
            </w:r>
          </w:p>
        </w:tc>
        <w:tc>
          <w:tcPr>
            <w:tcW w:w="2425" w:type="dxa"/>
            <w:tcBorders>
              <w:tl2br w:val="nil"/>
              <w:tr2bl w:val="nil"/>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lang w:val="en-US"/>
              </w:rPr>
            </w:pPr>
            <w:r>
              <w:rPr>
                <w:rFonts w:hint="eastAsia" w:ascii="Times New Roman" w:hAnsi="Times New Roman" w:eastAsia="宋体" w:cs="Times New Roman"/>
                <w:color w:val="auto"/>
                <w:kern w:val="0"/>
                <w:sz w:val="20"/>
                <w:szCs w:val="20"/>
                <w:lang w:val="en-US" w:eastAsia="zh-CN" w:bidi="ar"/>
              </w:rPr>
              <w:t>0</w:t>
            </w:r>
          </w:p>
        </w:tc>
        <w:tc>
          <w:tcPr>
            <w:tcW w:w="2425" w:type="dxa"/>
            <w:tcBorders>
              <w:tl2br w:val="nil"/>
              <w:tr2bl w:val="nil"/>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lang w:val="en-US"/>
              </w:rPr>
            </w:pPr>
            <w:r>
              <w:rPr>
                <w:rFonts w:hint="eastAsia" w:ascii="Times New Roman" w:hAnsi="Times New Roman" w:eastAsia="宋体" w:cs="Times New Roman"/>
                <w:color w:val="auto"/>
                <w:kern w:val="0"/>
                <w:sz w:val="20"/>
                <w:szCs w:val="20"/>
                <w:lang w:val="en-US" w:eastAsia="zh-CN" w:bidi="ar"/>
              </w:rPr>
              <w:t>0</w:t>
            </w:r>
          </w:p>
        </w:tc>
        <w:tc>
          <w:tcPr>
            <w:tcW w:w="2425" w:type="dxa"/>
            <w:tcBorders>
              <w:tl2br w:val="nil"/>
              <w:tr2bl w:val="nil"/>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lang w:val="en-US"/>
              </w:rPr>
            </w:pPr>
            <w:r>
              <w:rPr>
                <w:rFonts w:hint="eastAsia" w:ascii="Times New Roman" w:hAnsi="Times New Roman" w:cs="Times New Roman"/>
                <w:color w:val="auto"/>
                <w:kern w:val="0"/>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746" w:hRule="atLeast"/>
          <w:jc w:val="center"/>
        </w:trPr>
        <w:tc>
          <w:tcPr>
            <w:tcW w:w="9700" w:type="dxa"/>
            <w:gridSpan w:val="4"/>
            <w:tcBorders>
              <w:tl2br w:val="nil"/>
              <w:tr2bl w:val="nil"/>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第二十条第（五）项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746" w:hRule="atLeast"/>
          <w:jc w:val="center"/>
        </w:trPr>
        <w:tc>
          <w:tcPr>
            <w:tcW w:w="2425" w:type="dxa"/>
            <w:tcBorders>
              <w:tl2br w:val="nil"/>
              <w:tr2bl w:val="nil"/>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信息内容</w:t>
            </w:r>
          </w:p>
        </w:tc>
        <w:tc>
          <w:tcPr>
            <w:tcW w:w="7275" w:type="dxa"/>
            <w:gridSpan w:val="3"/>
            <w:tcBorders>
              <w:tl2br w:val="nil"/>
              <w:tr2bl w:val="nil"/>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本年处理决定数量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746" w:hRule="atLeast"/>
          <w:jc w:val="center"/>
        </w:trPr>
        <w:tc>
          <w:tcPr>
            <w:tcW w:w="2425" w:type="dxa"/>
            <w:tcBorders>
              <w:tl2br w:val="nil"/>
              <w:tr2bl w:val="nil"/>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行政许可</w:t>
            </w:r>
          </w:p>
        </w:tc>
        <w:tc>
          <w:tcPr>
            <w:tcW w:w="7275" w:type="dxa"/>
            <w:gridSpan w:val="3"/>
            <w:tcBorders>
              <w:tl2br w:val="nil"/>
              <w:tr2bl w:val="nil"/>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lang w:val="en-US"/>
              </w:rPr>
            </w:pPr>
            <w:r>
              <w:rPr>
                <w:rFonts w:hint="eastAsia" w:ascii="Times New Roman" w:hAnsi="Times New Roman" w:cs="Times New Roman"/>
                <w:color w:val="auto"/>
                <w:kern w:val="0"/>
                <w:sz w:val="21"/>
                <w:szCs w:val="21"/>
                <w:lang w:val="en-US" w:eastAsia="zh-CN" w:bidi="ar"/>
              </w:rPr>
              <w:t>43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746" w:hRule="atLeast"/>
          <w:jc w:val="center"/>
        </w:trPr>
        <w:tc>
          <w:tcPr>
            <w:tcW w:w="9700" w:type="dxa"/>
            <w:gridSpan w:val="4"/>
            <w:tcBorders>
              <w:tl2br w:val="nil"/>
              <w:tr2bl w:val="nil"/>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第二十条第（六）项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746" w:hRule="atLeast"/>
          <w:jc w:val="center"/>
        </w:trPr>
        <w:tc>
          <w:tcPr>
            <w:tcW w:w="2425" w:type="dxa"/>
            <w:tcBorders>
              <w:tl2br w:val="nil"/>
              <w:tr2bl w:val="nil"/>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信息内容</w:t>
            </w:r>
          </w:p>
        </w:tc>
        <w:tc>
          <w:tcPr>
            <w:tcW w:w="7275" w:type="dxa"/>
            <w:gridSpan w:val="3"/>
            <w:tcBorders>
              <w:tl2br w:val="nil"/>
              <w:tr2bl w:val="nil"/>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本年处理决定数量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746" w:hRule="atLeast"/>
          <w:jc w:val="center"/>
        </w:trPr>
        <w:tc>
          <w:tcPr>
            <w:tcW w:w="2425" w:type="dxa"/>
            <w:tcBorders>
              <w:tl2br w:val="nil"/>
              <w:tr2bl w:val="nil"/>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行政处罚</w:t>
            </w:r>
          </w:p>
        </w:tc>
        <w:tc>
          <w:tcPr>
            <w:tcW w:w="7275" w:type="dxa"/>
            <w:gridSpan w:val="3"/>
            <w:tcBorders>
              <w:tl2br w:val="nil"/>
              <w:tr2bl w:val="nil"/>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lang w:val="en-US"/>
              </w:rPr>
            </w:pPr>
            <w:r>
              <w:rPr>
                <w:rFonts w:hint="eastAsia" w:ascii="Times New Roman" w:hAnsi="Times New Roman" w:eastAsia="宋体" w:cs="Times New Roman"/>
                <w:color w:val="auto"/>
                <w:kern w:val="0"/>
                <w:sz w:val="20"/>
                <w:szCs w:val="20"/>
                <w:lang w:val="en-US" w:eastAsia="zh-CN" w:bidi="ar"/>
              </w:rPr>
              <w:t>23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746" w:hRule="atLeast"/>
          <w:jc w:val="center"/>
        </w:trPr>
        <w:tc>
          <w:tcPr>
            <w:tcW w:w="2425" w:type="dxa"/>
            <w:tcBorders>
              <w:tl2br w:val="nil"/>
              <w:tr2bl w:val="nil"/>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行政强制</w:t>
            </w:r>
          </w:p>
        </w:tc>
        <w:tc>
          <w:tcPr>
            <w:tcW w:w="7275" w:type="dxa"/>
            <w:gridSpan w:val="3"/>
            <w:tcBorders>
              <w:tl2br w:val="nil"/>
              <w:tr2bl w:val="nil"/>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lang w:val="en-US"/>
              </w:rPr>
            </w:pPr>
            <w:r>
              <w:rPr>
                <w:rFonts w:hint="eastAsia" w:ascii="Times New Roman" w:hAnsi="Times New Roman" w:eastAsia="宋体" w:cs="Times New Roman"/>
                <w:color w:val="auto"/>
                <w:kern w:val="0"/>
                <w:sz w:val="20"/>
                <w:szCs w:val="20"/>
                <w:lang w:val="en-US" w:eastAsia="zh-CN"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746" w:hRule="atLeast"/>
          <w:jc w:val="center"/>
        </w:trPr>
        <w:tc>
          <w:tcPr>
            <w:tcW w:w="9700" w:type="dxa"/>
            <w:gridSpan w:val="4"/>
            <w:tcBorders>
              <w:tl2br w:val="nil"/>
              <w:tr2bl w:val="nil"/>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第二十条第（八）项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746" w:hRule="atLeast"/>
          <w:jc w:val="center"/>
        </w:trPr>
        <w:tc>
          <w:tcPr>
            <w:tcW w:w="2425" w:type="dxa"/>
            <w:tcBorders>
              <w:tl2br w:val="nil"/>
              <w:tr2bl w:val="nil"/>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信息内容</w:t>
            </w:r>
          </w:p>
        </w:tc>
        <w:tc>
          <w:tcPr>
            <w:tcW w:w="7275" w:type="dxa"/>
            <w:gridSpan w:val="3"/>
            <w:tcBorders>
              <w:tl2br w:val="nil"/>
              <w:tr2bl w:val="nil"/>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本年收费金额（单位：万元）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869" w:hRule="atLeast"/>
          <w:jc w:val="center"/>
        </w:trPr>
        <w:tc>
          <w:tcPr>
            <w:tcW w:w="2425" w:type="dxa"/>
            <w:tcBorders>
              <w:tl2br w:val="nil"/>
              <w:tr2bl w:val="nil"/>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行政事业性收费</w:t>
            </w:r>
          </w:p>
        </w:tc>
        <w:tc>
          <w:tcPr>
            <w:tcW w:w="7275" w:type="dxa"/>
            <w:gridSpan w:val="3"/>
            <w:tcBorders>
              <w:tl2br w:val="nil"/>
              <w:tr2bl w:val="nil"/>
            </w:tcBorders>
            <w:shd w:val="clear" w:color="auto" w:fill="auto"/>
            <w:tcMar>
              <w:left w:w="57" w:type="dxa"/>
              <w:right w:w="57" w:type="dxa"/>
            </w:tcMar>
            <w:vAlign w:val="center"/>
          </w:tcPr>
          <w:p>
            <w:pPr>
              <w:jc w:val="center"/>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黑体" w:hAnsi="黑体" w:eastAsia="黑体" w:cs="黑体"/>
          <w:b w:val="0"/>
          <w:bCs/>
          <w:i w:val="0"/>
          <w:caps w:val="0"/>
          <w:color w:val="auto"/>
          <w:spacing w:val="0"/>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黑体" w:hAnsi="黑体" w:eastAsia="黑体" w:cs="黑体"/>
          <w:b w:val="0"/>
          <w:bCs/>
          <w:i w:val="0"/>
          <w:caps w:val="0"/>
          <w:color w:val="auto"/>
          <w:spacing w:val="0"/>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宋体" w:cs="Times New Roman"/>
          <w:color w:val="auto"/>
        </w:rPr>
      </w:pPr>
      <w:r>
        <w:rPr>
          <w:rFonts w:hint="default" w:ascii="黑体" w:hAnsi="黑体" w:eastAsia="黑体" w:cs="黑体"/>
          <w:b w:val="0"/>
          <w:bCs/>
          <w:i w:val="0"/>
          <w:caps w:val="0"/>
          <w:color w:val="auto"/>
          <w:spacing w:val="0"/>
          <w:sz w:val="32"/>
          <w:szCs w:val="32"/>
        </w:rPr>
        <w:t>三、收到和处理政府信息公开申请情况</w:t>
      </w: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824"/>
        <w:gridCol w:w="3348"/>
        <w:gridCol w:w="686"/>
        <w:gridCol w:w="686"/>
        <w:gridCol w:w="686"/>
        <w:gridCol w:w="686"/>
        <w:gridCol w:w="687"/>
        <w:gridCol w:w="687"/>
        <w:gridCol w:w="69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0"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楷体" w:cs="Times New Roman"/>
                <w:color w:val="auto"/>
                <w:kern w:val="0"/>
                <w:sz w:val="20"/>
                <w:szCs w:val="20"/>
                <w:lang w:val="en-US" w:eastAsia="zh-CN" w:bidi="ar"/>
              </w:rPr>
              <w:t>（本列数据的勾稽关系为：第一项加第二项之和，等于第三项加第四项之和）</w:t>
            </w:r>
          </w:p>
        </w:tc>
        <w:tc>
          <w:tcPr>
            <w:tcW w:w="4808"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4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color w:val="auto"/>
                <w:sz w:val="24"/>
                <w:szCs w:val="24"/>
              </w:rPr>
            </w:pPr>
          </w:p>
        </w:tc>
        <w:tc>
          <w:tcPr>
            <w:tcW w:w="686"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自然人</w:t>
            </w:r>
          </w:p>
        </w:tc>
        <w:tc>
          <w:tcPr>
            <w:tcW w:w="3432"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法人或其他组织</w:t>
            </w:r>
          </w:p>
        </w:tc>
        <w:tc>
          <w:tcPr>
            <w:tcW w:w="690"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4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color w:val="auto"/>
                <w:sz w:val="24"/>
                <w:szCs w:val="24"/>
              </w:rPr>
            </w:pPr>
          </w:p>
        </w:tc>
        <w:tc>
          <w:tcPr>
            <w:tcW w:w="686"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ind w:left="-105" w:leftChars="-50" w:right="-105" w:rightChars="-50"/>
              <w:textAlignment w:val="auto"/>
              <w:rPr>
                <w:rFonts w:hint="default" w:ascii="Times New Roman" w:hAnsi="Times New Roman" w:cs="Times New Roman"/>
                <w:color w:val="auto"/>
                <w:sz w:val="24"/>
                <w:szCs w:val="24"/>
              </w:rPr>
            </w:pP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企业</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机构</w:t>
            </w:r>
          </w:p>
        </w:tc>
        <w:tc>
          <w:tcPr>
            <w:tcW w:w="686"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社会公益组织</w:t>
            </w:r>
          </w:p>
        </w:tc>
        <w:tc>
          <w:tcPr>
            <w:tcW w:w="68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法律服务机构</w:t>
            </w:r>
          </w:p>
        </w:tc>
        <w:tc>
          <w:tcPr>
            <w:tcW w:w="68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其他</w:t>
            </w:r>
          </w:p>
        </w:tc>
        <w:tc>
          <w:tcPr>
            <w:tcW w:w="690"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一、本年新收政府信息公开申请数量</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lang w:val="en-US"/>
              </w:rPr>
            </w:pPr>
            <w:r>
              <w:rPr>
                <w:rFonts w:hint="eastAsia" w:ascii="Times New Roman" w:hAnsi="Times New Roman" w:cs="Times New Roman" w:eastAsiaTheme="minorEastAsia"/>
                <w:color w:val="auto"/>
                <w:kern w:val="0"/>
                <w:sz w:val="20"/>
                <w:szCs w:val="20"/>
                <w:lang w:val="en-US" w:eastAsia="zh-CN" w:bidi="ar"/>
              </w:rPr>
              <w:t>2</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r>
              <w:rPr>
                <w:rFonts w:hint="default" w:ascii="Times New Roman" w:hAnsi="Times New Roman" w:cs="Times New Roman" w:eastAsiaTheme="minorEastAsia"/>
                <w:color w:val="auto"/>
                <w:kern w:val="0"/>
                <w:sz w:val="20"/>
                <w:szCs w:val="20"/>
                <w:lang w:val="en-US" w:eastAsia="zh-CN" w:bidi="ar"/>
              </w:rPr>
              <w:t> </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r>
              <w:rPr>
                <w:rFonts w:hint="default" w:ascii="Times New Roman" w:hAnsi="Times New Roman" w:cs="Times New Roman" w:eastAsiaTheme="minorEastAsia"/>
                <w:color w:val="auto"/>
                <w:kern w:val="0"/>
                <w:sz w:val="20"/>
                <w:szCs w:val="20"/>
                <w:lang w:val="en-US" w:eastAsia="zh-CN" w:bidi="ar"/>
              </w:rPr>
              <w:t> </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r>
              <w:rPr>
                <w:rFonts w:hint="default" w:ascii="Times New Roman" w:hAnsi="Times New Roman" w:cs="Times New Roman" w:eastAsiaTheme="minorEastAsia"/>
                <w:color w:val="auto"/>
                <w:kern w:val="0"/>
                <w:sz w:val="20"/>
                <w:szCs w:val="20"/>
                <w:lang w:val="en-US" w:eastAsia="zh-CN" w:bidi="ar"/>
              </w:rPr>
              <w:t> </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cs="Times New Roman" w:eastAsiaTheme="minorEastAsia"/>
                <w:color w:val="auto"/>
                <w:kern w:val="0"/>
                <w:sz w:val="20"/>
                <w:szCs w:val="20"/>
                <w:lang w:val="en-US" w:eastAsia="zh-CN" w:bidi="ar"/>
              </w:rPr>
              <w:t> </w:t>
            </w: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r>
              <w:rPr>
                <w:rFonts w:hint="default" w:ascii="Times New Roman" w:hAnsi="Times New Roman" w:cs="Times New Roman" w:eastAsiaTheme="minorEastAsia"/>
                <w:color w:val="auto"/>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cs="Times New Roman" w:eastAsiaTheme="minorEastAsia"/>
                <w:color w:val="auto"/>
                <w:kern w:val="0"/>
                <w:sz w:val="20"/>
                <w:szCs w:val="20"/>
                <w:lang w:val="en-US" w:eastAsia="zh-CN" w:bidi="ar"/>
              </w:rPr>
              <w:t> </w:t>
            </w:r>
            <w:r>
              <w:rPr>
                <w:rFonts w:hint="eastAsia" w:ascii="Times New Roman" w:hAnsi="Times New Roman" w:cs="Times New Roman"/>
                <w:color w:val="auto"/>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4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二、上年结转政府信息公开申请数量</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三、本年度办理结果</w:t>
            </w:r>
          </w:p>
        </w:tc>
        <w:tc>
          <w:tcPr>
            <w:tcW w:w="417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（一）予以公开</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2</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9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417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（二）部分公开</w:t>
            </w:r>
            <w:r>
              <w:rPr>
                <w:rFonts w:hint="default" w:ascii="Times New Roman" w:hAnsi="Times New Roman" w:eastAsia="楷体" w:cs="Times New Roman"/>
                <w:color w:val="auto"/>
                <w:kern w:val="0"/>
                <w:sz w:val="20"/>
                <w:szCs w:val="20"/>
                <w:lang w:val="en-US" w:eastAsia="zh-CN" w:bidi="ar"/>
              </w:rPr>
              <w:t>（区分处理的，只计这一情形，不计其他情形）</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824"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（三）不予公开</w:t>
            </w:r>
          </w:p>
        </w:tc>
        <w:tc>
          <w:tcPr>
            <w:tcW w:w="334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1.属于国家秘密</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9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82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34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2.其他法律行政法规禁止公开</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82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34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3.危及“三安全一稳定”</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82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34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4.保护第三方合法权益</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82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34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5.属于三类内部事务信息</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82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34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6.属于四类过程性信息</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82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34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7.属于行政执法案卷</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82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34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8.属于行政查询事项</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824"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（四）无法提供</w:t>
            </w:r>
          </w:p>
        </w:tc>
        <w:tc>
          <w:tcPr>
            <w:tcW w:w="334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1.本机关不掌握相关政府信息</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82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34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2.没有现成信息需要另行制作</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82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34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3.补正后申请内容仍不明确</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824"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（五）不予处理</w:t>
            </w:r>
          </w:p>
        </w:tc>
        <w:tc>
          <w:tcPr>
            <w:tcW w:w="334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1.信访举报投诉类申请</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82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34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2.重复申请</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82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34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3.要求提供公开出版物</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82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34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4.无正当理由大量反复申请</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82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34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5.要求行政机关确认或重新出具已获取信息</w:t>
            </w:r>
          </w:p>
        </w:tc>
        <w:tc>
          <w:tcPr>
            <w:tcW w:w="686"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9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824"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（六）其他处理</w:t>
            </w:r>
          </w:p>
        </w:tc>
        <w:tc>
          <w:tcPr>
            <w:tcW w:w="334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1.申请人无正当理由逾期不补正、行政机关不再处理其政府信息公开申请</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824"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34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2.申请人逾期未按收费通知要求缴纳费用、行政机关不再处理其政府信息公开申请</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824"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34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3.其他</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417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（七）总计</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2</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4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四、结转下年度继续办理</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sz w:val="24"/>
                <w:szCs w:val="24"/>
              </w:rPr>
            </w:pPr>
            <w:r>
              <w:rPr>
                <w:rFonts w:hint="eastAsia" w:ascii="Times New Roman" w:hAnsi="Times New Roman" w:cs="Times New Roman"/>
                <w:color w:val="auto"/>
                <w:kern w:val="0"/>
                <w:sz w:val="20"/>
                <w:szCs w:val="20"/>
                <w:lang w:val="en-US" w:eastAsia="zh-CN" w:bidi="ar"/>
              </w:rPr>
              <w:t>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黑体" w:hAnsi="黑体" w:eastAsia="黑体" w:cs="黑体"/>
          <w:b w:val="0"/>
          <w:bCs/>
          <w:i w:val="0"/>
          <w:caps w:val="0"/>
          <w:color w:val="auto"/>
          <w:spacing w:val="0"/>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宋体" w:cs="Times New Roman"/>
          <w:i w:val="0"/>
          <w:caps w:val="0"/>
          <w:color w:val="auto"/>
          <w:spacing w:val="0"/>
          <w:sz w:val="24"/>
          <w:szCs w:val="24"/>
        </w:rPr>
      </w:pPr>
      <w:r>
        <w:rPr>
          <w:rFonts w:hint="default" w:ascii="黑体" w:hAnsi="黑体" w:eastAsia="黑体" w:cs="黑体"/>
          <w:b w:val="0"/>
          <w:bCs/>
          <w:i w:val="0"/>
          <w:caps w:val="0"/>
          <w:color w:val="auto"/>
          <w:spacing w:val="0"/>
          <w:sz w:val="32"/>
          <w:szCs w:val="32"/>
        </w:rPr>
        <w:t>四、政府信息公开行政复议、行政诉讼情况</w:t>
      </w:r>
    </w:p>
    <w:tbl>
      <w:tblPr>
        <w:tblStyle w:val="8"/>
        <w:tblW w:w="973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8"/>
        <w:gridCol w:w="648"/>
        <w:gridCol w:w="648"/>
        <w:gridCol w:w="648"/>
        <w:gridCol w:w="650"/>
        <w:gridCol w:w="648"/>
        <w:gridCol w:w="648"/>
        <w:gridCol w:w="649"/>
        <w:gridCol w:w="649"/>
        <w:gridCol w:w="651"/>
        <w:gridCol w:w="650"/>
        <w:gridCol w:w="650"/>
        <w:gridCol w:w="650"/>
        <w:gridCol w:w="650"/>
        <w:gridCol w:w="6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0" w:hRule="atLeast"/>
          <w:jc w:val="center"/>
        </w:trPr>
        <w:tc>
          <w:tcPr>
            <w:tcW w:w="3242"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行政复议</w:t>
            </w:r>
          </w:p>
        </w:tc>
        <w:tc>
          <w:tcPr>
            <w:tcW w:w="6497"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0" w:hRule="atLeast"/>
          <w:jc w:val="center"/>
        </w:trPr>
        <w:tc>
          <w:tcPr>
            <w:tcW w:w="64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结果维持</w:t>
            </w:r>
          </w:p>
        </w:tc>
        <w:tc>
          <w:tcPr>
            <w:tcW w:w="64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结果</w:t>
            </w:r>
            <w:r>
              <w:rPr>
                <w:rFonts w:hint="default" w:ascii="Times New Roman" w:hAnsi="Times New Roman" w:eastAsia="宋体" w:cs="Times New Roman"/>
                <w:color w:val="auto"/>
                <w:kern w:val="0"/>
                <w:sz w:val="20"/>
                <w:szCs w:val="20"/>
                <w:lang w:val="en-US" w:eastAsia="zh-CN" w:bidi="ar"/>
              </w:rPr>
              <w:br w:type="textWrapping"/>
            </w:r>
            <w:r>
              <w:rPr>
                <w:rFonts w:hint="default" w:ascii="Times New Roman" w:hAnsi="Times New Roman" w:eastAsia="宋体" w:cs="Times New Roman"/>
                <w:color w:val="auto"/>
                <w:kern w:val="0"/>
                <w:sz w:val="20"/>
                <w:szCs w:val="20"/>
                <w:lang w:val="en-US" w:eastAsia="zh-CN" w:bidi="ar"/>
              </w:rPr>
              <w:t>纠正</w:t>
            </w:r>
          </w:p>
        </w:tc>
        <w:tc>
          <w:tcPr>
            <w:tcW w:w="64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其他</w:t>
            </w:r>
            <w:r>
              <w:rPr>
                <w:rFonts w:hint="default" w:ascii="Times New Roman" w:hAnsi="Times New Roman" w:eastAsia="宋体" w:cs="Times New Roman"/>
                <w:color w:val="auto"/>
                <w:kern w:val="0"/>
                <w:sz w:val="20"/>
                <w:szCs w:val="20"/>
                <w:lang w:val="en-US" w:eastAsia="zh-CN" w:bidi="ar"/>
              </w:rPr>
              <w:br w:type="textWrapping"/>
            </w:r>
            <w:r>
              <w:rPr>
                <w:rFonts w:hint="default" w:ascii="Times New Roman" w:hAnsi="Times New Roman" w:eastAsia="宋体" w:cs="Times New Roman"/>
                <w:color w:val="auto"/>
                <w:kern w:val="0"/>
                <w:sz w:val="20"/>
                <w:szCs w:val="20"/>
                <w:lang w:val="en-US" w:eastAsia="zh-CN" w:bidi="ar"/>
              </w:rPr>
              <w:t>结果</w:t>
            </w:r>
          </w:p>
        </w:tc>
        <w:tc>
          <w:tcPr>
            <w:tcW w:w="64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尚未</w:t>
            </w:r>
            <w:r>
              <w:rPr>
                <w:rFonts w:hint="default" w:ascii="Times New Roman" w:hAnsi="Times New Roman" w:eastAsia="宋体" w:cs="Times New Roman"/>
                <w:color w:val="auto"/>
                <w:kern w:val="0"/>
                <w:sz w:val="20"/>
                <w:szCs w:val="20"/>
                <w:lang w:val="en-US" w:eastAsia="zh-CN" w:bidi="ar"/>
              </w:rPr>
              <w:br w:type="textWrapping"/>
            </w:r>
            <w:r>
              <w:rPr>
                <w:rFonts w:hint="default" w:ascii="Times New Roman" w:hAnsi="Times New Roman" w:eastAsia="宋体" w:cs="Times New Roman"/>
                <w:color w:val="auto"/>
                <w:kern w:val="0"/>
                <w:sz w:val="20"/>
                <w:szCs w:val="20"/>
                <w:lang w:val="en-US" w:eastAsia="zh-CN"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总计</w:t>
            </w:r>
          </w:p>
        </w:tc>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未经复议直接起诉</w:t>
            </w:r>
          </w:p>
        </w:tc>
        <w:tc>
          <w:tcPr>
            <w:tcW w:w="3252"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6" w:hRule="atLeast"/>
          <w:jc w:val="center"/>
        </w:trPr>
        <w:tc>
          <w:tcPr>
            <w:tcW w:w="64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color w:val="auto"/>
                <w:sz w:val="24"/>
                <w:szCs w:val="24"/>
              </w:rPr>
            </w:pPr>
          </w:p>
        </w:tc>
        <w:tc>
          <w:tcPr>
            <w:tcW w:w="64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color w:val="auto"/>
                <w:sz w:val="24"/>
                <w:szCs w:val="24"/>
              </w:rPr>
            </w:pPr>
          </w:p>
        </w:tc>
        <w:tc>
          <w:tcPr>
            <w:tcW w:w="64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color w:val="auto"/>
                <w:sz w:val="24"/>
                <w:szCs w:val="24"/>
              </w:rPr>
            </w:pPr>
          </w:p>
        </w:tc>
        <w:tc>
          <w:tcPr>
            <w:tcW w:w="64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color w:val="auto"/>
                <w:sz w:val="24"/>
                <w:szCs w:val="24"/>
              </w:rPr>
            </w:pPr>
          </w:p>
        </w:tc>
        <w:tc>
          <w:tcPr>
            <w:tcW w:w="65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color w:val="auto"/>
                <w:sz w:val="24"/>
                <w:szCs w:val="24"/>
              </w:rPr>
            </w:pPr>
          </w:p>
        </w:tc>
        <w:tc>
          <w:tcPr>
            <w:tcW w:w="64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结果</w:t>
            </w:r>
            <w:r>
              <w:rPr>
                <w:rFonts w:hint="default" w:ascii="Times New Roman" w:hAnsi="Times New Roman" w:eastAsia="宋体" w:cs="Times New Roman"/>
                <w:color w:val="auto"/>
                <w:kern w:val="0"/>
                <w:sz w:val="20"/>
                <w:szCs w:val="20"/>
                <w:lang w:val="en-US" w:eastAsia="zh-CN" w:bidi="ar"/>
              </w:rPr>
              <w:br w:type="textWrapping"/>
            </w:r>
            <w:r>
              <w:rPr>
                <w:rFonts w:hint="default" w:ascii="Times New Roman" w:hAnsi="Times New Roman" w:eastAsia="宋体" w:cs="Times New Roman"/>
                <w:color w:val="auto"/>
                <w:kern w:val="0"/>
                <w:sz w:val="20"/>
                <w:szCs w:val="20"/>
                <w:lang w:val="en-US" w:eastAsia="zh-CN" w:bidi="ar"/>
              </w:rPr>
              <w:t>维持</w:t>
            </w:r>
          </w:p>
        </w:tc>
        <w:tc>
          <w:tcPr>
            <w:tcW w:w="64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结果</w:t>
            </w:r>
            <w:r>
              <w:rPr>
                <w:rFonts w:hint="default" w:ascii="Times New Roman" w:hAnsi="Times New Roman" w:eastAsia="宋体" w:cs="Times New Roman"/>
                <w:color w:val="auto"/>
                <w:kern w:val="0"/>
                <w:sz w:val="20"/>
                <w:szCs w:val="20"/>
                <w:lang w:val="en-US" w:eastAsia="zh-CN" w:bidi="ar"/>
              </w:rPr>
              <w:br w:type="textWrapping"/>
            </w:r>
            <w:r>
              <w:rPr>
                <w:rFonts w:hint="default" w:ascii="Times New Roman" w:hAnsi="Times New Roman" w:eastAsia="宋体" w:cs="Times New Roman"/>
                <w:color w:val="auto"/>
                <w:kern w:val="0"/>
                <w:sz w:val="20"/>
                <w:szCs w:val="20"/>
                <w:lang w:val="en-US" w:eastAsia="zh-CN" w:bidi="ar"/>
              </w:rPr>
              <w:t>纠正</w:t>
            </w:r>
          </w:p>
        </w:tc>
        <w:tc>
          <w:tcPr>
            <w:tcW w:w="64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其他</w:t>
            </w:r>
            <w:r>
              <w:rPr>
                <w:rFonts w:hint="default" w:ascii="Times New Roman" w:hAnsi="Times New Roman" w:eastAsia="宋体" w:cs="Times New Roman"/>
                <w:color w:val="auto"/>
                <w:kern w:val="0"/>
                <w:sz w:val="20"/>
                <w:szCs w:val="20"/>
                <w:lang w:val="en-US" w:eastAsia="zh-CN" w:bidi="ar"/>
              </w:rPr>
              <w:br w:type="textWrapping"/>
            </w:r>
            <w:r>
              <w:rPr>
                <w:rFonts w:hint="default" w:ascii="Times New Roman" w:hAnsi="Times New Roman" w:eastAsia="宋体" w:cs="Times New Roman"/>
                <w:color w:val="auto"/>
                <w:kern w:val="0"/>
                <w:sz w:val="20"/>
                <w:szCs w:val="20"/>
                <w:lang w:val="en-US" w:eastAsia="zh-CN" w:bidi="ar"/>
              </w:rPr>
              <w:t>结果</w:t>
            </w:r>
          </w:p>
        </w:tc>
        <w:tc>
          <w:tcPr>
            <w:tcW w:w="64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尚未</w:t>
            </w:r>
            <w:r>
              <w:rPr>
                <w:rFonts w:hint="default" w:ascii="Times New Roman" w:hAnsi="Times New Roman" w:eastAsia="宋体" w:cs="Times New Roman"/>
                <w:color w:val="auto"/>
                <w:kern w:val="0"/>
                <w:sz w:val="20"/>
                <w:szCs w:val="20"/>
                <w:lang w:val="en-US" w:eastAsia="zh-CN" w:bidi="ar"/>
              </w:rPr>
              <w:br w:type="textWrapping"/>
            </w:r>
            <w:r>
              <w:rPr>
                <w:rFonts w:hint="default" w:ascii="Times New Roman" w:hAnsi="Times New Roman" w:eastAsia="宋体" w:cs="Times New Roman"/>
                <w:color w:val="auto"/>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总计</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结果</w:t>
            </w:r>
            <w:r>
              <w:rPr>
                <w:rFonts w:hint="default" w:ascii="Times New Roman" w:hAnsi="Times New Roman" w:eastAsia="宋体" w:cs="Times New Roman"/>
                <w:color w:val="auto"/>
                <w:kern w:val="0"/>
                <w:sz w:val="20"/>
                <w:szCs w:val="20"/>
                <w:lang w:val="en-US" w:eastAsia="zh-CN" w:bidi="ar"/>
              </w:rPr>
              <w:br w:type="textWrapping"/>
            </w:r>
            <w:r>
              <w:rPr>
                <w:rFonts w:hint="default" w:ascii="Times New Roman" w:hAnsi="Times New Roman" w:eastAsia="宋体" w:cs="Times New Roman"/>
                <w:color w:val="auto"/>
                <w:kern w:val="0"/>
                <w:sz w:val="20"/>
                <w:szCs w:val="20"/>
                <w:lang w:val="en-US" w:eastAsia="zh-CN" w:bidi="ar"/>
              </w:rPr>
              <w:t>维持</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结果</w:t>
            </w:r>
            <w:r>
              <w:rPr>
                <w:rFonts w:hint="default" w:ascii="Times New Roman" w:hAnsi="Times New Roman" w:eastAsia="宋体" w:cs="Times New Roman"/>
                <w:color w:val="auto"/>
                <w:kern w:val="0"/>
                <w:sz w:val="20"/>
                <w:szCs w:val="20"/>
                <w:lang w:val="en-US" w:eastAsia="zh-CN" w:bidi="ar"/>
              </w:rPr>
              <w:br w:type="textWrapping"/>
            </w:r>
            <w:r>
              <w:rPr>
                <w:rFonts w:hint="default" w:ascii="Times New Roman" w:hAnsi="Times New Roman" w:eastAsia="宋体" w:cs="Times New Roman"/>
                <w:color w:val="auto"/>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其他</w:t>
            </w:r>
            <w:r>
              <w:rPr>
                <w:rFonts w:hint="default" w:ascii="Times New Roman" w:hAnsi="Times New Roman" w:eastAsia="宋体" w:cs="Times New Roman"/>
                <w:color w:val="auto"/>
                <w:kern w:val="0"/>
                <w:sz w:val="20"/>
                <w:szCs w:val="20"/>
                <w:lang w:val="en-US" w:eastAsia="zh-CN" w:bidi="ar"/>
              </w:rPr>
              <w:br w:type="textWrapping"/>
            </w:r>
            <w:r>
              <w:rPr>
                <w:rFonts w:hint="default" w:ascii="Times New Roman" w:hAnsi="Times New Roman" w:eastAsia="宋体" w:cs="Times New Roman"/>
                <w:color w:val="auto"/>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尚未</w:t>
            </w:r>
            <w:r>
              <w:rPr>
                <w:rFonts w:hint="default" w:ascii="Times New Roman" w:hAnsi="Times New Roman" w:eastAsia="宋体" w:cs="Times New Roman"/>
                <w:color w:val="auto"/>
                <w:kern w:val="0"/>
                <w:sz w:val="20"/>
                <w:szCs w:val="20"/>
                <w:lang w:val="en-US" w:eastAsia="zh-CN" w:bidi="ar"/>
              </w:rPr>
              <w:br w:type="textWrapping"/>
            </w:r>
            <w:r>
              <w:rPr>
                <w:rFonts w:hint="default" w:ascii="Times New Roman" w:hAnsi="Times New Roman" w:eastAsia="宋体" w:cs="Times New Roman"/>
                <w:color w:val="auto"/>
                <w:kern w:val="0"/>
                <w:sz w:val="20"/>
                <w:szCs w:val="20"/>
                <w:lang w:val="en-US" w:eastAsia="zh-CN" w:bidi="ar"/>
              </w:rPr>
              <w:t>审结</w:t>
            </w:r>
          </w:p>
        </w:tc>
        <w:tc>
          <w:tcPr>
            <w:tcW w:w="65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84" w:hRule="atLeast"/>
          <w:jc w:val="center"/>
        </w:trPr>
        <w:tc>
          <w:tcPr>
            <w:tcW w:w="64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default" w:ascii="Times New Roman" w:hAnsi="Times New Roman" w:cs="Times New Roman" w:eastAsiaTheme="minorEastAsia"/>
                <w:color w:val="auto"/>
                <w:kern w:val="0"/>
                <w:sz w:val="20"/>
                <w:szCs w:val="20"/>
                <w:lang w:val="en-US" w:eastAsia="zh-CN" w:bidi="ar"/>
              </w:rPr>
              <w:t> </w:t>
            </w:r>
            <w:r>
              <w:rPr>
                <w:rFonts w:hint="eastAsia" w:ascii="Times New Roman" w:hAnsi="Times New Roman" w:cs="Times New Roman"/>
                <w:color w:val="auto"/>
                <w:kern w:val="0"/>
                <w:sz w:val="20"/>
                <w:szCs w:val="20"/>
                <w:lang w:val="en-US" w:eastAsia="zh-CN" w:bidi="ar"/>
              </w:rPr>
              <w:t>0</w:t>
            </w:r>
          </w:p>
        </w:tc>
        <w:tc>
          <w:tcPr>
            <w:tcW w:w="64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r>
              <w:rPr>
                <w:rFonts w:hint="default" w:ascii="Times New Roman" w:hAnsi="Times New Roman" w:cs="Times New Roman" w:eastAsiaTheme="minorEastAsia"/>
                <w:color w:val="auto"/>
                <w:kern w:val="0"/>
                <w:sz w:val="20"/>
                <w:szCs w:val="20"/>
                <w:lang w:val="en-US" w:eastAsia="zh-CN" w:bidi="ar"/>
              </w:rPr>
              <w:t> </w:t>
            </w:r>
          </w:p>
        </w:tc>
        <w:tc>
          <w:tcPr>
            <w:tcW w:w="64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r>
              <w:rPr>
                <w:rFonts w:hint="default" w:ascii="Times New Roman" w:hAnsi="Times New Roman" w:cs="Times New Roman" w:eastAsiaTheme="minorEastAsia"/>
                <w:color w:val="auto"/>
                <w:kern w:val="0"/>
                <w:sz w:val="20"/>
                <w:szCs w:val="20"/>
                <w:lang w:val="en-US" w:eastAsia="zh-CN" w:bidi="ar"/>
              </w:rPr>
              <w:t> </w:t>
            </w:r>
          </w:p>
        </w:tc>
        <w:tc>
          <w:tcPr>
            <w:tcW w:w="64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r>
              <w:rPr>
                <w:rFonts w:hint="default" w:ascii="Times New Roman" w:hAnsi="Times New Roman" w:cs="Times New Roman" w:eastAsiaTheme="minorEastAsia"/>
                <w:color w:val="auto"/>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default" w:ascii="Times New Roman" w:hAnsi="Times New Roman" w:cs="Times New Roman" w:eastAsiaTheme="minorEastAsia"/>
                <w:color w:val="auto"/>
                <w:kern w:val="0"/>
                <w:sz w:val="20"/>
                <w:szCs w:val="20"/>
                <w:lang w:val="en-US" w:eastAsia="zh-CN" w:bidi="ar"/>
              </w:rPr>
              <w:t> </w:t>
            </w:r>
            <w:r>
              <w:rPr>
                <w:rFonts w:hint="eastAsia" w:ascii="Times New Roman" w:hAnsi="Times New Roman" w:cs="Times New Roman"/>
                <w:color w:val="auto"/>
                <w:kern w:val="0"/>
                <w:sz w:val="20"/>
                <w:szCs w:val="20"/>
                <w:lang w:val="en-US" w:eastAsia="zh-CN" w:bidi="ar"/>
              </w:rPr>
              <w:t>0</w:t>
            </w:r>
          </w:p>
        </w:tc>
        <w:tc>
          <w:tcPr>
            <w:tcW w:w="64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r>
              <w:rPr>
                <w:rFonts w:hint="default" w:ascii="Times New Roman" w:hAnsi="Times New Roman" w:cs="Times New Roman" w:eastAsiaTheme="minorEastAsia"/>
                <w:color w:val="auto"/>
                <w:kern w:val="0"/>
                <w:sz w:val="20"/>
                <w:szCs w:val="20"/>
                <w:lang w:val="en-US" w:eastAsia="zh-CN" w:bidi="ar"/>
              </w:rPr>
              <w:t> </w:t>
            </w:r>
          </w:p>
        </w:tc>
        <w:tc>
          <w:tcPr>
            <w:tcW w:w="64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default" w:ascii="Times New Roman" w:hAnsi="Times New Roman" w:cs="Times New Roman" w:eastAsiaTheme="minorEastAsia"/>
                <w:color w:val="auto"/>
                <w:kern w:val="0"/>
                <w:sz w:val="20"/>
                <w:szCs w:val="20"/>
                <w:lang w:val="en-US" w:eastAsia="zh-CN" w:bidi="ar"/>
              </w:rPr>
              <w:t> </w:t>
            </w:r>
            <w:r>
              <w:rPr>
                <w:rFonts w:hint="eastAsia" w:ascii="Times New Roman" w:hAnsi="Times New Roman" w:cs="Times New Roman"/>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default" w:ascii="Times New Roman" w:hAnsi="Times New Roman" w:cs="Times New Roman" w:eastAsiaTheme="minorEastAsia"/>
                <w:color w:val="auto"/>
                <w:kern w:val="0"/>
                <w:sz w:val="20"/>
                <w:szCs w:val="20"/>
                <w:lang w:val="en-US" w:eastAsia="zh-CN" w:bidi="ar"/>
              </w:rPr>
              <w:t> </w:t>
            </w:r>
            <w:r>
              <w:rPr>
                <w:rFonts w:hint="eastAsia" w:ascii="Times New Roman" w:hAnsi="Times New Roman" w:cs="Times New Roman"/>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r>
              <w:rPr>
                <w:rFonts w:hint="default" w:ascii="Times New Roman" w:hAnsi="Times New Roman" w:cs="Times New Roman" w:eastAsiaTheme="minorEastAsia"/>
                <w:color w:val="auto"/>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r>
              <w:rPr>
                <w:rFonts w:hint="default" w:ascii="Times New Roman" w:hAnsi="Times New Roman" w:cs="Times New Roman" w:eastAsiaTheme="minorEastAsia"/>
                <w:color w:val="auto"/>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r>
              <w:rPr>
                <w:rFonts w:hint="default" w:ascii="Times New Roman" w:hAnsi="Times New Roman" w:cs="Times New Roman" w:eastAsiaTheme="minorEastAsia"/>
                <w:color w:val="auto"/>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default" w:ascii="Times New Roman" w:hAnsi="Times New Roman" w:cs="Times New Roman" w:eastAsiaTheme="minorEastAsia"/>
                <w:color w:val="auto"/>
                <w:kern w:val="0"/>
                <w:sz w:val="20"/>
                <w:szCs w:val="20"/>
                <w:lang w:val="en-US" w:eastAsia="zh-CN" w:bidi="ar"/>
              </w:rPr>
              <w:t> </w:t>
            </w:r>
            <w:r>
              <w:rPr>
                <w:rFonts w:hint="eastAsia" w:ascii="Times New Roman" w:hAnsi="Times New Roman" w:cs="Times New Roman"/>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eastAsia" w:ascii="Times New Roman" w:hAnsi="Times New Roman" w:cs="Times New Roman"/>
                <w:color w:val="auto"/>
                <w:kern w:val="0"/>
                <w:sz w:val="20"/>
                <w:szCs w:val="20"/>
                <w:lang w:val="en-US" w:eastAsia="zh-CN" w:bidi="ar"/>
              </w:rPr>
              <w:t>0</w:t>
            </w:r>
            <w:r>
              <w:rPr>
                <w:rFonts w:hint="default" w:ascii="Times New Roman" w:hAnsi="Times New Roman" w:cs="Times New Roman" w:eastAsiaTheme="minorEastAsia"/>
                <w:color w:val="auto"/>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rPr>
            </w:pPr>
            <w:r>
              <w:rPr>
                <w:rFonts w:hint="default" w:ascii="Times New Roman" w:hAnsi="Times New Roman" w:cs="Times New Roman" w:eastAsiaTheme="minorEastAsia"/>
                <w:color w:val="auto"/>
                <w:kern w:val="0"/>
                <w:sz w:val="20"/>
                <w:szCs w:val="20"/>
                <w:lang w:val="en-US" w:eastAsia="zh-CN" w:bidi="ar"/>
              </w:rPr>
              <w:t> </w:t>
            </w:r>
            <w:r>
              <w:rPr>
                <w:rFonts w:hint="eastAsia" w:ascii="Times New Roman" w:hAnsi="Times New Roman" w:cs="Times New Roman"/>
                <w:color w:val="auto"/>
                <w:kern w:val="0"/>
                <w:sz w:val="20"/>
                <w:szCs w:val="20"/>
                <w:lang w:val="en-US" w:eastAsia="zh-CN" w:bidi="ar"/>
              </w:rPr>
              <w:t>0</w:t>
            </w:r>
          </w:p>
        </w:tc>
        <w:tc>
          <w:tcPr>
            <w:tcW w:w="65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color w:val="auto"/>
                <w:sz w:val="24"/>
                <w:szCs w:val="24"/>
              </w:rPr>
            </w:pPr>
            <w:r>
              <w:rPr>
                <w:rFonts w:hint="default" w:ascii="Times New Roman" w:hAnsi="Times New Roman" w:cs="Times New Roman" w:eastAsiaTheme="minorEastAsia"/>
                <w:color w:val="auto"/>
                <w:kern w:val="0"/>
                <w:sz w:val="20"/>
                <w:szCs w:val="20"/>
                <w:lang w:val="en-US" w:eastAsia="zh-CN" w:bidi="ar"/>
              </w:rPr>
              <w:t> </w:t>
            </w:r>
            <w:r>
              <w:rPr>
                <w:rFonts w:hint="eastAsia" w:ascii="Times New Roman" w:hAnsi="Times New Roman" w:cs="Times New Roman"/>
                <w:color w:val="auto"/>
                <w:kern w:val="0"/>
                <w:sz w:val="20"/>
                <w:szCs w:val="20"/>
                <w:lang w:val="en-US" w:eastAsia="zh-CN" w:bidi="ar"/>
              </w:rPr>
              <w:t>0</w:t>
            </w:r>
          </w:p>
        </w:tc>
      </w:tr>
    </w:tbl>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ascii="Times New Roman" w:hAnsi="Times New Roman" w:eastAsia="黑体" w:cs="Times New Roman"/>
          <w:color w:val="auto"/>
          <w:sz w:val="32"/>
          <w:szCs w:val="32"/>
        </w:rPr>
      </w:pPr>
      <w:r>
        <w:rPr>
          <w:rFonts w:hint="eastAsia" w:ascii="Times New Roman" w:hAnsi="Times New Roman" w:eastAsia="黑体" w:cs="黑体"/>
          <w:color w:val="auto"/>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ascii="Times New Roman" w:eastAsia="仿宋_GB2312" w:cs="仿宋_GB2312"/>
          <w:color w:val="auto"/>
          <w:sz w:val="32"/>
          <w:szCs w:val="32"/>
        </w:rPr>
      </w:pPr>
      <w:r>
        <w:rPr>
          <w:rFonts w:hint="eastAsia" w:ascii="仿宋_GB2312" w:hAnsi="仿宋_GB2312" w:eastAsia="仿宋_GB2312" w:cs="仿宋_GB2312"/>
          <w:b w:val="0"/>
          <w:bCs/>
          <w:i w:val="0"/>
          <w:caps w:val="0"/>
          <w:color w:val="auto"/>
          <w:spacing w:val="0"/>
          <w:sz w:val="32"/>
          <w:szCs w:val="32"/>
          <w:shd w:val="clear" w:fill="FFFFFF"/>
        </w:rPr>
        <w:t>目前我局政府信息公开主要在更新数量、公开形式、公开内容等方面存在不足。今后，将进一步加强政府信息公开工作，严格公开程序，提高公开信息质量，加大政府信息更新力度，不断拓展政府信息公开内容，全面提升局政务信息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ascii="Times New Roman" w:hAnsi="Times New Roman" w:eastAsia="黑体" w:cs="Times New Roman"/>
          <w:color w:val="auto"/>
          <w:kern w:val="0"/>
          <w:sz w:val="32"/>
          <w:szCs w:val="32"/>
        </w:rPr>
      </w:pPr>
      <w:r>
        <w:rPr>
          <w:rFonts w:hint="eastAsia" w:ascii="Times New Roman" w:hAnsi="黑体" w:eastAsia="黑体" w:cs="黑体"/>
          <w:color w:val="auto"/>
          <w:kern w:val="0"/>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Times New Roman" w:hAnsi="Times New Roman" w:eastAsia="仿宋_GB2312" w:cs="Times New Roman"/>
          <w:color w:val="auto"/>
          <w:kern w:val="0"/>
          <w:sz w:val="32"/>
          <w:szCs w:val="32"/>
        </w:rPr>
      </w:pPr>
      <w:r>
        <w:rPr>
          <w:rFonts w:hint="eastAsia" w:ascii="Times New Roman" w:eastAsia="仿宋_GB2312" w:cs="仿宋_GB2312"/>
          <w:color w:val="auto"/>
          <w:sz w:val="32"/>
          <w:szCs w:val="32"/>
        </w:rPr>
        <w:t>无</w:t>
      </w: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rebuchet MS"/>
    <w:panose1 w:val="020F0502020204030204"/>
    <w:charset w:val="00"/>
    <w:family w:val="swiss"/>
    <w:pitch w:val="default"/>
    <w:sig w:usb0="00000000" w:usb1="00000000" w:usb2="00000001" w:usb3="00000000" w:csb0="0000019F" w:csb1="00000000"/>
  </w:font>
  <w:font w:name="华文仿宋">
    <w:altName w:val="方正仿宋_GBK"/>
    <w:panose1 w:val="02010600040101010101"/>
    <w:charset w:val="86"/>
    <w:family w:val="auto"/>
    <w:pitch w:val="default"/>
    <w:sig w:usb0="00000000" w:usb1="00000000" w:usb2="00000000" w:usb3="00000000" w:csb0="0004009F" w:csb1="DFD70000"/>
  </w:font>
  <w:font w:name="方正小标宋简体">
    <w:altName w:val="方正小标宋_GBK"/>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altName w:val="方正楷体_GBK"/>
    <w:panose1 w:val="02010600040101010101"/>
    <w:charset w:val="86"/>
    <w:family w:val="auto"/>
    <w:pitch w:val="default"/>
    <w:sig w:usb0="00000000" w:usb1="00000000" w:usb2="00000010" w:usb3="00000000" w:csb0="0004009F"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C6402D"/>
    <w:rsid w:val="0CE82BF8"/>
    <w:rsid w:val="0FC5519F"/>
    <w:rsid w:val="115B693C"/>
    <w:rsid w:val="13123D8D"/>
    <w:rsid w:val="13490C00"/>
    <w:rsid w:val="15E07637"/>
    <w:rsid w:val="1BC01117"/>
    <w:rsid w:val="1C5B4365"/>
    <w:rsid w:val="1CA936B5"/>
    <w:rsid w:val="1E6E03E2"/>
    <w:rsid w:val="228F680B"/>
    <w:rsid w:val="23C6402D"/>
    <w:rsid w:val="2A856834"/>
    <w:rsid w:val="2DDF10F0"/>
    <w:rsid w:val="2F212B1B"/>
    <w:rsid w:val="2F4815F1"/>
    <w:rsid w:val="33197A62"/>
    <w:rsid w:val="35D479C6"/>
    <w:rsid w:val="3D1117D8"/>
    <w:rsid w:val="49573CB4"/>
    <w:rsid w:val="4A1648C2"/>
    <w:rsid w:val="4AB615F0"/>
    <w:rsid w:val="4DB84D20"/>
    <w:rsid w:val="4EC039FB"/>
    <w:rsid w:val="4F3F45E9"/>
    <w:rsid w:val="4FE33FF0"/>
    <w:rsid w:val="50A56CB1"/>
    <w:rsid w:val="51745C78"/>
    <w:rsid w:val="57DF9415"/>
    <w:rsid w:val="5CA64006"/>
    <w:rsid w:val="5D994778"/>
    <w:rsid w:val="5E6C7E5E"/>
    <w:rsid w:val="60D20FDF"/>
    <w:rsid w:val="649E5C92"/>
    <w:rsid w:val="6AA807F6"/>
    <w:rsid w:val="6D9D2AAD"/>
    <w:rsid w:val="6DFF6C5D"/>
    <w:rsid w:val="6E32129F"/>
    <w:rsid w:val="71045691"/>
    <w:rsid w:val="7755089B"/>
    <w:rsid w:val="7CCF9516"/>
    <w:rsid w:val="F6F6E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华文仿宋" w:eastAsia="华文仿宋"/>
      <w:sz w:val="32"/>
    </w:rPr>
  </w:style>
  <w:style w:type="paragraph" w:styleId="3">
    <w:name w:val="Body Text Indent"/>
    <w:basedOn w:val="1"/>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2"/>
    <w:basedOn w:val="3"/>
    <w:next w:val="1"/>
    <w:qFormat/>
    <w:uiPriority w:val="99"/>
    <w:pPr>
      <w:ind w:firstLine="420" w:firstLineChars="200"/>
    </w:pPr>
    <w:rPr>
      <w:rFonts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2021-05-07T18:01:00Z</dcterms:created>
  <dc:creator>感喟</dc:creator>
  <cp:lastModifiedBy>t2222</cp:lastModifiedBy>
  <dcterms:modified xsi:type="dcterms:W3CDTF">2022-01-13T09:45:29Z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D74B7032A74E4606A1196D68B381717B</vt:lpwstr>
  </property>
</Properties>
</file>