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distribute"/>
        <w:rPr>
          <w:rFonts w:ascii="Times New Roman" w:hAnsi="Times New Roman" w:eastAsia="方正小标宋简体" w:cs="Times New Roman"/>
          <w:b/>
          <w:bCs/>
          <w:color w:val="FF0000"/>
          <w:spacing w:val="-20"/>
          <w:w w:val="85"/>
          <w:kern w:val="2"/>
          <w:sz w:val="100"/>
          <w:szCs w:val="100"/>
          <w:lang w:eastAsia="zh-CN"/>
        </w:rPr>
      </w:pPr>
      <w:r>
        <w:rPr>
          <w:rFonts w:ascii="Times New Roman" w:hAnsi="Times New Roman" w:eastAsia="方正小标宋简体" w:cs="Times New Roman"/>
          <w:b/>
          <w:bCs/>
          <w:color w:val="FF0000"/>
          <w:spacing w:val="-20"/>
          <w:w w:val="85"/>
          <w:kern w:val="2"/>
          <w:sz w:val="100"/>
          <w:szCs w:val="100"/>
          <w:lang w:eastAsia="zh-CN"/>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891540</wp:posOffset>
                </wp:positionV>
                <wp:extent cx="5660390" cy="635"/>
                <wp:effectExtent l="0" t="25400" r="16510" b="31115"/>
                <wp:wrapNone/>
                <wp:docPr id="1" name="直接连接符 1"/>
                <wp:cNvGraphicFramePr/>
                <a:graphic xmlns:a="http://schemas.openxmlformats.org/drawingml/2006/main">
                  <a:graphicData uri="http://schemas.microsoft.com/office/word/2010/wordprocessingShape">
                    <wps:wsp>
                      <wps:cNvCnPr/>
                      <wps:spPr>
                        <a:xfrm>
                          <a:off x="0" y="0"/>
                          <a:ext cx="5660390" cy="63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70.2pt;height:0.05pt;width:445.7pt;z-index:251659264;mso-width-relative:page;mso-height-relative:page;" filled="f" stroked="t" coordsize="21600,21600" o:gfxdata="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CgAAAAAAh07iQAAAAAAAAAAAAAAA&#10;AAQAAAAAAAAAAAAQAAAAFgAAAGRycy9QSwECFAAUAAAACACHTuJAZe9DbPoBAADtAwAADgAAAAAA&#10;AAABACAAAABAAQAAZHJzL2Uyb0RvYy54bWxQSwECFAAUAAAACACHTuJAEPCAbNsAAAAKAQAADwAA&#10;AAAAAAABACAAAAA4AAAAZHJzL2Rvd25yZXYueG1sUEsFBgAAAAAGAAYAWQEAAKwFAAAAAA==&#10;">
                <v:fill on="f" focussize="0,0"/>
                <v:stroke weight="4pt" color="#FF0000" linestyle="thickThin" joinstyle="round"/>
                <v:imagedata o:title=""/>
                <o:lock v:ext="edit" aspectratio="f"/>
              </v:line>
            </w:pict>
          </mc:Fallback>
        </mc:AlternateContent>
      </w:r>
      <w:r>
        <w:rPr>
          <w:rFonts w:ascii="Times New Roman" w:hAnsi="Times New Roman" w:eastAsia="方正小标宋简体" w:cs="Times New Roman"/>
          <w:b/>
          <w:bCs/>
          <w:color w:val="FF0000"/>
          <w:spacing w:val="-20"/>
          <w:w w:val="85"/>
          <w:kern w:val="2"/>
          <w:sz w:val="100"/>
          <w:szCs w:val="100"/>
          <w:lang w:eastAsia="zh-CN"/>
        </w:rPr>
        <w:t>广元市昭化生态环境局</w:t>
      </w:r>
    </w:p>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ascii="Times New Roman" w:hAnsi="Times New Roman" w:cs="Times New Roman"/>
          <w:szCs w:val="32"/>
          <w:lang w:eastAsia="zh-CN"/>
        </w:rPr>
      </w:pPr>
      <w:r>
        <w:rPr>
          <w:rFonts w:ascii="Times New Roman" w:hAnsi="Times New Roman" w:cs="Times New Roman"/>
          <w:szCs w:val="32"/>
          <w:lang w:eastAsia="zh-CN"/>
        </w:rPr>
        <w:t>昭环办函〔202</w:t>
      </w:r>
      <w:r>
        <w:rPr>
          <w:rFonts w:hint="eastAsia" w:ascii="Times New Roman" w:hAnsi="Times New Roman" w:cs="Times New Roman"/>
          <w:szCs w:val="32"/>
          <w:lang w:val="en-US" w:eastAsia="zh-CN"/>
        </w:rPr>
        <w:t>5</w:t>
      </w:r>
      <w:r>
        <w:rPr>
          <w:rFonts w:ascii="Times New Roman" w:hAnsi="Times New Roman" w:cs="Times New Roman"/>
          <w:szCs w:val="32"/>
          <w:lang w:eastAsia="zh-CN"/>
        </w:rPr>
        <w:t>〕</w:t>
      </w:r>
      <w:r>
        <w:rPr>
          <w:rFonts w:hint="eastAsia" w:ascii="Times New Roman" w:hAnsi="Times New Roman" w:cs="Times New Roman"/>
          <w:szCs w:val="32"/>
          <w:lang w:val="en-US" w:eastAsia="zh-CN"/>
        </w:rPr>
        <w:t>20</w:t>
      </w:r>
      <w:r>
        <w:rPr>
          <w:rFonts w:ascii="Times New Roman" w:hAnsi="Times New Roman" w:cs="Times New Roman"/>
          <w:szCs w:val="32"/>
          <w:lang w:eastAsia="zh-CN"/>
        </w:rPr>
        <w:t>号</w:t>
      </w:r>
    </w:p>
    <w:p>
      <w:pPr>
        <w:pStyle w:val="2"/>
        <w:keepNext w:val="0"/>
        <w:keepLines w:val="0"/>
        <w:pageBreakBefore w:val="0"/>
        <w:widowControl w:val="0"/>
        <w:kinsoku/>
        <w:wordWrap/>
        <w:overflowPunct/>
        <w:topLinePunct w:val="0"/>
        <w:autoSpaceDE/>
        <w:autoSpaceDN/>
        <w:bidi w:val="0"/>
        <w:adjustRightInd/>
        <w:snapToGrid/>
        <w:spacing w:line="640" w:lineRule="exact"/>
        <w:ind w:firstLine="0"/>
        <w:textAlignment w:val="auto"/>
        <w:rPr>
          <w:rFonts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20"/>
          <w:sz w:val="44"/>
          <w:szCs w:val="44"/>
          <w:lang w:eastAsia="zh-CN"/>
        </w:rPr>
        <w:t>广元市昭化生态环境局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pacing w:val="0"/>
          <w:kern w:val="0"/>
          <w:sz w:val="44"/>
          <w:szCs w:val="44"/>
          <w:lang w:val="en-US" w:eastAsia="zh-CN"/>
        </w:rPr>
      </w:pPr>
      <w:r>
        <w:rPr>
          <w:rFonts w:hint="eastAsia" w:ascii="方正小标宋简体" w:hAnsi="方正小标宋简体" w:eastAsia="方正小标宋简体" w:cs="方正小标宋简体"/>
          <w:bCs/>
          <w:spacing w:val="0"/>
          <w:kern w:val="0"/>
          <w:sz w:val="44"/>
          <w:szCs w:val="44"/>
          <w:lang w:val="en-US" w:eastAsia="zh-CN"/>
        </w:rPr>
        <w:t>关于三红砖厂砖瓦用页岩矿开采项目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0"/>
          <w:kern w:val="0"/>
          <w:sz w:val="44"/>
          <w:szCs w:val="44"/>
          <w:lang w:val="en-US" w:eastAsia="zh-CN"/>
        </w:rPr>
        <w:t>环境影响报告表的批复</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广元市三红砖厂</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你单位报送的《昭化区太公镇三红砖厂砖瓦用页岩矿开采项目环境影响报告表》（以下简称《报告表》）收悉。经研究，现批复如下：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黑体"/>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黑体"/>
          <w:sz w:val="32"/>
          <w:szCs w:val="32"/>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2817495</wp:posOffset>
                </wp:positionV>
                <wp:extent cx="5739130" cy="635"/>
                <wp:effectExtent l="0" t="17145" r="6350" b="27940"/>
                <wp:wrapNone/>
                <wp:docPr id="5" name="直接连接符 5"/>
                <wp:cNvGraphicFramePr/>
                <a:graphic xmlns:a="http://schemas.openxmlformats.org/drawingml/2006/main">
                  <a:graphicData uri="http://schemas.microsoft.com/office/word/2010/wordprocessingShape">
                    <wps:wsp>
                      <wps:cNvCnPr/>
                      <wps:spPr>
                        <a:xfrm>
                          <a:off x="0" y="0"/>
                          <a:ext cx="5739130" cy="635"/>
                        </a:xfrm>
                        <a:prstGeom prst="line">
                          <a:avLst/>
                        </a:prstGeom>
                        <a:ln w="34925"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45pt;margin-top:221.85pt;height:0.05pt;width:451.9pt;z-index:251662336;mso-width-relative:page;mso-height-relative:page;" filled="f" stroked="t" coordsize="21600,21600" o:gfxdata="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">
                <v:fill on="f" focussize="0,0"/>
                <v:stroke weight="2.75pt" color="#FF0000" linestyle="thickThin" joinstyle="round"/>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4898390</wp:posOffset>
                </wp:positionH>
                <wp:positionV relativeFrom="paragraph">
                  <wp:posOffset>3012440</wp:posOffset>
                </wp:positionV>
                <wp:extent cx="777240" cy="274320"/>
                <wp:effectExtent l="0" t="0" r="0" b="0"/>
                <wp:wrapNone/>
                <wp:docPr id="3" name="文本框 3"/>
                <wp:cNvGraphicFramePr/>
                <a:graphic xmlns:a="http://schemas.openxmlformats.org/drawingml/2006/main">
                  <a:graphicData uri="http://schemas.microsoft.com/office/word/2010/wordprocessingShape">
                    <wps:wsp>
                      <wps:cNvSpPr txBox="1"/>
                      <wps:spPr>
                        <a:xfrm>
                          <a:off x="5906135" y="9602470"/>
                          <a:ext cx="777240" cy="2743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7pt;margin-top:237.2pt;height:21.6pt;width:61.2pt;z-index:251663360;mso-width-relative:page;mso-height-relative:page;" fillcolor="#FFFFFF [3201]" filled="t" stroked="f" coordsize="21600,21600" o:gfxdata="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">
                <v:fill on="t" focussize="0,0"/>
                <v:stroke on="f" weight="0.5pt"/>
                <v:imagedata o:title=""/>
                <o:lock v:ext="edit" aspectratio="f"/>
                <v:textbox>
                  <w:txbxContent>
                    <w:p/>
                  </w:txbxContent>
                </v:textbox>
              </v:shape>
            </w:pict>
          </mc:Fallback>
        </mc:AlternateContent>
      </w:r>
      <w:r>
        <w:rPr>
          <w:rFonts w:hint="default" w:ascii="Times New Roman" w:hAnsi="Times New Roman" w:eastAsia="仿宋_GB2312" w:cs="Times New Roman"/>
          <w:sz w:val="32"/>
          <w:szCs w:val="32"/>
          <w:lang w:val="en-US" w:eastAsia="zh-CN"/>
        </w:rPr>
        <w:t>该项目位于四川省广元市昭化区太公镇张家村4组，建设性质为新建。项目主要建设内容为：新建露天采场、表土堆场、矿山道路和其他配套公辅设施等，矿区由4个拐点圈定，面积0.019平方公里，开采深度+795m~+745m。项目开采矿种为砖瓦用页岩矿，开采方式采用自上而下组合台阶式露天机械开采（不爆破），开采工艺包括表土剥离、采掘、装载运输，产品为原矿专供本企业砖瓦生产，不在矿区进行破碎、筛分等加工工序。根据资源储量报告，矿区保有可采资源量34.1万吨，设计开采规模6万吨/年，回采率96% 。项目总投资520万元，其中环保投资56万元，占总投资比例10.8%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已取得昭化区发展和改革局备案手续（川投资备【2408-510811-04-01-854976】FGQB-0103号），采矿许可证（证号：C5108112020057100150155，有效期限：2025年5月21日至2028年10月21日），以及四川省林业和草原局林地使用行政许可（川林资许准（广）〔2025〕84号，占用集体林地1.0934公顷），不属于《产业结构调整指导目录（2024 年本）》限制类、淘汰类，符合国家产业政策及区域矿产资源规划要求。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报告表》的结论及评审意见，在你单位全面落实《报告表》及本批复提出的各项环境保护措施、环境风险防范措施的前提下，项目对环境的不利影响可得到有效控制和缓解。我局原则同意《报告表》中所列工程性质、建设地点、生产规模、生产工艺及环境保护对策措施。</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黑体"/>
          <w:sz w:val="32"/>
          <w:szCs w:val="32"/>
          <w:lang w:val="en-US" w:eastAsia="zh-CN"/>
        </w:rPr>
      </w:pPr>
      <w:r>
        <w:rPr>
          <w:rFonts w:hint="default" w:ascii="Times New Roman" w:hAnsi="Times New Roman" w:eastAsia="黑体" w:cs="黑体"/>
          <w:sz w:val="32"/>
          <w:szCs w:val="32"/>
          <w:lang w:val="en-US" w:eastAsia="zh-CN"/>
        </w:rPr>
        <w:t>项目实施和运行过程中重点做好以下工作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（一）落实大气污染防治措施。</w:t>
      </w:r>
      <w:r>
        <w:rPr>
          <w:rFonts w:hint="eastAsia" w:ascii="Times New Roman" w:hAnsi="Times New Roman" w:cs="Times New Roman"/>
          <w:sz w:val="32"/>
          <w:szCs w:val="32"/>
          <w:lang w:val="en-US" w:eastAsia="zh-CN"/>
        </w:rPr>
        <w:t>项目</w:t>
      </w:r>
      <w:r>
        <w:rPr>
          <w:rFonts w:hint="default" w:ascii="Times New Roman" w:hAnsi="Times New Roman" w:eastAsia="仿宋_GB2312" w:cs="Times New Roman"/>
          <w:sz w:val="32"/>
          <w:szCs w:val="32"/>
          <w:lang w:val="en-US" w:eastAsia="zh-CN"/>
        </w:rPr>
        <w:t>施工期间规范堆放、遮盖、洒水；运输车辆采取遮盖、密闭措施，施工</w:t>
      </w:r>
      <w:r>
        <w:rPr>
          <w:rFonts w:hint="eastAsia" w:ascii="Times New Roman" w:hAnsi="Times New Roman" w:cs="Times New Roman"/>
          <w:sz w:val="32"/>
          <w:szCs w:val="32"/>
          <w:lang w:val="en-US" w:eastAsia="zh-CN"/>
        </w:rPr>
        <w:t>期间</w:t>
      </w:r>
      <w:r>
        <w:rPr>
          <w:rFonts w:hint="default" w:ascii="Times New Roman" w:hAnsi="Times New Roman" w:eastAsia="仿宋_GB2312" w:cs="Times New Roman"/>
          <w:sz w:val="32"/>
          <w:szCs w:val="32"/>
          <w:lang w:val="en-US" w:eastAsia="zh-CN"/>
        </w:rPr>
        <w:t>扬尘符合《四川省施工场地扬尘排放标准》（DB51/2682-2020）中各施工阶段排放限值。营运期主要产生矿石开采粉尘、贮存及堆场扬尘、装卸料粉尘、运输扬尘及机动车尾气等。采矿作业采用湿式凿岩、湿式钻孔工艺，采场配置喷雾洒水装置，定时喷雾降尘；表土堆场（位于矿区东南侧，面积 1750m²）采用密目防尘网覆盖，定期洒水保湿并压实表面，必要时撒播草籽；运输车辆须采用篷布全覆盖，出场前经冲洗平台清洗轮胎及车身，矿区道路定时洒水降尘；装卸作业时同步开启雾炮喷淋抑尘，严禁高空卸料。营运期无组织颗粒物排放须满足《大气污染物综合排放标准》（GB16297-1996）无组织监控浓度限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（二）落实水污染防治措施。</w:t>
      </w:r>
      <w:r>
        <w:rPr>
          <w:rFonts w:hint="default" w:ascii="Times New Roman" w:hAnsi="Times New Roman" w:eastAsia="仿宋_GB2312" w:cs="Times New Roman"/>
          <w:sz w:val="32"/>
          <w:szCs w:val="32"/>
          <w:lang w:val="en-US" w:eastAsia="zh-CN"/>
        </w:rPr>
        <w:t>矿区周边布设截排水沟，采场内设置雨水收集沟，配套建设1 座容积 50m³沉砂池，收集的初期雨水经沉淀后全部用于场地降尘，不外排；车辆冲洗废水经沉砂池处理后循环回用，不外排；生活污水依托化粪池预处理后，用于周边林地、耕地施肥，不外排。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（三）落实噪声污染防治措施。</w:t>
      </w:r>
      <w:r>
        <w:rPr>
          <w:rFonts w:hint="default" w:ascii="Times New Roman" w:hAnsi="Times New Roman" w:eastAsia="仿宋_GB2312" w:cs="Times New Roman"/>
          <w:sz w:val="32"/>
          <w:szCs w:val="32"/>
          <w:lang w:val="en-US" w:eastAsia="zh-CN"/>
        </w:rPr>
        <w:t>项目须优化施工组织，合理安排各类噪声设备运作时间，禁止午间和夜间施工作业，优先选用低噪声设备，对高噪声设备采取基础减震等措施。同时加强对运输车辆管理，合理设置运输路线，严格控制装载机车速，场内道路两侧可设置绿化隔离带。营运期厂界噪声排放须满足《工业企业厂界环境噪声排放标准》（GB12348-2008）中2类标准限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（四）落实固体废物污染防治措施。</w:t>
      </w:r>
      <w:r>
        <w:rPr>
          <w:rFonts w:hint="default" w:ascii="Times New Roman" w:hAnsi="Times New Roman" w:eastAsia="仿宋_GB2312" w:cs="Times New Roman"/>
          <w:sz w:val="32"/>
          <w:szCs w:val="32"/>
          <w:lang w:val="en-US" w:eastAsia="zh-CN"/>
        </w:rPr>
        <w:t>严格按照《一般工业固体废物贮存和填埋污染控制标准》（GB18599-2020）要求处置固废。剥离表土单独存放于表土堆场，设置砂袋挡护、排水沟及沉砂池，后期全部用于矿区绿化覆土；沉砂池沉渣定期清掏，用于绿化覆土或矿区回填；生活垃圾经垃圾桶集中收集后，交由当地环卫部门统一清运处置。机械设备维修产生的废机油、废油桶等危险废物，储存于危废暂存点，定期委托有危废处置资质的单位进行处理，危废暂存点须符合《危险废物贮存污染控制标准》（GB18597-2023），并建立危废产生、贮存、转移台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（五）落实生态保护与修复措施。</w:t>
      </w:r>
      <w:r>
        <w:rPr>
          <w:rFonts w:hint="default" w:ascii="Times New Roman" w:hAnsi="Times New Roman" w:eastAsia="仿宋_GB2312" w:cs="Times New Roman"/>
          <w:sz w:val="32"/>
          <w:szCs w:val="32"/>
          <w:lang w:val="en-US" w:eastAsia="zh-CN"/>
        </w:rPr>
        <w:t>严格控制在划定矿区红线范围内作业，不得超范围破坏林地。开采期间须严格按照《报告表》要求，按照“边开采、边修复”原则，及时修整边坡，同步实施植被恢复，确保扰动土地整治率、水土流失治理度等指标达标；矿山服务期满后，须依法办理闭矿或停办手续，并对矿区生态进行重建，按照绿色矿山相关要求，落实污染防治和生态恢复计划，对矿山进行治理以及植被的恢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（六）落实环境风险防范措施。</w:t>
      </w:r>
      <w:r>
        <w:rPr>
          <w:rFonts w:hint="default" w:ascii="Times New Roman" w:hAnsi="Times New Roman" w:eastAsia="仿宋_GB2312" w:cs="Times New Roman"/>
          <w:sz w:val="32"/>
          <w:szCs w:val="32"/>
          <w:lang w:val="en-US" w:eastAsia="zh-CN"/>
        </w:rPr>
        <w:t>制定突发环境事件应急预案，并报我局备案，重点防范表土堆场滑坡、泥石流及粉尘事故排放风险，配备防渗沙袋、防护用品、检修器材等应急装备，定期开展应急演练。表土堆场须设置完善的截排水系统，雨季前定期检查坝体稳定性及排水设施通畅性；加强环保设备日常维护，定期检查雾炮机、洒水装置等运行状况，避免粉尘事故排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（七）严格落实环境管理与监测要求。</w:t>
      </w:r>
      <w:r>
        <w:rPr>
          <w:rFonts w:hint="default" w:ascii="Times New Roman" w:hAnsi="Times New Roman" w:eastAsia="仿宋_GB2312" w:cs="Times New Roman"/>
          <w:sz w:val="32"/>
          <w:szCs w:val="32"/>
          <w:lang w:val="en-US" w:eastAsia="zh-CN"/>
        </w:rPr>
        <w:t>按照《报告表》提出的环境管理和监测计划，制定项目污染物排放和周边环境质量自行监测方案，开展相关环境管理和监测工作。做好项目环境信息公开工作，定期向社会公布运行基本情况，公示污染物排放数据，接受公众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黑体"/>
          <w:sz w:val="32"/>
          <w:szCs w:val="32"/>
          <w:lang w:val="en-US" w:eastAsia="zh-CN"/>
        </w:rPr>
      </w:pPr>
      <w:r>
        <w:rPr>
          <w:rFonts w:hint="default" w:ascii="Times New Roman" w:hAnsi="Times New Roman" w:eastAsia="黑体" w:cs="黑体"/>
          <w:sz w:val="32"/>
          <w:szCs w:val="32"/>
          <w:lang w:val="en-US" w:eastAsia="zh-CN"/>
        </w:rPr>
        <w:t>三、其他要求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（一）</w:t>
      </w:r>
      <w:r>
        <w:rPr>
          <w:rFonts w:hint="default" w:ascii="Times New Roman" w:hAnsi="Times New Roman" w:eastAsia="仿宋_GB2312" w:cs="Times New Roman"/>
          <w:sz w:val="32"/>
          <w:szCs w:val="32"/>
          <w:lang w:val="en-US" w:eastAsia="zh-CN"/>
        </w:rPr>
        <w:t xml:space="preserve">建设单位要严格执行环保设施与主体工程同时设计、同时施工、同时投产的环保“三同时”制度。项目投产前，须按《固定污染源排污许可分类管理名录》最新要求将经批准的环境影响评价文件中各项环境保护措施、污染物排放清单等情况及其他有关内容载入排污许可证，做到按证排污。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（二）</w:t>
      </w:r>
      <w:r>
        <w:rPr>
          <w:rFonts w:hint="default" w:ascii="Times New Roman" w:hAnsi="Times New Roman" w:eastAsia="仿宋_GB2312" w:cs="Times New Roman"/>
          <w:sz w:val="32"/>
          <w:szCs w:val="32"/>
          <w:lang w:val="en-US" w:eastAsia="zh-CN"/>
        </w:rPr>
        <w:t>项目建成后须按国家有关法律法规和标准要求自主开展项目竣工环境保护验收，经验收合格后，方可正式投入正常生产。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（三）</w:t>
      </w:r>
      <w:r>
        <w:rPr>
          <w:rFonts w:hint="default" w:ascii="Times New Roman" w:hAnsi="Times New Roman" w:eastAsia="仿宋_GB2312" w:cs="Times New Roman"/>
          <w:sz w:val="32"/>
          <w:szCs w:val="32"/>
          <w:lang w:val="en-US" w:eastAsia="zh-CN"/>
        </w:rPr>
        <w:t>项目环境影响评价文件经批准后，如项目的性质、规模、工艺、地点或者防治污染、防止生态破坏的措施发生重大变动的，你公司应当重新报批环境影响评价文件，否则不得实施建设。自环评批复文件批准之日起，如工程超过5年方决定开工建设，环境影响评价文件应当报我局重新审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eastAsia="黑体" w:cs="黑体"/>
          <w:sz w:val="32"/>
          <w:szCs w:val="32"/>
          <w:lang w:val="en-US" w:eastAsia="zh-CN"/>
        </w:rPr>
        <w:t>四、</w:t>
      </w:r>
      <w:r>
        <w:rPr>
          <w:rFonts w:hint="default" w:ascii="Times New Roman" w:hAnsi="Times New Roman" w:eastAsia="仿宋_GB2312" w:cs="Times New Roman"/>
          <w:sz w:val="32"/>
          <w:szCs w:val="32"/>
          <w:lang w:val="en-US" w:eastAsia="zh-CN"/>
        </w:rPr>
        <w:t>昭化区太公镇负责项目建设期日常环境保护监督管理，昭化生态环境保护综合行政执法大队将其纳入“双随机”抽查范围，同时按照《关于进一步完善建设项目环境保护“三同时”及竣工环境保护自主验收监管工作机制的意见》（环执法〔2021〕70号）要求，加强对该工程环境保护“三同时”及自主验收监管</w:t>
      </w:r>
      <w:r>
        <w:rPr>
          <w:rFonts w:hint="eastAsia"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（此页无正文。）</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广元市昭化生态环境局</w:t>
      </w:r>
    </w:p>
    <w:p>
      <w:pPr>
        <w:keepNext w:val="0"/>
        <w:keepLines w:val="0"/>
        <w:pageBreakBefore w:val="0"/>
        <w:widowControl w:val="0"/>
        <w:kinsoku/>
        <w:wordWrap w:val="0"/>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bCs/>
          <w:spacing w:val="0"/>
          <w:kern w:val="0"/>
          <w:sz w:val="32"/>
          <w:szCs w:val="32"/>
          <w:lang w:val="en-US" w:eastAsia="zh-CN"/>
        </w:rPr>
      </w:pP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right="0"/>
        <w:jc w:val="both"/>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000000"/>
          <w:sz w:val="32"/>
          <w:szCs w:val="28"/>
          <w:lang w:eastAsia="zh-CN"/>
        </w:rPr>
      </w:pPr>
    </w:p>
    <w:p>
      <w:pPr>
        <w:pStyle w:val="2"/>
        <w:keepNext w:val="0"/>
        <w:keepLines w:val="0"/>
        <w:pageBreakBefore w:val="0"/>
        <w:widowControl w:val="0"/>
        <w:kinsoku/>
        <w:overflowPunct/>
        <w:topLinePunct w:val="0"/>
        <w:autoSpaceDE/>
        <w:autoSpaceDN/>
        <w:bidi w:val="0"/>
        <w:ind w:left="0" w:leftChars="0" w:firstLine="0" w:firstLineChars="0"/>
        <w:textAlignment w:val="auto"/>
        <w:rPr>
          <w:rFonts w:hint="default" w:ascii="Times New Roman" w:hAnsi="Times New Roman" w:eastAsia="仿宋_GB2312" w:cs="Times New Roman"/>
          <w:color w:val="000000"/>
          <w:sz w:val="32"/>
          <w:szCs w:val="28"/>
          <w:lang w:eastAsia="zh-CN"/>
        </w:rPr>
      </w:pPr>
      <w:bookmarkStart w:id="0" w:name="_GoBack"/>
      <w:bookmarkEnd w:id="0"/>
    </w:p>
    <w:p>
      <w:pPr>
        <w:spacing w:line="576" w:lineRule="exact"/>
        <w:ind w:firstLine="280" w:firstLineChars="100"/>
        <w:rPr>
          <w:rFonts w:hint="default" w:ascii="Times New Roman" w:hAnsi="Times New Roman"/>
          <w:lang w:val="en-US" w:eastAsia="zh-CN"/>
        </w:rPr>
      </w:pPr>
      <w:r>
        <w:rPr>
          <w:rFonts w:hint="default" w:ascii="Times New Roman" w:hAnsi="Times New Roman" w:eastAsia="仿宋_GB2312" w:cs="Times New Roman"/>
          <w:color w:val="000000"/>
          <w:sz w:val="28"/>
          <w:szCs w:val="28"/>
          <w:lang w:eastAsia="zh-CN"/>
        </w:rPr>
        <w:t>广元市昭化生态环境局办公室</w: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76200</wp:posOffset>
                </wp:positionV>
                <wp:extent cx="560070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pt;height:0pt;width:441pt;z-index:251660288;mso-width-relative:page;mso-height-relative:page;" filled="f" stroked="t" coordsize="21600,21600" o:gfxdata="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&#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60070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41pt;z-index:251661312;mso-width-relative:page;mso-height-relative:page;" filled="f" stroked="t" coordsize="21600,21600" o:gfxdata="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&#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w:t xml:space="preserve"> </w:t>
      </w:r>
      <w:r>
        <w:rPr>
          <w:rFonts w:hint="default" w:ascii="Times New Roman" w:hAnsi="Times New Roman" w:eastAsia="仿宋_GB2312" w:cs="Times New Roman"/>
          <w:color w:val="auto"/>
          <w:kern w:val="0"/>
          <w:sz w:val="28"/>
          <w:szCs w:val="28"/>
        </w:rPr>
        <w:t xml:space="preserve">    </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lang w:val="en-US" w:eastAsia="zh-CN"/>
        </w:rPr>
        <w:t>025</w:t>
      </w:r>
      <w:r>
        <w:rPr>
          <w:rFonts w:hint="default" w:ascii="Times New Roman" w:hAnsi="Times New Roman" w:eastAsia="仿宋_GB2312" w:cs="Times New Roman"/>
          <w:color w:val="auto"/>
          <w:kern w:val="0"/>
          <w:sz w:val="28"/>
          <w:szCs w:val="28"/>
        </w:rPr>
        <w:t>年</w:t>
      </w:r>
      <w:r>
        <w:rPr>
          <w:rFonts w:hint="eastAsia" w:ascii="Times New Roman" w:hAnsi="Times New Roman" w:cs="Times New Roman"/>
          <w:color w:val="auto"/>
          <w:kern w:val="0"/>
          <w:sz w:val="28"/>
          <w:szCs w:val="28"/>
          <w:lang w:val="en-US" w:eastAsia="zh-CN"/>
        </w:rPr>
        <w:t>12</w:t>
      </w:r>
      <w:r>
        <w:rPr>
          <w:rFonts w:hint="default" w:ascii="Times New Roman" w:hAnsi="Times New Roman" w:eastAsia="仿宋_GB2312" w:cs="Times New Roman"/>
          <w:color w:val="auto"/>
          <w:kern w:val="0"/>
          <w:sz w:val="28"/>
          <w:szCs w:val="28"/>
        </w:rPr>
        <w:t>月</w:t>
      </w:r>
      <w:r>
        <w:rPr>
          <w:rFonts w:hint="eastAsia" w:ascii="Times New Roman" w:hAnsi="Times New Roman"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rPr>
        <w:t>日</w:t>
      </w:r>
      <w:r>
        <w:rPr>
          <w:rFonts w:hint="eastAsia" w:ascii="Times New Roman" w:hAnsi="Times New Roman" w:eastAsia="仿宋_GB2312" w:cs="Times New Roman"/>
          <w:color w:val="auto"/>
          <w:kern w:val="0"/>
          <w:sz w:val="28"/>
          <w:szCs w:val="28"/>
          <w:lang w:val="en-US" w:eastAsia="zh-CN"/>
        </w:rPr>
        <w:t xml:space="preserve"> 印</w:t>
      </w:r>
    </w:p>
    <w:sectPr>
      <w:footerReference r:id="rId5" w:type="default"/>
      <w:pgSz w:w="11906" w:h="16838"/>
      <w:pgMar w:top="2098" w:right="1474" w:bottom="1984" w:left="1587" w:header="1020" w:footer="130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769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91664"/>
    <w:multiLevelType w:val="singleLevel"/>
    <w:tmpl w:val="5F6916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mVjYjQwN2M1Mzc1Y2IzZmE2MWZhZmUxMWFjMjQifQ=="/>
  </w:docVars>
  <w:rsids>
    <w:rsidRoot w:val="00000000"/>
    <w:rsid w:val="004408FF"/>
    <w:rsid w:val="00846033"/>
    <w:rsid w:val="011E0236"/>
    <w:rsid w:val="013B4944"/>
    <w:rsid w:val="01B40E0C"/>
    <w:rsid w:val="04552C06"/>
    <w:rsid w:val="055827F1"/>
    <w:rsid w:val="064F49ED"/>
    <w:rsid w:val="06726EFB"/>
    <w:rsid w:val="086223E6"/>
    <w:rsid w:val="098B3F8E"/>
    <w:rsid w:val="09C64F56"/>
    <w:rsid w:val="09D8004E"/>
    <w:rsid w:val="0A2212BB"/>
    <w:rsid w:val="0A932835"/>
    <w:rsid w:val="0AF2425E"/>
    <w:rsid w:val="0BA4055E"/>
    <w:rsid w:val="0BF16B71"/>
    <w:rsid w:val="0C61547A"/>
    <w:rsid w:val="0D5A0848"/>
    <w:rsid w:val="0DE21F4E"/>
    <w:rsid w:val="0DFC0C8A"/>
    <w:rsid w:val="0F0846CA"/>
    <w:rsid w:val="0F6949B3"/>
    <w:rsid w:val="11AB0C44"/>
    <w:rsid w:val="11D279B5"/>
    <w:rsid w:val="11ED1C8A"/>
    <w:rsid w:val="124F10CD"/>
    <w:rsid w:val="12AE5347"/>
    <w:rsid w:val="13E1581F"/>
    <w:rsid w:val="14BC1DE8"/>
    <w:rsid w:val="15155054"/>
    <w:rsid w:val="1683077C"/>
    <w:rsid w:val="18153CE9"/>
    <w:rsid w:val="18FF22A3"/>
    <w:rsid w:val="1ADD1137"/>
    <w:rsid w:val="1AEE0075"/>
    <w:rsid w:val="1CC50FF2"/>
    <w:rsid w:val="1D71569B"/>
    <w:rsid w:val="1E0565AE"/>
    <w:rsid w:val="1FC906EB"/>
    <w:rsid w:val="201645FD"/>
    <w:rsid w:val="20EE50D7"/>
    <w:rsid w:val="21AD7E32"/>
    <w:rsid w:val="22B91715"/>
    <w:rsid w:val="22DA501F"/>
    <w:rsid w:val="23305E7B"/>
    <w:rsid w:val="23D42CAA"/>
    <w:rsid w:val="24CF3471"/>
    <w:rsid w:val="266B176E"/>
    <w:rsid w:val="26E72CF4"/>
    <w:rsid w:val="28377363"/>
    <w:rsid w:val="28AE7E93"/>
    <w:rsid w:val="28D17E71"/>
    <w:rsid w:val="292C49EE"/>
    <w:rsid w:val="2B8676FA"/>
    <w:rsid w:val="2C8114F5"/>
    <w:rsid w:val="2DF45CF7"/>
    <w:rsid w:val="2E082011"/>
    <w:rsid w:val="2E47051C"/>
    <w:rsid w:val="2F567208"/>
    <w:rsid w:val="2FF6409F"/>
    <w:rsid w:val="30913CD1"/>
    <w:rsid w:val="30AE03DF"/>
    <w:rsid w:val="30C5430B"/>
    <w:rsid w:val="31E25969"/>
    <w:rsid w:val="36E96615"/>
    <w:rsid w:val="36F80606"/>
    <w:rsid w:val="375C6DE7"/>
    <w:rsid w:val="39E8238A"/>
    <w:rsid w:val="3B245E6D"/>
    <w:rsid w:val="3E0C2BE9"/>
    <w:rsid w:val="400B6AAF"/>
    <w:rsid w:val="402E7102"/>
    <w:rsid w:val="40D4008C"/>
    <w:rsid w:val="42162288"/>
    <w:rsid w:val="42834CC6"/>
    <w:rsid w:val="42B06D43"/>
    <w:rsid w:val="43BF235B"/>
    <w:rsid w:val="47D8176D"/>
    <w:rsid w:val="485458B8"/>
    <w:rsid w:val="4A761B16"/>
    <w:rsid w:val="4B8323A0"/>
    <w:rsid w:val="4CA02E7A"/>
    <w:rsid w:val="4DEB3C84"/>
    <w:rsid w:val="4E102C63"/>
    <w:rsid w:val="50FB4B23"/>
    <w:rsid w:val="52B92EE7"/>
    <w:rsid w:val="52C141FE"/>
    <w:rsid w:val="53EE4E13"/>
    <w:rsid w:val="54BF6853"/>
    <w:rsid w:val="565A3421"/>
    <w:rsid w:val="57743881"/>
    <w:rsid w:val="58EA204C"/>
    <w:rsid w:val="5A166188"/>
    <w:rsid w:val="5ACC6005"/>
    <w:rsid w:val="5B371B91"/>
    <w:rsid w:val="5BD448EE"/>
    <w:rsid w:val="5C901178"/>
    <w:rsid w:val="5FA12D39"/>
    <w:rsid w:val="62161F3E"/>
    <w:rsid w:val="62FF4D34"/>
    <w:rsid w:val="659F7D1B"/>
    <w:rsid w:val="65AC2861"/>
    <w:rsid w:val="65C31028"/>
    <w:rsid w:val="660D4C01"/>
    <w:rsid w:val="67332E10"/>
    <w:rsid w:val="69CA7330"/>
    <w:rsid w:val="6A154662"/>
    <w:rsid w:val="6A2C68A1"/>
    <w:rsid w:val="6B2C35A2"/>
    <w:rsid w:val="6B8472DD"/>
    <w:rsid w:val="6D0A4613"/>
    <w:rsid w:val="6DE9247B"/>
    <w:rsid w:val="6E623FDB"/>
    <w:rsid w:val="6E9B00D1"/>
    <w:rsid w:val="6EDB7958"/>
    <w:rsid w:val="6EEE40F5"/>
    <w:rsid w:val="6F5933BB"/>
    <w:rsid w:val="708659B7"/>
    <w:rsid w:val="70DA60AB"/>
    <w:rsid w:val="71042446"/>
    <w:rsid w:val="7416564C"/>
    <w:rsid w:val="746E36DA"/>
    <w:rsid w:val="75232716"/>
    <w:rsid w:val="757545F4"/>
    <w:rsid w:val="76903886"/>
    <w:rsid w:val="77ED700C"/>
    <w:rsid w:val="793C47B8"/>
    <w:rsid w:val="798412AA"/>
    <w:rsid w:val="79A436FA"/>
    <w:rsid w:val="7A32659D"/>
    <w:rsid w:val="7AF16884"/>
    <w:rsid w:val="7C68795D"/>
    <w:rsid w:val="7CB63E70"/>
    <w:rsid w:val="F7F64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pPr>
    <w:rPr>
      <w:rFonts w:ascii="等线" w:hAnsi="等线" w:eastAsia="仿宋_GB2312" w:cs="等线"/>
      <w:sz w:val="3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rFonts w:eastAsia="宋体"/>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55"/>
    </w:pPr>
    <w:rPr>
      <w:rFonts w:eastAsia="仿宋_GB2312"/>
      <w:sz w:val="28"/>
    </w:rPr>
  </w:style>
  <w:style w:type="paragraph" w:styleId="4">
    <w:name w:val="Salutation"/>
    <w:basedOn w:val="1"/>
    <w:next w:val="1"/>
    <w:qFormat/>
    <w:uiPriority w:val="0"/>
    <w:rPr>
      <w:kern w:val="0"/>
      <w:sz w:val="24"/>
      <w:szCs w:val="20"/>
    </w:rPr>
  </w:style>
  <w:style w:type="paragraph" w:styleId="5">
    <w:name w:val="Body Text"/>
    <w:basedOn w:val="1"/>
    <w:next w:val="6"/>
    <w:qFormat/>
    <w:uiPriority w:val="0"/>
    <w:pPr>
      <w:widowControl/>
      <w:spacing w:line="360" w:lineRule="auto"/>
    </w:pPr>
    <w:rPr>
      <w:color w:val="FF0000"/>
    </w:rPr>
  </w:style>
  <w:style w:type="paragraph" w:styleId="6">
    <w:name w:val="Body Text First Indent"/>
    <w:basedOn w:val="5"/>
    <w:next w:val="1"/>
    <w:qFormat/>
    <w:uiPriority w:val="0"/>
    <w:pPr>
      <w:widowControl w:val="0"/>
      <w:snapToGrid/>
      <w:spacing w:before="0" w:after="120" w:line="240" w:lineRule="auto"/>
      <w:ind w:right="0" w:firstLine="420" w:firstLineChars="100"/>
    </w:pPr>
    <w:rPr>
      <w:kern w:val="2"/>
      <w:sz w:val="21"/>
    </w:rPr>
  </w:style>
  <w:style w:type="paragraph" w:styleId="7">
    <w:name w:val="Plain Text"/>
    <w:basedOn w:val="1"/>
    <w:qFormat/>
    <w:uiPriority w:val="0"/>
    <w:rPr>
      <w:rFonts w:ascii="宋体" w:hAnsi="Courier New" w:cs="Times New Roman"/>
      <w:szCs w:val="22"/>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4">
    <w:name w:val="Default"/>
    <w:qFormat/>
    <w:uiPriority w:val="0"/>
    <w:pPr>
      <w:widowControl w:val="0"/>
      <w:autoSpaceDE w:val="0"/>
      <w:autoSpaceDN w:val="0"/>
      <w:adjustRightInd w:val="0"/>
      <w:spacing w:line="440" w:lineRule="exact"/>
      <w:jc w:val="both"/>
    </w:pPr>
    <w:rPr>
      <w:rFonts w:ascii="华文中宋" w:hAnsi="Times New Roman" w:eastAsia="华文中宋" w:cs="华文中宋"/>
      <w:color w:val="000000"/>
      <w:sz w:val="24"/>
      <w:szCs w:val="24"/>
      <w:lang w:val="en-US" w:eastAsia="zh-CN" w:bidi="ar-SA"/>
    </w:rPr>
  </w:style>
  <w:style w:type="paragraph" w:styleId="15">
    <w:name w:val="List Paragraph"/>
    <w:basedOn w:val="1"/>
    <w:qFormat/>
    <w:uiPriority w:val="99"/>
    <w:pPr>
      <w:spacing w:line="360" w:lineRule="auto"/>
      <w:ind w:firstLine="420" w:firstLineChars="200"/>
    </w:pPr>
    <w:rPr>
      <w:rFonts w:cs="宋体"/>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1858</Words>
  <Characters>1937</Characters>
  <Lines>0</Lines>
  <Paragraphs>0</Paragraphs>
  <TotalTime>25</TotalTime>
  <ScaleCrop>false</ScaleCrop>
  <LinksUpToDate>false</LinksUpToDate>
  <CharactersWithSpaces>1993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yjl</dc:creator>
  <cp:lastModifiedBy>mee</cp:lastModifiedBy>
  <cp:lastPrinted>2025-12-08T15:27:00Z</cp:lastPrinted>
  <dcterms:modified xsi:type="dcterms:W3CDTF">2025-12-08T16:18:14Z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2D3BBDB86DC7463D9159B42BC0E80746_13</vt:lpwstr>
  </property>
  <property fmtid="{D5CDD505-2E9C-101B-9397-08002B2CF9AE}" pid="4" name="KSOTemplateDocerSaveRecord">
    <vt:lpwstr>eyJoZGlkIjoiMTk4MGViNDY3YThkZGMyOTgxMjJlZjZlNjdiMWMxZGEiLCJ1c2VySWQiOiIyNjUzOTIwOTkifQ==</vt:lpwstr>
  </property>
</Properties>
</file>