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2024年度行政许可实施情况统计表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制表单位（盖章）：广元市昭化生态环境局                               制表日期：2025年1月2日</w:t>
      </w:r>
    </w:p>
    <w:tbl>
      <w:tblPr>
        <w:tblStyle w:val="11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48"/>
        <w:gridCol w:w="1387"/>
        <w:gridCol w:w="1538"/>
        <w:gridCol w:w="1456"/>
        <w:gridCol w:w="1758"/>
        <w:gridCol w:w="2447"/>
        <w:gridCol w:w="2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68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6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61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11510700MB1E4362XP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广元市昭化生态环境局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3885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3.准予变更、延续和不予变更、延续的数量，分别计入“许可的数量”、“不予许可的数量”。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2024年度行政处罚实施情况统计表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制表单位（盖章）：广元市昭化生态环境局                                                                制表日期：2025年1月2日</w:t>
      </w:r>
    </w:p>
    <w:tbl>
      <w:tblPr>
        <w:tblStyle w:val="11"/>
        <w:tblW w:w="14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2"/>
        <w:gridCol w:w="1312"/>
        <w:gridCol w:w="713"/>
        <w:gridCol w:w="625"/>
        <w:gridCol w:w="1012"/>
        <w:gridCol w:w="750"/>
        <w:gridCol w:w="713"/>
        <w:gridCol w:w="725"/>
        <w:gridCol w:w="850"/>
        <w:gridCol w:w="662"/>
        <w:gridCol w:w="663"/>
        <w:gridCol w:w="650"/>
        <w:gridCol w:w="675"/>
        <w:gridCol w:w="650"/>
        <w:gridCol w:w="850"/>
        <w:gridCol w:w="887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953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8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合  计（件）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11510700MB1E4362XP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广元市昭化生态环境局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0                                                   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117.91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117.91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2024年度行政强制实施情况统计表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制表单位（盖章）：广元市昭化生态环境局                                                               制表日期：2025年1月2日</w:t>
      </w:r>
    </w:p>
    <w:tbl>
      <w:tblPr>
        <w:tblStyle w:val="11"/>
        <w:tblW w:w="14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4"/>
        <w:gridCol w:w="1188"/>
        <w:gridCol w:w="862"/>
        <w:gridCol w:w="638"/>
        <w:gridCol w:w="725"/>
        <w:gridCol w:w="812"/>
        <w:gridCol w:w="813"/>
        <w:gridCol w:w="875"/>
        <w:gridCol w:w="1025"/>
        <w:gridCol w:w="987"/>
        <w:gridCol w:w="900"/>
        <w:gridCol w:w="883"/>
        <w:gridCol w:w="135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3037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6838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代履行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11510700MB1E4362XP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广元市昭化生态环境局 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2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4.申请法院强制执行数量的统计范围为统计年度1月1日至12月31日期间向法院申请强制执行的数量，时间以申请日期为准。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2024年度行政检查实施情况统计表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制表单位（盖章）：广元市昭化生态环境局                                                               制表日期：2025年1月2日</w:t>
      </w:r>
    </w:p>
    <w:tbl>
      <w:tblPr>
        <w:tblStyle w:val="11"/>
        <w:tblW w:w="14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379"/>
        <w:gridCol w:w="1546"/>
        <w:gridCol w:w="1650"/>
        <w:gridCol w:w="1462"/>
        <w:gridCol w:w="1550"/>
        <w:gridCol w:w="1613"/>
        <w:gridCol w:w="1400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行政检查总数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1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11510700MB1E4362XP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广元市昭化生态环境局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1.行政检查次数的统计范围为统计年度1月1日至12月31日期间开展行政检查的次数；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2.检查1个检查对象，有完整、详细的检查记录的，计为开展1次行政检查；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3.无特定检查对象的巡查、巡逻，无完整、详细检查记录，为查证违法事实而开展调查的，不计入检查次数。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sectPr>
          <w:footerReference r:id="rId3" w:type="default"/>
          <w:pgSz w:w="16838" w:h="11906" w:orient="landscape"/>
          <w:pgMar w:top="1134" w:right="1701" w:bottom="1134" w:left="1134" w:header="851" w:footer="73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left" w:pos="1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年度行政执法和行政执法监督工作备案报告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广元市昭化区人民政府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报备机关：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广元市昭化生态环境局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公示时间：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公示网站：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昭化区</w:t>
      </w:r>
      <w:r>
        <w:rPr>
          <w:rFonts w:hint="eastAsia" w:ascii="仿宋_GB2312" w:eastAsia="仿宋_GB2312"/>
          <w:sz w:val="32"/>
          <w:szCs w:val="32"/>
          <w:u w:val="single"/>
        </w:rPr>
        <w:t>人民政府网站行政执法公示专栏（网址：http://www.cnzh.gov.cn/index.html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公示和备案内容：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u w:val="single"/>
        </w:rPr>
        <w:t>年度本机关实施行政许可、行政处罚、行政强制和行政检查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85" w:leftChars="301" w:hanging="953" w:hangingChars="298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年度行政许可、行政处罚、行政强制、行政检查实施情况统计表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3840" w:leftChars="0" w:hanging="3840" w:hangingChars="1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报备机关（盖章）：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广元市昭化生态环境局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4160" w:leftChars="0" w:hanging="4160" w:hangingChars="13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王韬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18482114160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sectPr>
          <w:pgSz w:w="11906" w:h="16838"/>
          <w:pgMar w:top="1701" w:right="1134" w:bottom="1134" w:left="1134" w:header="851" w:footer="737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left"/>
        <w:textAlignment w:val="center"/>
        <w:rPr>
          <w:rStyle w:val="17"/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17"/>
          <w:rFonts w:hint="eastAsia" w:ascii="黑体" w:hAnsi="黑体" w:eastAsia="黑体" w:cs="黑体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center"/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2024年行政执法工作统计表</w:t>
      </w:r>
    </w:p>
    <w:tbl>
      <w:tblPr>
        <w:tblStyle w:val="11"/>
        <w:tblW w:w="51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55"/>
        <w:gridCol w:w="740"/>
        <w:gridCol w:w="795"/>
        <w:gridCol w:w="632"/>
        <w:gridCol w:w="434"/>
        <w:gridCol w:w="620"/>
        <w:gridCol w:w="555"/>
        <w:gridCol w:w="512"/>
        <w:gridCol w:w="574"/>
        <w:gridCol w:w="675"/>
        <w:gridCol w:w="600"/>
        <w:gridCol w:w="563"/>
        <w:gridCol w:w="550"/>
        <w:gridCol w:w="587"/>
        <w:gridCol w:w="550"/>
        <w:gridCol w:w="600"/>
        <w:gridCol w:w="625"/>
        <w:gridCol w:w="574"/>
        <w:gridCol w:w="587"/>
        <w:gridCol w:w="612"/>
        <w:gridCol w:w="574"/>
        <w:gridCol w:w="564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领域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行政执法总数（千件）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行政许可（件）</w:t>
            </w:r>
          </w:p>
        </w:tc>
        <w:tc>
          <w:tcPr>
            <w:tcW w:w="722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行政处罚（件）</w:t>
            </w:r>
          </w:p>
        </w:tc>
        <w:tc>
          <w:tcPr>
            <w:tcW w:w="821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行政强制（件）</w:t>
            </w:r>
          </w:p>
        </w:tc>
        <w:tc>
          <w:tcPr>
            <w:tcW w:w="1187" w:type="pct"/>
            <w:gridSpan w:val="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日常检查（次）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行政确认（件）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行政给付（件）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行政征收（件）</w:t>
            </w:r>
          </w:p>
        </w:tc>
        <w:tc>
          <w:tcPr>
            <w:tcW w:w="1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行政征用（件）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行政裁决（件）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2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罚没数额（万元）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不予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减轻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不予实施强制措施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行政强制措施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行政强制执行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总数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联合检查</w:t>
            </w:r>
          </w:p>
        </w:tc>
        <w:tc>
          <w:tcPr>
            <w:tcW w:w="199" w:type="pct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11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发展改革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经济和信息化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民族宗教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司法行政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人力资源社会保障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广元市昭化生态环境局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0.191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117.91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128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城乡建设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市场监管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国防动员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金融监管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广电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药监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消防救援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公积金管理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新闻出版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网络信息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事业单位登记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跨部门跨领域综合执法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right"/>
        <w:textAlignment w:val="center"/>
        <w:rPr>
          <w:rStyle w:val="17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 xml:space="preserve">联系人及联系电话：王韬；18482114160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填表说明：1.行政处罚总数＝不予处罚数＋行政处罚数：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　　　　　2.行政强制总数＝不予实施强制措施＋行政强制措施＋行政强制执行；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　　　　　3.行政检查总数＝现场检查数＋非现场检查数；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　　　　　4.行政执法总数＝行政许可数＋行政处罚数＋行政强制数＋行政检查数＋行政确认数＋行政给付数＋行政征收数＋行政征用数＋行政裁决数。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left"/>
        <w:textAlignment w:val="center"/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2024年行政执法监督工作统计表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67"/>
        <w:gridCol w:w="1278"/>
        <w:gridCol w:w="1280"/>
        <w:gridCol w:w="1152"/>
        <w:gridCol w:w="1266"/>
        <w:gridCol w:w="1494"/>
        <w:gridCol w:w="1292"/>
        <w:gridCol w:w="1192"/>
        <w:gridCol w:w="1636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行政执法投诉举报（件）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重大行政处罚案件备案审查（件）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重大行政强制案件备案审查（件）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行政执法事项争议协调（次）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行政执法工作通报（次）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行政执法案卷评查（卷）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行政执法专项监督（次）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制发行政执法监督通知书（份）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制发行政执法监督建议书（份）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制发行政执法监督决定书（份）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right"/>
        <w:textAlignment w:val="center"/>
        <w:rPr>
          <w:rStyle w:val="17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17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 xml:space="preserve">联系人及联系电话：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headerReference r:id="rId4" w:type="default"/>
      <w:footerReference r:id="rId5" w:type="default"/>
      <w:pgSz w:w="16838" w:h="11906" w:orient="landscape"/>
      <w:pgMar w:top="1134" w:right="1701" w:bottom="1134" w:left="1134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..ì.">
    <w:altName w:val="文泉驿微米黑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CgAAAAAAh07iQAAAAAAAAAAAAAAAAAYAAAAA&#10;AAAAAAAQAAAAlAMAAF9yZWxzL1BLAQIUAAoAAAAAAIdO4kAAAAAAAAAAAAAAAAAEAAAAAAAAAAAA&#10;EAAAABYAAABkcnMvUEsBAhQAFAAAAAgAh07iQGGthHIzAgAAYwQAAA4AAAAAAAAAAQAgAAAANQEA&#10;AGRycy9lMm9Eb2MueG1sUEsBAhQAFAAAAAgAh07iQLNJWO7QAAAABQEAAA8AAAAAAAAAAQAgAAAA&#10;OAAAAGRycy9kb3ducmV2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+9p2Mg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pPvadjICAABj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  <w:r>
      <w:rPr>
        <w:rFonts w:asciiTheme="majorEastAsia" w:hAnsiTheme="majorEastAsia" w:eastAsiaTheme="majorEastAsia"/>
        <w:sz w:val="15"/>
        <w:szCs w:val="15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92067"/>
    <w:multiLevelType w:val="multilevel"/>
    <w:tmpl w:val="7F792067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 w:ascii="宋体" w:hAnsi="宋体" w:eastAsiaTheme="minorEastAsia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eastAsia" w:ascii="宋体" w:hAnsi="宋体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mI1N2VlZGY2NjBkN2E1N2FlMWNhYzhlMGU0NDMifQ=="/>
    <w:docVar w:name="KSO_WPS_MARK_KEY" w:val="c318db3d-30bf-4666-a09e-19b9ca32f2d5"/>
  </w:docVars>
  <w:rsids>
    <w:rsidRoot w:val="182F221B"/>
    <w:rsid w:val="0183685C"/>
    <w:rsid w:val="023A0E83"/>
    <w:rsid w:val="034766CD"/>
    <w:rsid w:val="046560D9"/>
    <w:rsid w:val="08DF4BE9"/>
    <w:rsid w:val="0AA01626"/>
    <w:rsid w:val="0CD87352"/>
    <w:rsid w:val="0D483F74"/>
    <w:rsid w:val="0F2E1D56"/>
    <w:rsid w:val="11E84674"/>
    <w:rsid w:val="176FC367"/>
    <w:rsid w:val="182F221B"/>
    <w:rsid w:val="18B368D4"/>
    <w:rsid w:val="18C56FB7"/>
    <w:rsid w:val="1AE8410E"/>
    <w:rsid w:val="1E627940"/>
    <w:rsid w:val="20A0559F"/>
    <w:rsid w:val="21945B4A"/>
    <w:rsid w:val="21F877D2"/>
    <w:rsid w:val="22413129"/>
    <w:rsid w:val="22AE2582"/>
    <w:rsid w:val="231A0710"/>
    <w:rsid w:val="24FB4266"/>
    <w:rsid w:val="25FFC84E"/>
    <w:rsid w:val="2D0F45C2"/>
    <w:rsid w:val="2D582913"/>
    <w:rsid w:val="2D8E2B3A"/>
    <w:rsid w:val="2FFF3F69"/>
    <w:rsid w:val="32F9E949"/>
    <w:rsid w:val="335F3C12"/>
    <w:rsid w:val="34AF2977"/>
    <w:rsid w:val="363A6152"/>
    <w:rsid w:val="37DF31C8"/>
    <w:rsid w:val="39324E64"/>
    <w:rsid w:val="3FB61ACE"/>
    <w:rsid w:val="3FDD028A"/>
    <w:rsid w:val="3FF631DA"/>
    <w:rsid w:val="432836E8"/>
    <w:rsid w:val="43CB5B2C"/>
    <w:rsid w:val="48A028AB"/>
    <w:rsid w:val="4D7C1696"/>
    <w:rsid w:val="4DE60D60"/>
    <w:rsid w:val="4E434405"/>
    <w:rsid w:val="51AB6549"/>
    <w:rsid w:val="526F274A"/>
    <w:rsid w:val="53260D89"/>
    <w:rsid w:val="53A42120"/>
    <w:rsid w:val="57D9574B"/>
    <w:rsid w:val="597436C4"/>
    <w:rsid w:val="5A3B0686"/>
    <w:rsid w:val="5C917EAB"/>
    <w:rsid w:val="5FFF1C57"/>
    <w:rsid w:val="661C6631"/>
    <w:rsid w:val="67D22629"/>
    <w:rsid w:val="67F37E38"/>
    <w:rsid w:val="68637725"/>
    <w:rsid w:val="6A733378"/>
    <w:rsid w:val="6D2F5523"/>
    <w:rsid w:val="6D5859D6"/>
    <w:rsid w:val="6FFFD092"/>
    <w:rsid w:val="70EC6076"/>
    <w:rsid w:val="72F5C6B9"/>
    <w:rsid w:val="731D1DE1"/>
    <w:rsid w:val="74045057"/>
    <w:rsid w:val="753F5076"/>
    <w:rsid w:val="76D601FF"/>
    <w:rsid w:val="773E47B9"/>
    <w:rsid w:val="79BF22E2"/>
    <w:rsid w:val="7A880B84"/>
    <w:rsid w:val="7BFC11E1"/>
    <w:rsid w:val="7EF76293"/>
    <w:rsid w:val="7F8E14D9"/>
    <w:rsid w:val="7FFFA184"/>
    <w:rsid w:val="B6FFA9A1"/>
    <w:rsid w:val="CAFEC25C"/>
    <w:rsid w:val="FBFF0B63"/>
    <w:rsid w:val="FFB7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right="240" w:rightChars="100" w:firstLineChars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ind w:firstLineChars="0"/>
      <w:outlineLvl w:val="1"/>
    </w:pPr>
    <w:rPr>
      <w:rFonts w:ascii="Arial" w:hAnsi="Arial" w:eastAsiaTheme="majorEastAs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ind w:firstLineChars="0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pPr>
      <w:adjustRightInd w:val="0"/>
      <w:snapToGrid w:val="0"/>
      <w:ind w:firstLine="567" w:firstLineChars="0"/>
    </w:pPr>
    <w:rPr>
      <w:rFonts w:ascii="Arial" w:hAnsi="Arial" w:eastAsia="黑体"/>
      <w:sz w:val="20"/>
      <w:szCs w:val="20"/>
    </w:rPr>
  </w:style>
  <w:style w:type="paragraph" w:styleId="6">
    <w:name w:val="toc 3"/>
    <w:basedOn w:val="1"/>
    <w:next w:val="1"/>
    <w:qFormat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qFormat/>
    <w:uiPriority w:val="39"/>
    <w:pPr>
      <w:keepNext w:val="0"/>
      <w:keepLines w:val="0"/>
      <w:numPr>
        <w:numId w:val="0"/>
      </w:numPr>
      <w:spacing w:before="240" w:after="120" w:line="360" w:lineRule="auto"/>
      <w:ind w:right="0" w:rightChars="0" w:firstLine="200" w:firstLineChars="200"/>
      <w:jc w:val="left"/>
      <w:outlineLvl w:val="9"/>
    </w:pPr>
    <w:rPr>
      <w:rFonts w:asciiTheme="minorHAnsi" w:hAnsiTheme="minorHAnsi"/>
      <w:kern w:val="2"/>
      <w:sz w:val="20"/>
      <w:szCs w:val="20"/>
    </w:rPr>
  </w:style>
  <w:style w:type="paragraph" w:styleId="10">
    <w:name w:val="toc 2"/>
    <w:basedOn w:val="1"/>
    <w:next w:val="1"/>
    <w:qFormat/>
    <w:uiPriority w:val="39"/>
    <w:pPr>
      <w:tabs>
        <w:tab w:val="left" w:pos="1260"/>
        <w:tab w:val="right" w:leader="dot" w:pos="9060"/>
      </w:tabs>
      <w:spacing w:before="120"/>
      <w:ind w:left="240" w:firstLine="400"/>
      <w:jc w:val="left"/>
    </w:pPr>
    <w:rPr>
      <w:sz w:val="20"/>
      <w:szCs w:val="20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suppressAutoHyphens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4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font3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paragraph" w:customStyle="1" w:styleId="19">
    <w:name w:val="样式 Symbol (符号) 小四 加粗 居中"/>
    <w:basedOn w:val="1"/>
    <w:semiHidden/>
    <w:qFormat/>
    <w:uiPriority w:val="0"/>
    <w:pPr>
      <w:spacing w:before="120" w:after="120"/>
      <w:ind w:firstLine="100" w:firstLineChars="100"/>
      <w:jc w:val="center"/>
    </w:pPr>
    <w:rPr>
      <w:rFonts w:ascii="Symbol" w:hAnsi="Symbol" w:cs="宋体"/>
      <w:b/>
      <w:bCs/>
      <w:szCs w:val="20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Cs w:val="32"/>
    </w:rPr>
  </w:style>
  <w:style w:type="paragraph" w:customStyle="1" w:styleId="21">
    <w:name w:val="my正文"/>
    <w:basedOn w:val="1"/>
    <w:qFormat/>
    <w:uiPriority w:val="0"/>
    <w:pPr>
      <w:ind w:firstLine="480"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2201</Words>
  <Characters>2400</Characters>
  <Lines>0</Lines>
  <Paragraphs>0</Paragraphs>
  <TotalTime>4</TotalTime>
  <ScaleCrop>false</ScaleCrop>
  <LinksUpToDate>false</LinksUpToDate>
  <CharactersWithSpaces>2706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2023-01-07T17:42:00Z</dcterms:created>
  <dc:creator>网邮</dc:creator>
  <cp:lastModifiedBy>mee</cp:lastModifiedBy>
  <cp:lastPrinted>2024-01-11T22:55:00Z</cp:lastPrinted>
  <dcterms:modified xsi:type="dcterms:W3CDTF">2025-01-06T10:21:34Z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AD08A1C3FC632F5E2E3E7B6769FBBFE3</vt:lpwstr>
  </property>
  <property fmtid="{D5CDD505-2E9C-101B-9397-08002B2CF9AE}" pid="4" name="KSOTemplateDocerSaveRecord">
    <vt:lpwstr>eyJoZGlkIjoiYjY3MmM0NjMzMDlkNTE4ODk4ZWE4YzIwMjQ1ZmRmNmYiLCJ1c2VySWQiOiIyNjk3NjcxMjUifQ==</vt:lpwstr>
  </property>
</Properties>
</file>