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  <w:t>2023年第三季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度昭化区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环境质量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报告</w:t>
      </w:r>
    </w:p>
    <w:p>
      <w:pPr>
        <w:ind w:firstLine="560" w:firstLineChars="200"/>
        <w:rPr>
          <w:rFonts w:hint="eastAsia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第一节    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1. 监测概况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2023年3季度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昭化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生态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环境监测站按照《环境空气质量自动监测技术规范》要求对昭化区城区环境空气质量进行自动连续监测，监测项目为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可吸入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颗粒物（PM10）、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细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颗粒物（PM</w:t>
      </w:r>
      <w:r>
        <w:rPr>
          <w:rFonts w:hint="default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5）、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二氧化硫（SO</w:t>
      </w:r>
      <w:r>
        <w:rPr>
          <w:rFonts w:hint="default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2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）、二氧化氮（NO</w:t>
      </w:r>
      <w:r>
        <w:rPr>
          <w:rFonts w:hint="default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2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）、一氧化碳（CO）、臭氧（O</w:t>
      </w:r>
      <w:r>
        <w:rPr>
          <w:rFonts w:hint="default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3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）共六个项目。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三季度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实际监测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92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天，有效监测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92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月份3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天、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月份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31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天、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月份3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0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天）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，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监测统计结果见表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3、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表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执行标准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楷体_GB2312" w:cs="Times New Roman"/>
          <w:szCs w:val="28"/>
        </w:rPr>
      </w:pPr>
      <w:r>
        <w:rPr>
          <w:rFonts w:hint="eastAsia" w:eastAsia="楷体_GB2312" w:cs="Times New Roman"/>
          <w:szCs w:val="28"/>
          <w:lang w:val="en-US" w:eastAsia="zh-CN"/>
        </w:rPr>
        <w:t>2.1</w:t>
      </w:r>
      <w:r>
        <w:rPr>
          <w:rFonts w:eastAsia="楷体_GB2312" w:cs="Times New Roman"/>
          <w:szCs w:val="28"/>
        </w:rPr>
        <w:t>评价标准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按照《环境空气质量评价技术规范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试行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HJ663-2013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技术要求对监测结果进行评价，执行《环境空气质量标准》（GB3095－2012）二级标准。</w:t>
      </w:r>
    </w:p>
    <w:p>
      <w:pPr>
        <w:jc w:val="center"/>
        <w:rPr>
          <w:rFonts w:eastAsia="仿宋_GB2312"/>
          <w:b/>
          <w:spacing w:val="-4"/>
          <w:sz w:val="28"/>
          <w:szCs w:val="28"/>
        </w:rPr>
      </w:pPr>
      <w:r>
        <w:rPr>
          <w:rFonts w:eastAsia="仿宋_GB2312"/>
          <w:b/>
          <w:spacing w:val="-4"/>
          <w:sz w:val="28"/>
          <w:szCs w:val="28"/>
        </w:rPr>
        <w:t>表</w:t>
      </w:r>
      <w:r>
        <w:rPr>
          <w:rFonts w:hint="eastAsia" w:eastAsia="仿宋_GB2312"/>
          <w:b/>
          <w:spacing w:val="-4"/>
          <w:sz w:val="28"/>
          <w:szCs w:val="28"/>
          <w:lang w:val="en-US" w:eastAsia="zh-CN"/>
        </w:rPr>
        <w:t>1</w:t>
      </w:r>
      <w:r>
        <w:rPr>
          <w:rFonts w:eastAsia="仿宋_GB2312"/>
          <w:b/>
          <w:spacing w:val="-4"/>
          <w:sz w:val="28"/>
          <w:szCs w:val="28"/>
        </w:rPr>
        <w:t xml:space="preserve"> 环境空气质量标准</w:t>
      </w:r>
    </w:p>
    <w:tbl>
      <w:tblPr>
        <w:tblStyle w:val="6"/>
        <w:tblW w:w="970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"/>
        <w:gridCol w:w="2002"/>
        <w:gridCol w:w="2231"/>
        <w:gridCol w:w="1118"/>
        <w:gridCol w:w="1118"/>
        <w:gridCol w:w="911"/>
        <w:gridCol w:w="214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97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监测项目</w:t>
            </w:r>
          </w:p>
        </w:tc>
        <w:tc>
          <w:tcPr>
            <w:tcW w:w="22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取值时间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浓度限值</w:t>
            </w:r>
          </w:p>
        </w:tc>
        <w:tc>
          <w:tcPr>
            <w:tcW w:w="21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标准名称及编号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75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2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一级标准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二级标准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单位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二氧化硫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150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《环境空气质量标准》（GB3095－2012）表1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二氧化氮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可吸入颗粒物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150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一氧化碳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24小时平均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mg/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臭氧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日最大8小时平均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160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1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细颗粒物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35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1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15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>
      <w:pPr>
        <w:pStyle w:val="10"/>
        <w:spacing w:line="560" w:lineRule="exact"/>
        <w:ind w:firstLine="560" w:firstLineChars="200"/>
        <w:rPr>
          <w:rFonts w:eastAsia="楷体_GB2312" w:cs="Times New Roman"/>
          <w:szCs w:val="28"/>
        </w:rPr>
      </w:pPr>
      <w:r>
        <w:rPr>
          <w:rFonts w:hint="eastAsia" w:eastAsia="楷体_GB2312" w:cs="Times New Roman"/>
          <w:szCs w:val="28"/>
          <w:lang w:val="en-US" w:eastAsia="zh-CN"/>
        </w:rPr>
        <w:t>2.2</w:t>
      </w:r>
      <w:r>
        <w:rPr>
          <w:rFonts w:eastAsia="楷体_GB2312" w:cs="Times New Roman"/>
          <w:szCs w:val="28"/>
        </w:rPr>
        <w:t>评价方法</w:t>
      </w:r>
    </w:p>
    <w:p>
      <w:pPr>
        <w:pStyle w:val="10"/>
        <w:spacing w:line="560" w:lineRule="exact"/>
        <w:ind w:firstLine="560" w:firstLineChars="200"/>
        <w:rPr>
          <w:rFonts w:eastAsia="仿宋_GB2312" w:cs="Times New Roman"/>
          <w:szCs w:val="28"/>
        </w:rPr>
      </w:pPr>
      <w:r>
        <w:rPr>
          <w:rFonts w:eastAsia="仿宋_GB2312" w:cs="Times New Roman"/>
          <w:szCs w:val="28"/>
        </w:rPr>
        <w:t>选取二氧化硫、二氧化氮、可吸入颗粒物、臭氧8小时平均、一氧化碳、细颗粒物六个项目作为评价参数，采用空气质量指数AQI进行分析评价，并按照《环境空气质量评价技术规范</w:t>
      </w:r>
      <w:r>
        <w:rPr>
          <w:rFonts w:hint="eastAsia" w:eastAsia="仿宋_GB2312" w:cs="Times New Roman"/>
          <w:szCs w:val="28"/>
          <w:lang w:eastAsia="zh-CN"/>
        </w:rPr>
        <w:t>（</w:t>
      </w:r>
      <w:r>
        <w:rPr>
          <w:rFonts w:eastAsia="仿宋_GB2312" w:cs="Times New Roman"/>
          <w:szCs w:val="28"/>
        </w:rPr>
        <w:t>试行</w:t>
      </w:r>
      <w:r>
        <w:rPr>
          <w:rFonts w:hint="eastAsia" w:eastAsia="仿宋_GB2312" w:cs="Times New Roman"/>
          <w:szCs w:val="28"/>
          <w:lang w:eastAsia="zh-CN"/>
        </w:rPr>
        <w:t>）</w:t>
      </w:r>
      <w:r>
        <w:rPr>
          <w:rFonts w:eastAsia="仿宋_GB2312" w:cs="Times New Roman"/>
          <w:szCs w:val="28"/>
        </w:rPr>
        <w:t>》规定对单项指标24小时平均相对应的百分位数进行评价。</w:t>
      </w:r>
    </w:p>
    <w:p>
      <w:pPr>
        <w:pStyle w:val="10"/>
        <w:spacing w:line="560" w:lineRule="exact"/>
        <w:ind w:firstLine="560" w:firstLineChars="200"/>
        <w:rPr>
          <w:rFonts w:eastAsia="楷体_GB2312" w:cs="Times New Roman"/>
          <w:szCs w:val="28"/>
        </w:rPr>
      </w:pPr>
      <w:r>
        <w:rPr>
          <w:rFonts w:hint="eastAsia" w:eastAsia="楷体_GB2312" w:cs="Times New Roman"/>
          <w:szCs w:val="28"/>
          <w:lang w:val="en-US" w:eastAsia="zh-CN"/>
        </w:rPr>
        <w:t>2.3</w:t>
      </w:r>
      <w:r>
        <w:rPr>
          <w:rFonts w:eastAsia="楷体_GB2312" w:cs="Times New Roman"/>
          <w:szCs w:val="28"/>
        </w:rPr>
        <w:t>分级标准</w:t>
      </w:r>
    </w:p>
    <w:p>
      <w:pPr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表</w:t>
      </w:r>
      <w:r>
        <w:rPr>
          <w:rFonts w:hint="eastAsia" w:eastAsia="仿宋_GB2312"/>
          <w:b/>
          <w:sz w:val="28"/>
          <w:szCs w:val="28"/>
          <w:lang w:val="en-US" w:eastAsia="zh-CN"/>
        </w:rPr>
        <w:t>2</w:t>
      </w:r>
      <w:r>
        <w:rPr>
          <w:rFonts w:eastAsia="仿宋_GB2312"/>
          <w:b/>
          <w:sz w:val="28"/>
          <w:szCs w:val="28"/>
        </w:rPr>
        <w:t xml:space="preserve">   空气环境质量评价分级标准</w:t>
      </w:r>
    </w:p>
    <w:tbl>
      <w:tblPr>
        <w:tblStyle w:val="6"/>
        <w:tblW w:w="98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1130"/>
        <w:gridCol w:w="1277"/>
        <w:gridCol w:w="1277"/>
        <w:gridCol w:w="1277"/>
        <w:gridCol w:w="1277"/>
        <w:gridCol w:w="12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AQI值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0～50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51～100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101～150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151~200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201～300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&gt;300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" w:hRule="atLeast"/>
          <w:jc w:val="center"/>
        </w:trPr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空气质量级别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一级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二级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三级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四级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五级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六级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空气质量状况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优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良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轻微污染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轻度污染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中度污染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重污染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eastAsia="黑体"/>
          <w:sz w:val="28"/>
          <w:szCs w:val="28"/>
        </w:rPr>
        <w:t>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0" w:firstLineChars="0"/>
        <w:jc w:val="center"/>
        <w:textAlignment w:val="auto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 xml:space="preserve">表3  </w:t>
      </w:r>
      <w:r>
        <w:rPr>
          <w:rFonts w:hint="eastAsia" w:eastAsia="仿宋_GB2312"/>
          <w:b/>
          <w:kern w:val="0"/>
          <w:sz w:val="28"/>
          <w:szCs w:val="28"/>
          <w:lang w:eastAsia="zh-CN"/>
        </w:rPr>
        <w:t>2023年3季度</w:t>
      </w:r>
      <w:r>
        <w:rPr>
          <w:rFonts w:eastAsia="仿宋_GB2312"/>
          <w:b/>
          <w:kern w:val="0"/>
          <w:sz w:val="28"/>
          <w:szCs w:val="28"/>
        </w:rPr>
        <w:t>环境空气质量监测结果表</w:t>
      </w:r>
    </w:p>
    <w:p>
      <w:pPr>
        <w:autoSpaceDE w:val="0"/>
        <w:autoSpaceDN w:val="0"/>
        <w:adjustRightInd w:val="0"/>
        <w:ind w:firstLine="6000" w:firstLineChars="2500"/>
        <w:rPr>
          <w:rFonts w:hint="eastAsia" w:eastAsia="仿宋_GB2312"/>
          <w:b/>
          <w:kern w:val="0"/>
          <w:sz w:val="28"/>
          <w:szCs w:val="28"/>
          <w:lang w:eastAsia="zh-CN"/>
        </w:rPr>
      </w:pPr>
      <w:r>
        <w:rPr>
          <w:rFonts w:eastAsia="仿宋_GB2312"/>
          <w:sz w:val="24"/>
        </w:rPr>
        <w:t>（</w:t>
      </w:r>
      <w:r>
        <w:rPr>
          <w:rStyle w:val="11"/>
          <w:rFonts w:hint="default" w:ascii="Times New Roman" w:hAnsi="Times New Roman" w:eastAsia="仿宋_GB2312" w:cs="Times New Roman"/>
        </w:rPr>
        <w:t>单位：</w:t>
      </w:r>
      <w:r>
        <w:rPr>
          <w:rStyle w:val="12"/>
          <w:rFonts w:ascii="Times New Roman" w:hAnsi="Times New Roman" w:eastAsia="仿宋_GB2312" w:cs="Times New Roman"/>
        </w:rPr>
        <w:t>ug/</w:t>
      </w:r>
      <w:r>
        <w:rPr>
          <w:rStyle w:val="12"/>
          <w:rFonts w:hint="eastAsia" w:ascii="Times New Roman" w:hAnsi="Times New Roman" w:eastAsia="仿宋_GB2312" w:cs="Times New Roman"/>
          <w:lang w:eastAsia="zh-CN"/>
        </w:rPr>
        <w:t>m³</w:t>
      </w:r>
      <w:r>
        <w:rPr>
          <w:rStyle w:val="12"/>
          <w:rFonts w:ascii="Times New Roman" w:hAnsi="Times New Roman" w:eastAsia="仿宋_GB2312" w:cs="Times New Roman"/>
        </w:rPr>
        <w:t>,CO:mg/</w:t>
      </w:r>
      <w:r>
        <w:rPr>
          <w:rStyle w:val="12"/>
          <w:rFonts w:hint="eastAsia" w:ascii="Times New Roman" w:hAnsi="Times New Roman" w:eastAsia="仿宋_GB2312" w:cs="Times New Roman"/>
          <w:lang w:eastAsia="zh-CN"/>
        </w:rPr>
        <w:t>m³</w:t>
      </w:r>
      <w:r>
        <w:rPr>
          <w:rFonts w:eastAsia="仿宋_GB2312"/>
          <w:sz w:val="24"/>
        </w:rPr>
        <w:t>）</w:t>
      </w:r>
    </w:p>
    <w:tbl>
      <w:tblPr>
        <w:tblStyle w:val="6"/>
        <w:tblpPr w:leftFromText="180" w:rightFromText="180" w:vertAnchor="text" w:horzAnchor="page" w:tblpXSpec="center" w:tblpY="126"/>
        <w:tblOverlap w:val="never"/>
        <w:tblW w:w="9793" w:type="dxa"/>
        <w:tblInd w:w="-4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4"/>
        <w:gridCol w:w="1335"/>
        <w:gridCol w:w="1221"/>
        <w:gridCol w:w="1212"/>
        <w:gridCol w:w="1588"/>
        <w:gridCol w:w="1318"/>
        <w:gridCol w:w="13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评价指标</w:t>
            </w:r>
          </w:p>
        </w:tc>
        <w:tc>
          <w:tcPr>
            <w:tcW w:w="80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监测项目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  <w:t>二氧化硫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  <w:t>二氧化氮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  <w:t>臭氧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  <w:t>可吸入颗粒物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  <w:t>细颗粒物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lang w:val="en-US" w:eastAsia="zh-CN"/>
              </w:rPr>
              <w:t>一氧化碳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7月份均值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8月份均值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9月份均值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三季度均值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4"/>
                <w:lang w:val="en-US" w:eastAsia="zh-CN"/>
              </w:rPr>
              <w:t>0.6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表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4</w:t>
      </w:r>
      <w:r>
        <w:rPr>
          <w:rFonts w:eastAsia="仿宋_GB2312"/>
          <w:b/>
          <w:kern w:val="0"/>
          <w:sz w:val="28"/>
          <w:szCs w:val="28"/>
        </w:rPr>
        <w:t xml:space="preserve">  </w:t>
      </w:r>
      <w:r>
        <w:rPr>
          <w:rFonts w:hint="eastAsia" w:eastAsia="仿宋_GB2312"/>
          <w:b/>
          <w:kern w:val="0"/>
          <w:sz w:val="28"/>
          <w:szCs w:val="28"/>
          <w:lang w:eastAsia="zh-CN"/>
        </w:rPr>
        <w:t>2023年3季度</w:t>
      </w:r>
      <w:r>
        <w:rPr>
          <w:rFonts w:eastAsia="仿宋_GB2312"/>
          <w:b/>
          <w:kern w:val="0"/>
          <w:sz w:val="28"/>
          <w:szCs w:val="28"/>
        </w:rPr>
        <w:t>环境空气日报统计表</w:t>
      </w:r>
    </w:p>
    <w:tbl>
      <w:tblPr>
        <w:tblStyle w:val="6"/>
        <w:tblW w:w="980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655"/>
        <w:gridCol w:w="656"/>
        <w:gridCol w:w="656"/>
        <w:gridCol w:w="655"/>
        <w:gridCol w:w="656"/>
        <w:gridCol w:w="656"/>
        <w:gridCol w:w="656"/>
        <w:gridCol w:w="655"/>
        <w:gridCol w:w="656"/>
        <w:gridCol w:w="656"/>
        <w:gridCol w:w="655"/>
        <w:gridCol w:w="656"/>
        <w:gridCol w:w="656"/>
        <w:gridCol w:w="8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优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二级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良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三级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轻度污染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四级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中度污染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五级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重度污染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六级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严重污染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环境空气质量达标情况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59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%)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达标天数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达标率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%)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5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2023年3季度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56.5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43.5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</w:tbl>
    <w:p>
      <w:pPr>
        <w:adjustRightInd w:val="0"/>
        <w:snapToGrid w:val="0"/>
        <w:ind w:firstLine="562" w:firstLineChars="200"/>
        <w:jc w:val="center"/>
        <w:rPr>
          <w:rFonts w:hint="eastAsia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水环境质量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="黑体"/>
          <w:sz w:val="28"/>
          <w:szCs w:val="28"/>
          <w:lang w:val="en-US" w:eastAsia="zh-CN"/>
        </w:rPr>
        <w:t>监测概况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2023年第三季度昭化区</w:t>
      </w:r>
      <w:r>
        <w:rPr>
          <w:rFonts w:hint="default" w:eastAsia="仿宋_GB2312" w:cs="Times New Roman"/>
          <w:color w:val="auto"/>
          <w:kern w:val="2"/>
          <w:sz w:val="28"/>
          <w:szCs w:val="28"/>
          <w:lang w:val="en-US" w:eastAsia="zh-CN" w:bidi="ar-SA"/>
        </w:rPr>
        <w:t>水环境监测内容主要有：河流水质监测、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市级河长制河流水质监测、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乡镇集中式饮用水水源地水质监测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。河流水质监测时间为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5日、9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4日—9月5日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市级河长制河流水质监测时间为7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5日，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乡镇集中式饮用水水源地水质监测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时间为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4日—9月5日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。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  <w:t>河流水质监测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 w:firstLineChars="200"/>
        <w:textAlignment w:val="auto"/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2.1监测项目：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《地表水环境质量标准》（GB3838-2002）表1中PH值、溶解氧、高锰酸盐指数、氨氮、五日生化需氧量共计5项指标。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 w:firstLineChars="200"/>
        <w:textAlignment w:val="auto"/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2.2评价标准：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执行《地表水环境质量标准》(GB3838-2002）表1的Ⅲ类标准。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 w:firstLineChars="200"/>
        <w:textAlignment w:val="auto"/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2.3评价结果：</w:t>
      </w:r>
    </w:p>
    <w:p>
      <w:pPr>
        <w:numPr>
          <w:ilvl w:val="0"/>
          <w:numId w:val="0"/>
        </w:numPr>
        <w:jc w:val="center"/>
        <w:rPr>
          <w:rFonts w:hint="eastAsia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 xml:space="preserve">表5  </w:t>
      </w:r>
      <w:r>
        <w:rPr>
          <w:rFonts w:hint="eastAsia" w:eastAsia="仿宋_GB2312"/>
          <w:b/>
          <w:kern w:val="0"/>
          <w:sz w:val="28"/>
          <w:szCs w:val="28"/>
          <w:lang w:eastAsia="zh-CN"/>
        </w:rPr>
        <w:t>2023年3季度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河流水质评价结果评价表</w:t>
      </w:r>
    </w:p>
    <w:tbl>
      <w:tblPr>
        <w:tblStyle w:val="7"/>
        <w:tblpPr w:leftFromText="180" w:rightFromText="180" w:vertAnchor="text" w:horzAnchor="page" w:tblpXSpec="center" w:tblpY="114"/>
        <w:tblOverlap w:val="never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89"/>
        <w:gridCol w:w="1911"/>
        <w:gridCol w:w="1000"/>
        <w:gridCol w:w="161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1" w:type="dxa"/>
            <w:tcBorders>
              <w:top w:val="single" w:color="auto" w:sz="12" w:space="0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监测时间</w:t>
            </w:r>
          </w:p>
        </w:tc>
        <w:tc>
          <w:tcPr>
            <w:tcW w:w="178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监测点位</w:t>
            </w:r>
          </w:p>
        </w:tc>
        <w:tc>
          <w:tcPr>
            <w:tcW w:w="191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河流断面名称</w:t>
            </w:r>
          </w:p>
        </w:tc>
        <w:tc>
          <w:tcPr>
            <w:tcW w:w="10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实测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61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是否达标</w:t>
            </w:r>
          </w:p>
        </w:tc>
        <w:tc>
          <w:tcPr>
            <w:tcW w:w="1537" w:type="dxa"/>
            <w:tcBorders>
              <w:top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主要污染指标/超标倍数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5日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昭化区柏林沟镇马蹄滩电站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昭化区马蹄滩电站（柏林河）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Ⅲ类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7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昭化区元坝镇泉坝村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泉坝污水处理厂（长滩河）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Ⅲ类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7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01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4日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昭化区柏林沟镇马蹄滩电站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昭化区马蹄滩电站（柏林河）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Ⅳ类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7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氨氮超标0.44倍。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01" w:type="dxa"/>
            <w:vMerge w:val="continue"/>
            <w:tcBorders>
              <w:left w:val="nil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昭化区元坝镇泉坝村</w:t>
            </w:r>
          </w:p>
        </w:tc>
        <w:tc>
          <w:tcPr>
            <w:tcW w:w="191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泉坝污水处理厂（长滩河）</w:t>
            </w:r>
          </w:p>
        </w:tc>
        <w:tc>
          <w:tcPr>
            <w:tcW w:w="100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Ⅲ类</w:t>
            </w:r>
          </w:p>
        </w:tc>
        <w:tc>
          <w:tcPr>
            <w:tcW w:w="161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7" w:type="dxa"/>
            <w:tcBorders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textAlignment w:val="auto"/>
        <w:rPr>
          <w:rFonts w:hint="default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  <w:t>市级河长制河流水质监测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 w:firstLineChars="200"/>
        <w:textAlignment w:val="auto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3.1监测项目：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《地表水环境质量标准》（GB3838-2002）表1中除总氮外的基本项目共计23项指标。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 w:firstLineChars="200"/>
        <w:textAlignment w:val="auto"/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3.2评价标准：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执行《地表水环境质量标准》(GB3838-2002）表1的Ⅲ类标准。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 w:firstLineChars="200"/>
        <w:textAlignment w:val="auto"/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3.3评价结果：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right="0" w:rightChars="0"/>
        <w:jc w:val="center"/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 xml:space="preserve">表6  </w:t>
      </w:r>
      <w:r>
        <w:rPr>
          <w:rFonts w:hint="eastAsia" w:eastAsia="仿宋_GB2312" w:cs="宋体"/>
          <w:b/>
          <w:kern w:val="0"/>
          <w:sz w:val="28"/>
          <w:szCs w:val="28"/>
          <w:lang w:eastAsia="zh-CN"/>
        </w:rPr>
        <w:t>2023年</w:t>
      </w:r>
      <w:r>
        <w:rPr>
          <w:rFonts w:hint="eastAsia" w:eastAsia="仿宋_GB2312" w:cs="宋体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仿宋_GB2312" w:cs="宋体"/>
          <w:b/>
          <w:kern w:val="0"/>
          <w:sz w:val="28"/>
          <w:szCs w:val="28"/>
          <w:lang w:eastAsia="zh-CN"/>
        </w:rPr>
        <w:t>季度</w:t>
      </w:r>
      <w:r>
        <w:rPr>
          <w:rFonts w:hint="eastAsia" w:eastAsia="仿宋_GB2312" w:cs="宋体"/>
          <w:b/>
          <w:kern w:val="0"/>
          <w:sz w:val="28"/>
          <w:szCs w:val="28"/>
          <w:lang w:val="en-US" w:eastAsia="zh-CN"/>
        </w:rPr>
        <w:t>市级河长制河流水质监测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结果评价表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277"/>
        <w:gridCol w:w="2350"/>
        <w:gridCol w:w="1087"/>
        <w:gridCol w:w="1525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03" w:type="dxa"/>
            <w:tcBorders>
              <w:top w:val="single" w:color="auto" w:sz="12" w:space="0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监测时间</w:t>
            </w:r>
          </w:p>
        </w:tc>
        <w:tc>
          <w:tcPr>
            <w:tcW w:w="1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监测点位</w:t>
            </w:r>
          </w:p>
        </w:tc>
        <w:tc>
          <w:tcPr>
            <w:tcW w:w="23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断面名称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水质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5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是否达标</w:t>
            </w:r>
          </w:p>
        </w:tc>
        <w:tc>
          <w:tcPr>
            <w:tcW w:w="1538" w:type="dxa"/>
            <w:tcBorders>
              <w:top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主要污染指标/超标倍数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03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5日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昭化区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张家沟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Ⅱ类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03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卫子河（插江）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03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射箭河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03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毛家沟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Ⅱ类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03" w:type="dxa"/>
            <w:vMerge w:val="continue"/>
            <w:tcBorders>
              <w:left w:val="nil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7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巩河</w:t>
            </w:r>
          </w:p>
        </w:tc>
        <w:tc>
          <w:tcPr>
            <w:tcW w:w="108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15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tcBorders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default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default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  <w:t>乡镇集中式饮用水水源地水质监测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.1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监测项目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.1.1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地表水饮用水水源地：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《地表水环境质量标准》（GB3838-2002）表1的基本项目（23项，COD、河流总氮除外）、表2的补充项目（5项），共28项。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.1.2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地下水饮用水水源地：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《地下水质量标准》（GB/T 14848-2017）表1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37项常规指标（总α放射性和总β放射性指标为选测项目）。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.2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评价标准：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地表水执行《地表水环境质量标准》(GB3838-2002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表1的Ⅲ类标准和表2对应的标准限值，其中水温、粪大肠菌群不参与总体评价，粪大肠菌群作为参考指标单独评价。地下水执行《地下水质量标准》(GB/T14848-2017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表1的Ⅲ类标准。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.3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评价结果：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表</w:t>
      </w:r>
      <w:r>
        <w:rPr>
          <w:rFonts w:hint="eastAsia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7</w:t>
      </w: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 xml:space="preserve">  202</w:t>
      </w:r>
      <w:r>
        <w:rPr>
          <w:rFonts w:hint="eastAsia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3季度</w:t>
      </w: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昭化乡镇集中式饮用水水源地水质监测结果评价表</w:t>
      </w:r>
    </w:p>
    <w:tbl>
      <w:tblPr>
        <w:tblStyle w:val="7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14"/>
        <w:gridCol w:w="2127"/>
        <w:gridCol w:w="995"/>
        <w:gridCol w:w="1010"/>
        <w:gridCol w:w="859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89" w:type="dxa"/>
            <w:tcBorders>
              <w:top w:val="single" w:color="auto" w:sz="12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监测时间</w:t>
            </w:r>
          </w:p>
        </w:tc>
        <w:tc>
          <w:tcPr>
            <w:tcW w:w="121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监测点位</w:t>
            </w:r>
          </w:p>
        </w:tc>
        <w:tc>
          <w:tcPr>
            <w:tcW w:w="212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水源地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断面名称</w:t>
            </w:r>
          </w:p>
        </w:tc>
        <w:tc>
          <w:tcPr>
            <w:tcW w:w="99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水源地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01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实测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8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4"/>
                <w:szCs w:val="24"/>
                <w:lang w:val="en-US" w:eastAsia="zh-CN"/>
              </w:rPr>
              <w:t>是否达标</w:t>
            </w:r>
          </w:p>
        </w:tc>
        <w:tc>
          <w:tcPr>
            <w:tcW w:w="1327" w:type="dxa"/>
            <w:tcBorders>
              <w:top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主要污染指标/超标倍数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eastAsia="仿宋_GB2312" w:cs="Times New Roman" w:asciiTheme="minorHAnsi" w:hAnsiTheme="minorHAnsi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4日—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9月5日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射箭镇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松树沟水库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湖库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Ⅱ类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太公镇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高峰水库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卫子镇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紫云水库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太公镇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八一水库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昭化镇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何家坝水库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清水镇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胜利水库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磨滩镇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工农水库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王家镇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新华水库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卫子镇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梅岭关水库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卫子镇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团结水库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清水镇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大沟边山坪塘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昭化镇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辽叶沟水库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虎跳镇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虎跳镇嘉陵江湖溪村三社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河流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Ⅱ类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虎跳镇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嘉陵江湖溪村二社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Ⅱ类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青牛镇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嘉陵江青牛镇白牛村三社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Ⅱ类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left w:val="nil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昭化镇</w:t>
            </w:r>
          </w:p>
        </w:tc>
        <w:tc>
          <w:tcPr>
            <w:tcW w:w="212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昭化沉井</w:t>
            </w:r>
          </w:p>
        </w:tc>
        <w:tc>
          <w:tcPr>
            <w:tcW w:w="99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地下水</w:t>
            </w:r>
          </w:p>
        </w:tc>
        <w:tc>
          <w:tcPr>
            <w:tcW w:w="101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Ⅲ类</w:t>
            </w:r>
          </w:p>
        </w:tc>
        <w:tc>
          <w:tcPr>
            <w:tcW w:w="85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B4BC5"/>
    <w:multiLevelType w:val="singleLevel"/>
    <w:tmpl w:val="887B4BC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B644046"/>
    <w:multiLevelType w:val="singleLevel"/>
    <w:tmpl w:val="9B644046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1A3D7F94"/>
    <w:multiLevelType w:val="singleLevel"/>
    <w:tmpl w:val="1A3D7F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7DC7AD7"/>
    <w:multiLevelType w:val="singleLevel"/>
    <w:tmpl w:val="27DC7AD7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ODUzNmEyNGNmZDE4M2EyMTg3ZTRhODI0OGRmZWIifQ=="/>
  </w:docVars>
  <w:rsids>
    <w:rsidRoot w:val="182C4293"/>
    <w:rsid w:val="00DF4061"/>
    <w:rsid w:val="0159126E"/>
    <w:rsid w:val="017936BE"/>
    <w:rsid w:val="017B5688"/>
    <w:rsid w:val="01A00C4B"/>
    <w:rsid w:val="028E4F47"/>
    <w:rsid w:val="02B250DA"/>
    <w:rsid w:val="02DA018C"/>
    <w:rsid w:val="03345AEF"/>
    <w:rsid w:val="03EA2651"/>
    <w:rsid w:val="041B280B"/>
    <w:rsid w:val="05ED1D5C"/>
    <w:rsid w:val="060914B4"/>
    <w:rsid w:val="06C55E6D"/>
    <w:rsid w:val="076B3AA9"/>
    <w:rsid w:val="07832BA1"/>
    <w:rsid w:val="07D01B5E"/>
    <w:rsid w:val="087E216B"/>
    <w:rsid w:val="08903840"/>
    <w:rsid w:val="08D63398"/>
    <w:rsid w:val="090917CB"/>
    <w:rsid w:val="0946657C"/>
    <w:rsid w:val="099A2423"/>
    <w:rsid w:val="0A9652E1"/>
    <w:rsid w:val="0AD96F7B"/>
    <w:rsid w:val="0AE0030A"/>
    <w:rsid w:val="0B2B5A29"/>
    <w:rsid w:val="0D95362E"/>
    <w:rsid w:val="0DE06E2B"/>
    <w:rsid w:val="0EDB7766"/>
    <w:rsid w:val="0EF600FC"/>
    <w:rsid w:val="0F617CE4"/>
    <w:rsid w:val="0F7A2ADB"/>
    <w:rsid w:val="105772C0"/>
    <w:rsid w:val="10667503"/>
    <w:rsid w:val="109D1177"/>
    <w:rsid w:val="114F6B18"/>
    <w:rsid w:val="11F0177A"/>
    <w:rsid w:val="124C436B"/>
    <w:rsid w:val="1331700D"/>
    <w:rsid w:val="13545626"/>
    <w:rsid w:val="138E2FF9"/>
    <w:rsid w:val="13DA623E"/>
    <w:rsid w:val="13F866C4"/>
    <w:rsid w:val="14465682"/>
    <w:rsid w:val="14A81E98"/>
    <w:rsid w:val="15AE5784"/>
    <w:rsid w:val="15DD074A"/>
    <w:rsid w:val="163A7468"/>
    <w:rsid w:val="165B2F3A"/>
    <w:rsid w:val="165D4F05"/>
    <w:rsid w:val="166C7FE2"/>
    <w:rsid w:val="16A668AC"/>
    <w:rsid w:val="16AB6208"/>
    <w:rsid w:val="172F15A6"/>
    <w:rsid w:val="174D178C"/>
    <w:rsid w:val="182C4293"/>
    <w:rsid w:val="18F8559A"/>
    <w:rsid w:val="19EA4D01"/>
    <w:rsid w:val="1A907657"/>
    <w:rsid w:val="1B9B4505"/>
    <w:rsid w:val="1C744557"/>
    <w:rsid w:val="1DB95116"/>
    <w:rsid w:val="1DEA3522"/>
    <w:rsid w:val="1E326C77"/>
    <w:rsid w:val="1FE8583F"/>
    <w:rsid w:val="202E1AA1"/>
    <w:rsid w:val="2040567B"/>
    <w:rsid w:val="20A0436C"/>
    <w:rsid w:val="213827F6"/>
    <w:rsid w:val="237C4C1C"/>
    <w:rsid w:val="24572F93"/>
    <w:rsid w:val="24A85EE5"/>
    <w:rsid w:val="25E76599"/>
    <w:rsid w:val="26924756"/>
    <w:rsid w:val="27DD7C53"/>
    <w:rsid w:val="282D0BDB"/>
    <w:rsid w:val="28AF7842"/>
    <w:rsid w:val="2916341D"/>
    <w:rsid w:val="2927562A"/>
    <w:rsid w:val="29600B3C"/>
    <w:rsid w:val="29736AC1"/>
    <w:rsid w:val="2A22310C"/>
    <w:rsid w:val="2A2F1E9C"/>
    <w:rsid w:val="2ABE0E5E"/>
    <w:rsid w:val="2B632B65"/>
    <w:rsid w:val="2B964CE9"/>
    <w:rsid w:val="2BD355F5"/>
    <w:rsid w:val="2D7D7F0E"/>
    <w:rsid w:val="2DA354E7"/>
    <w:rsid w:val="2DA60AE7"/>
    <w:rsid w:val="2DF37BBA"/>
    <w:rsid w:val="30085A89"/>
    <w:rsid w:val="30B17ECF"/>
    <w:rsid w:val="31324444"/>
    <w:rsid w:val="3341378C"/>
    <w:rsid w:val="33D22636"/>
    <w:rsid w:val="34187424"/>
    <w:rsid w:val="34360E17"/>
    <w:rsid w:val="34983880"/>
    <w:rsid w:val="34E93982"/>
    <w:rsid w:val="36035B59"/>
    <w:rsid w:val="37353608"/>
    <w:rsid w:val="376B702A"/>
    <w:rsid w:val="381946E1"/>
    <w:rsid w:val="388365F5"/>
    <w:rsid w:val="39050DB8"/>
    <w:rsid w:val="39DB2E12"/>
    <w:rsid w:val="3A1219DE"/>
    <w:rsid w:val="3A1A6AE5"/>
    <w:rsid w:val="3AA840F1"/>
    <w:rsid w:val="3D475E43"/>
    <w:rsid w:val="3E4660FB"/>
    <w:rsid w:val="3EEB27FE"/>
    <w:rsid w:val="3F2C52F0"/>
    <w:rsid w:val="3F7D5B4C"/>
    <w:rsid w:val="40032CB4"/>
    <w:rsid w:val="409E3FCC"/>
    <w:rsid w:val="40B90E06"/>
    <w:rsid w:val="412865DE"/>
    <w:rsid w:val="42075BA1"/>
    <w:rsid w:val="432E715D"/>
    <w:rsid w:val="44580936"/>
    <w:rsid w:val="44C9538F"/>
    <w:rsid w:val="45430D6A"/>
    <w:rsid w:val="463E3B5B"/>
    <w:rsid w:val="46492C2C"/>
    <w:rsid w:val="469043B7"/>
    <w:rsid w:val="4693720F"/>
    <w:rsid w:val="46BA1434"/>
    <w:rsid w:val="46D63D94"/>
    <w:rsid w:val="4747115F"/>
    <w:rsid w:val="47CF7161"/>
    <w:rsid w:val="48A759E8"/>
    <w:rsid w:val="48DB6A66"/>
    <w:rsid w:val="48DB714F"/>
    <w:rsid w:val="48FD7CFE"/>
    <w:rsid w:val="490C1CEF"/>
    <w:rsid w:val="49ED38CE"/>
    <w:rsid w:val="4A394D65"/>
    <w:rsid w:val="4A6F0787"/>
    <w:rsid w:val="4C60689E"/>
    <w:rsid w:val="4D275349"/>
    <w:rsid w:val="4D930C30"/>
    <w:rsid w:val="4DD21759"/>
    <w:rsid w:val="4E593C28"/>
    <w:rsid w:val="4E8C7B5A"/>
    <w:rsid w:val="4F0A0A7E"/>
    <w:rsid w:val="4F367AC5"/>
    <w:rsid w:val="505226DD"/>
    <w:rsid w:val="507C775A"/>
    <w:rsid w:val="5099655E"/>
    <w:rsid w:val="51894824"/>
    <w:rsid w:val="51B80C66"/>
    <w:rsid w:val="51CA01E5"/>
    <w:rsid w:val="52296442"/>
    <w:rsid w:val="52F65EE9"/>
    <w:rsid w:val="530879CB"/>
    <w:rsid w:val="53536D4E"/>
    <w:rsid w:val="5463135D"/>
    <w:rsid w:val="546B1FBF"/>
    <w:rsid w:val="548117E3"/>
    <w:rsid w:val="54DE6C35"/>
    <w:rsid w:val="555E1B24"/>
    <w:rsid w:val="556F5ADF"/>
    <w:rsid w:val="5697709C"/>
    <w:rsid w:val="5714693E"/>
    <w:rsid w:val="571A1A7B"/>
    <w:rsid w:val="571C5DB6"/>
    <w:rsid w:val="589C308F"/>
    <w:rsid w:val="595E6596"/>
    <w:rsid w:val="59856FF8"/>
    <w:rsid w:val="59E00D5A"/>
    <w:rsid w:val="5AC8018F"/>
    <w:rsid w:val="5BE30FD5"/>
    <w:rsid w:val="5C074CC3"/>
    <w:rsid w:val="5CE37267"/>
    <w:rsid w:val="5CE60D7D"/>
    <w:rsid w:val="5D27551D"/>
    <w:rsid w:val="5DF060FB"/>
    <w:rsid w:val="5E056FE1"/>
    <w:rsid w:val="5E0B46BF"/>
    <w:rsid w:val="5E31287D"/>
    <w:rsid w:val="5F351E03"/>
    <w:rsid w:val="5FEB0458"/>
    <w:rsid w:val="60AC7BE7"/>
    <w:rsid w:val="60C969EB"/>
    <w:rsid w:val="62261C1B"/>
    <w:rsid w:val="623954AB"/>
    <w:rsid w:val="624520A2"/>
    <w:rsid w:val="62AC64E1"/>
    <w:rsid w:val="62B50A6D"/>
    <w:rsid w:val="62D81168"/>
    <w:rsid w:val="63514A76"/>
    <w:rsid w:val="64297E8D"/>
    <w:rsid w:val="65F8567D"/>
    <w:rsid w:val="661324B7"/>
    <w:rsid w:val="67696832"/>
    <w:rsid w:val="677D22DE"/>
    <w:rsid w:val="67913208"/>
    <w:rsid w:val="67C92923"/>
    <w:rsid w:val="67FB3202"/>
    <w:rsid w:val="68B67DA9"/>
    <w:rsid w:val="68DC6EB7"/>
    <w:rsid w:val="68FF7E90"/>
    <w:rsid w:val="695D5F23"/>
    <w:rsid w:val="69EB1780"/>
    <w:rsid w:val="6AA933EA"/>
    <w:rsid w:val="6AEB57B0"/>
    <w:rsid w:val="6B7D6086"/>
    <w:rsid w:val="6BDB75D3"/>
    <w:rsid w:val="6C305B70"/>
    <w:rsid w:val="6C871509"/>
    <w:rsid w:val="6DAB62C7"/>
    <w:rsid w:val="6E1A39A0"/>
    <w:rsid w:val="6E2E4332"/>
    <w:rsid w:val="6E494CC8"/>
    <w:rsid w:val="6E661D1D"/>
    <w:rsid w:val="6EC6456A"/>
    <w:rsid w:val="70445B99"/>
    <w:rsid w:val="70B52AE8"/>
    <w:rsid w:val="70C42D2B"/>
    <w:rsid w:val="71514A07"/>
    <w:rsid w:val="71A566B9"/>
    <w:rsid w:val="71BE58F8"/>
    <w:rsid w:val="71E416F6"/>
    <w:rsid w:val="73EF4563"/>
    <w:rsid w:val="743520ED"/>
    <w:rsid w:val="74367A9C"/>
    <w:rsid w:val="7491561A"/>
    <w:rsid w:val="74FA6D1C"/>
    <w:rsid w:val="754E350B"/>
    <w:rsid w:val="75AD1FE0"/>
    <w:rsid w:val="75DF4163"/>
    <w:rsid w:val="7634625D"/>
    <w:rsid w:val="76E77774"/>
    <w:rsid w:val="76FF2D0F"/>
    <w:rsid w:val="770C0F88"/>
    <w:rsid w:val="77803018"/>
    <w:rsid w:val="77DA6E30"/>
    <w:rsid w:val="79C5570D"/>
    <w:rsid w:val="7A831561"/>
    <w:rsid w:val="7B0C59FB"/>
    <w:rsid w:val="7BE03594"/>
    <w:rsid w:val="7BE424D4"/>
    <w:rsid w:val="7C7A4BE6"/>
    <w:rsid w:val="7C7E2532"/>
    <w:rsid w:val="7D637428"/>
    <w:rsid w:val="7F9D1317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5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jy正文"/>
    <w:basedOn w:val="1"/>
    <w:qFormat/>
    <w:uiPriority w:val="0"/>
    <w:pPr>
      <w:spacing w:line="300" w:lineRule="auto"/>
      <w:ind w:firstLine="573"/>
    </w:pPr>
    <w:rPr>
      <w:rFonts w:cs="宋体"/>
      <w:sz w:val="28"/>
      <w:szCs w:val="20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1659</Words>
  <Characters>1992</Characters>
  <Lines>0</Lines>
  <Paragraphs>0</Paragraphs>
  <TotalTime>13</TotalTime>
  <ScaleCrop>false</ScaleCrop>
  <LinksUpToDate>false</LinksUpToDate>
  <CharactersWithSpaces>2015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2022-03-31T01:17:00Z</dcterms:created>
  <dc:creator>luckylululu</dc:creator>
  <cp:lastModifiedBy>石桐</cp:lastModifiedBy>
  <cp:lastPrinted>2022-04-01T02:54:00Z</cp:lastPrinted>
  <dcterms:modified xsi:type="dcterms:W3CDTF">2023-10-25T08:08:49Z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C68217756A1D4238BEC943AC90D5DF9A_13</vt:lpwstr>
  </property>
</Properties>
</file>