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textAlignment w:val="auto"/>
        <w:outlineLvl w:val="9"/>
        <w:rPr>
          <w:rFonts w:ascii="微软雅黑" w:hAnsi="宋体" w:eastAsia="微软雅黑"/>
          <w:color w:val="auto"/>
          <w:sz w:val="72"/>
          <w:szCs w:val="72"/>
          <w:highlight w:val="none"/>
        </w:rPr>
      </w:pPr>
      <w:bookmarkStart w:id="0" w:name="_Toc15377425"/>
      <w:bookmarkStart w:id="1" w:name="_Toc15378441"/>
      <w:bookmarkStart w:id="2" w:name="_Toc15396597"/>
      <w:bookmarkStart w:id="3" w:name="_Toc15377193"/>
      <w:bookmarkStart w:id="4" w:name="_Toc15396475"/>
      <w:bookmarkStart w:id="5" w:name="_Toc15306267"/>
    </w:p>
    <w:p>
      <w:pPr>
        <w:pageBreakBefore w:val="0"/>
        <w:kinsoku/>
        <w:wordWrap/>
        <w:overflowPunct/>
        <w:topLinePunct w:val="0"/>
        <w:bidi w:val="0"/>
        <w:spacing w:line="576" w:lineRule="exact"/>
        <w:jc w:val="center"/>
        <w:textAlignment w:val="auto"/>
        <w:outlineLvl w:val="9"/>
        <w:rPr>
          <w:rFonts w:ascii="微软雅黑" w:hAnsi="宋体" w:eastAsia="微软雅黑"/>
          <w:color w:val="auto"/>
          <w:sz w:val="72"/>
          <w:szCs w:val="72"/>
          <w:highlight w:val="none"/>
        </w:rPr>
      </w:pPr>
    </w:p>
    <w:p>
      <w:pPr>
        <w:pageBreakBefore w:val="0"/>
        <w:kinsoku/>
        <w:wordWrap/>
        <w:overflowPunct/>
        <w:topLinePunct w:val="0"/>
        <w:bidi w:val="0"/>
        <w:spacing w:line="576" w:lineRule="exact"/>
        <w:jc w:val="center"/>
        <w:textAlignment w:val="auto"/>
        <w:outlineLvl w:val="9"/>
        <w:rPr>
          <w:rFonts w:ascii="微软雅黑" w:hAnsi="宋体" w:eastAsia="微软雅黑"/>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604" w:lineRule="exact"/>
        <w:jc w:val="center"/>
        <w:textAlignment w:val="auto"/>
        <w:outlineLvl w:val="9"/>
        <w:rPr>
          <w:rFonts w:hint="eastAsia" w:ascii="方正小标宋简体" w:hAnsi="方正小标宋简体" w:eastAsia="方正小标宋简体" w:cs="方正小标宋简体"/>
          <w:color w:val="auto"/>
          <w:sz w:val="52"/>
          <w:szCs w:val="52"/>
          <w:highlight w:val="none"/>
        </w:rPr>
      </w:pPr>
    </w:p>
    <w:p>
      <w:pPr>
        <w:keepNext w:val="0"/>
        <w:keepLines w:val="0"/>
        <w:pageBreakBefore w:val="0"/>
        <w:widowControl w:val="0"/>
        <w:kinsoku/>
        <w:wordWrap/>
        <w:overflowPunct/>
        <w:topLinePunct w:val="0"/>
        <w:autoSpaceDE/>
        <w:autoSpaceDN/>
        <w:bidi w:val="0"/>
        <w:adjustRightInd w:val="0"/>
        <w:snapToGrid w:val="0"/>
        <w:spacing w:line="604"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bookmarkStart w:id="6" w:name="_Toc23722"/>
      <w:bookmarkStart w:id="7" w:name="_Toc23659"/>
      <w:bookmarkStart w:id="8" w:name="_Toc5133"/>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22</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604" w:lineRule="exact"/>
        <w:jc w:val="center"/>
        <w:textAlignment w:val="auto"/>
        <w:outlineLvl w:val="9"/>
        <w:rPr>
          <w:rFonts w:hint="eastAsia" w:ascii="方正小标宋简体" w:hAnsi="方正小标宋简体" w:eastAsia="方正小标宋简体" w:cs="方正小标宋简体"/>
          <w:color w:val="auto"/>
          <w:sz w:val="52"/>
          <w:szCs w:val="52"/>
          <w:highlight w:val="none"/>
        </w:rPr>
      </w:pPr>
    </w:p>
    <w:p>
      <w:pPr>
        <w:keepNext w:val="0"/>
        <w:keepLines w:val="0"/>
        <w:pageBreakBefore w:val="0"/>
        <w:widowControl w:val="0"/>
        <w:kinsoku/>
        <w:wordWrap/>
        <w:overflowPunct/>
        <w:topLinePunct w:val="0"/>
        <w:autoSpaceDE/>
        <w:autoSpaceDN/>
        <w:bidi w:val="0"/>
        <w:adjustRightInd w:val="0"/>
        <w:snapToGrid w:val="0"/>
        <w:spacing w:line="604"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bookmarkStart w:id="9" w:name="_Toc15378442"/>
      <w:bookmarkStart w:id="10" w:name="_Toc15377194"/>
      <w:bookmarkStart w:id="11" w:name="_Toc15396476"/>
      <w:bookmarkStart w:id="12" w:name="_Toc27601"/>
      <w:bookmarkStart w:id="13" w:name="_Toc15377426"/>
      <w:bookmarkStart w:id="14" w:name="_Toc15396598"/>
      <w:bookmarkStart w:id="15" w:name="_Toc4973"/>
      <w:bookmarkStart w:id="16" w:name="_Toc6265"/>
      <w:r>
        <w:rPr>
          <w:rFonts w:hint="eastAsia" w:ascii="方正小标宋简体" w:hAnsi="方正小标宋简体" w:eastAsia="方正小标宋简体" w:cs="方正小标宋简体"/>
          <w:color w:val="auto"/>
          <w:sz w:val="52"/>
          <w:szCs w:val="52"/>
          <w:highlight w:val="none"/>
        </w:rPr>
        <w:t>四川</w:t>
      </w:r>
      <w:bookmarkEnd w:id="5"/>
      <w:bookmarkStart w:id="17" w:name="_Toc15306268"/>
      <w:r>
        <w:rPr>
          <w:rFonts w:hint="eastAsia" w:ascii="方正小标宋简体" w:hAnsi="方正小标宋简体" w:eastAsia="方正小标宋简体" w:cs="方正小标宋简体"/>
          <w:color w:val="auto"/>
          <w:sz w:val="52"/>
          <w:szCs w:val="52"/>
          <w:highlight w:val="none"/>
          <w:lang w:eastAsia="zh-CN"/>
        </w:rPr>
        <w:t>省广元市昭化区人力资源和社会保障局</w:t>
      </w:r>
      <w:r>
        <w:rPr>
          <w:rFonts w:hint="eastAsia" w:ascii="方正小标宋简体" w:hAnsi="方正小标宋简体" w:eastAsia="方正小标宋简体" w:cs="方正小标宋简体"/>
          <w:color w:val="auto"/>
          <w:sz w:val="52"/>
          <w:szCs w:val="52"/>
          <w:highlight w:val="none"/>
        </w:rPr>
        <w:t>部门决算</w:t>
      </w:r>
      <w:bookmarkEnd w:id="9"/>
      <w:bookmarkEnd w:id="10"/>
      <w:bookmarkEnd w:id="11"/>
      <w:bookmarkEnd w:id="12"/>
      <w:bookmarkEnd w:id="13"/>
      <w:bookmarkEnd w:id="14"/>
      <w:bookmarkEnd w:id="15"/>
      <w:bookmarkEnd w:id="16"/>
      <w:bookmarkEnd w:id="17"/>
    </w:p>
    <w:p>
      <w:pPr>
        <w:pageBreakBefore w:val="0"/>
        <w:widowControl/>
        <w:kinsoku/>
        <w:wordWrap/>
        <w:overflowPunct/>
        <w:topLinePunct w:val="0"/>
        <w:bidi w:val="0"/>
        <w:spacing w:line="576" w:lineRule="exact"/>
        <w:jc w:val="center"/>
        <w:textAlignment w:val="auto"/>
        <w:rPr>
          <w:rFonts w:ascii="黑体" w:hAnsi="黑体" w:eastAsia="黑体"/>
          <w:color w:val="auto"/>
          <w:sz w:val="48"/>
          <w:szCs w:val="48"/>
          <w:highlight w:val="none"/>
        </w:rPr>
      </w:pPr>
      <w:r>
        <w:rPr>
          <w:rFonts w:ascii="微软雅黑" w:hAnsi="宋体" w:eastAsia="微软雅黑"/>
          <w:color w:val="auto"/>
          <w:sz w:val="36"/>
          <w:szCs w:val="36"/>
          <w:highlight w:val="none"/>
        </w:rPr>
        <w:br w:type="page"/>
      </w:r>
      <w:r>
        <w:rPr>
          <w:rFonts w:hint="eastAsia" w:ascii="黑体" w:hAnsi="黑体" w:eastAsia="黑体"/>
          <w:color w:val="auto"/>
          <w:sz w:val="48"/>
          <w:szCs w:val="48"/>
          <w:highlight w:val="none"/>
        </w:rPr>
        <w:t>目录</w:t>
      </w:r>
    </w:p>
    <w:p>
      <w:pPr>
        <w:pageBreakBefore w:val="0"/>
        <w:widowControl/>
        <w:kinsoku/>
        <w:wordWrap/>
        <w:overflowPunct/>
        <w:topLinePunct w:val="0"/>
        <w:bidi w:val="0"/>
        <w:spacing w:line="576" w:lineRule="exact"/>
        <w:jc w:val="center"/>
        <w:textAlignment w:val="auto"/>
        <w:rPr>
          <w:rFonts w:ascii="黑体" w:hAnsi="黑体" w:eastAsia="黑体" w:cstheme="minorBidi"/>
          <w:color w:val="auto"/>
          <w:sz w:val="28"/>
          <w:szCs w:val="28"/>
          <w:highlight w:val="none"/>
        </w:rPr>
      </w:pPr>
    </w:p>
    <w:p>
      <w:pPr>
        <w:pStyle w:val="12"/>
        <w:pageBreakBefore w:val="0"/>
        <w:kinsoku/>
        <w:wordWrap/>
        <w:overflowPunct/>
        <w:topLinePunct w:val="0"/>
        <w:bidi w:val="0"/>
        <w:spacing w:line="576"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bookmarkStart w:id="133" w:name="_GoBack"/>
      <w:bookmarkEnd w:id="133"/>
      <w:r>
        <w:rPr>
          <w:rFonts w:hint="eastAsia"/>
          <w:color w:val="auto"/>
          <w:highlight w:val="none"/>
        </w:rPr>
        <w:t>日</w:t>
      </w:r>
    </w:p>
    <w:sdt>
      <w:sdtPr>
        <w:rPr>
          <w:rFonts w:ascii="宋体" w:hAnsi="宋体" w:eastAsia="宋体" w:cs="Times New Roman"/>
          <w:kern w:val="2"/>
          <w:sz w:val="21"/>
          <w:szCs w:val="24"/>
          <w:highlight w:val="none"/>
          <w:lang w:val="en-US" w:eastAsia="zh-CN" w:bidi="ar-SA"/>
        </w:rPr>
        <w:id w:val="147458654"/>
        <w15:color w:val="DBDBDB"/>
        <w:docPartObj>
          <w:docPartGallery w:val="Table of Contents"/>
          <w:docPartUnique/>
        </w:docPartObj>
      </w:sdtPr>
      <w:sdtEndPr>
        <w:rPr>
          <w:rFonts w:ascii="宋体" w:hAnsi="宋体" w:eastAsia="宋体" w:cs="Times New Roman"/>
          <w:b/>
          <w:kern w:val="2"/>
          <w:sz w:val="21"/>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Times New Roman" w:hAnsi="Times New Roman" w:eastAsia="宋体" w:cs="Times New Roman"/>
              <w:kern w:val="2"/>
              <w:sz w:val="21"/>
              <w:szCs w:val="24"/>
              <w:highlight w:val="none"/>
              <w:lang w:val="en-US" w:eastAsia="zh-CN" w:bidi="ar-SA"/>
            </w:rPr>
          </w:pPr>
          <w:r>
            <w:rPr>
              <w:highlight w:val="none"/>
            </w:rPr>
            <w:fldChar w:fldCharType="begin"/>
          </w:r>
          <w:r>
            <w:rPr>
              <w:highlight w:val="none"/>
            </w:rPr>
            <w:instrText xml:space="preserve">TOC \o "1-2" \h \u </w:instrText>
          </w:r>
          <w:r>
            <w:rPr>
              <w:highlight w:val="none"/>
            </w:rPr>
            <w:fldChar w:fldCharType="separate"/>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_Toc17887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 xml:space="preserve">第一部分 </w:t>
          </w:r>
          <w:r>
            <w:rPr>
              <w:rFonts w:hint="eastAsia" w:ascii="仿宋_GB2312" w:hAnsi="仿宋_GB2312" w:eastAsia="仿宋_GB2312" w:cs="仿宋_GB2312"/>
              <w:bCs w:val="0"/>
              <w:sz w:val="28"/>
              <w:szCs w:val="28"/>
              <w:highlight w:val="none"/>
            </w:rPr>
            <w:t>部门概况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_Toc13592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rPr>
            <w:t>一</w:t>
          </w:r>
          <w:r>
            <w:rPr>
              <w:rFonts w:hint="eastAsia" w:ascii="仿宋_GB2312" w:hAnsi="仿宋_GB2312" w:eastAsia="仿宋_GB2312" w:cs="仿宋_GB2312"/>
              <w:bCs w:val="0"/>
              <w:sz w:val="28"/>
              <w:szCs w:val="28"/>
              <w:lang w:eastAsia="zh-CN"/>
            </w:rPr>
            <w:t>、</w:t>
          </w:r>
          <w:r>
            <w:rPr>
              <w:rFonts w:hint="eastAsia" w:ascii="仿宋_GB2312" w:hAnsi="仿宋_GB2312" w:eastAsia="仿宋_GB2312" w:cs="仿宋_GB2312"/>
              <w:sz w:val="28"/>
              <w:szCs w:val="28"/>
              <w:highlight w:val="none"/>
              <w:lang w:eastAsia="zh-CN"/>
            </w:rPr>
            <w:t>部门职责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_Toc13592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_Toc19185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二、机</w:t>
          </w:r>
          <w:r>
            <w:rPr>
              <w:rFonts w:hint="eastAsia" w:ascii="仿宋_GB2312" w:hAnsi="仿宋_GB2312" w:eastAsia="仿宋_GB2312" w:cs="仿宋_GB2312"/>
              <w:bCs w:val="0"/>
              <w:sz w:val="28"/>
              <w:szCs w:val="28"/>
              <w:highlight w:val="none"/>
            </w:rPr>
            <w:t>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_Toc3011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 xml:space="preserve">第二部分 </w:t>
          </w:r>
          <w:r>
            <w:rPr>
              <w:rFonts w:hint="eastAsia" w:ascii="仿宋_GB2312" w:hAnsi="仿宋_GB2312" w:eastAsia="仿宋_GB2312" w:cs="仿宋_GB2312"/>
              <w:bCs/>
              <w:sz w:val="28"/>
              <w:szCs w:val="28"/>
              <w:highlight w:val="none"/>
              <w:lang w:val="en-US" w:eastAsia="zh-CN"/>
            </w:rPr>
            <w:t>2022年度</w:t>
          </w:r>
          <w:r>
            <w:rPr>
              <w:rFonts w:hint="eastAsia" w:ascii="仿宋_GB2312" w:hAnsi="仿宋_GB2312" w:eastAsia="仿宋_GB2312" w:cs="仿宋_GB2312"/>
              <w:bCs/>
              <w:sz w:val="28"/>
              <w:szCs w:val="28"/>
              <w:highlight w:val="none"/>
            </w:rPr>
            <w:t>部门决算情况说明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_Toc31592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highlight w:val="none"/>
            </w:rPr>
            <w:t>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_Toc10905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highlight w:val="none"/>
            </w:rPr>
            <w:t>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_Toc9556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highlight w:val="none"/>
            </w:rPr>
            <w:t>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_Toc21548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_Toc699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_Toc15674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（一）一般公共预算财政拨款支出决算总体情况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_Toc5355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（二）一般公共预算财政拨款支出决算结构情况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_Toc11065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（三）一般公共预算财政拨款支出决算具体情况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_Toc14176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_Toc14176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_Toc28714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七、财政拨款“三公”经费支出决算情况说明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_Toc28714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_Toc3772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（一）“三公”经费财政拨款支出决算总体情况说明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_Toc3772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_Toc30250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（二）“三公”经费财政拨款支出决算具体情况说明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_Toc23717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_Toc23717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_Toc24661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 xml:space="preserve">九、 </w:t>
          </w:r>
          <w:r>
            <w:rPr>
              <w:rFonts w:hint="eastAsia" w:ascii="仿宋_GB2312" w:hAnsi="仿宋_GB2312" w:eastAsia="仿宋_GB2312" w:cs="仿宋_GB2312"/>
              <w:sz w:val="28"/>
              <w:szCs w:val="28"/>
              <w:highlight w:val="none"/>
            </w:rPr>
            <w:t>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_Toc18317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 xml:space="preserve">十、 </w:t>
          </w:r>
          <w:r>
            <w:rPr>
              <w:rFonts w:hint="eastAsia" w:ascii="仿宋_GB2312" w:hAnsi="仿宋_GB2312" w:eastAsia="仿宋_GB2312" w:cs="仿宋_GB2312"/>
              <w:sz w:val="28"/>
              <w:szCs w:val="28"/>
              <w:highlight w:val="none"/>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_Toc13306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（一）机关运行经费支出情况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_Toc23976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（二）政府采购支出情况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_Toc23976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_Toc21550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（三）国有资产占有使用情况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_Toc5276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（四）预算绩效管理情况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_Toc11074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rPr>
            <w:t xml:space="preserve">第三部分 </w:t>
          </w:r>
          <w:r>
            <w:rPr>
              <w:rFonts w:hint="eastAsia" w:ascii="仿宋_GB2312" w:hAnsi="仿宋_GB2312" w:eastAsia="仿宋_GB2312" w:cs="仿宋_GB2312"/>
              <w:sz w:val="28"/>
              <w:szCs w:val="28"/>
              <w:highlight w:val="none"/>
            </w:rPr>
            <w:t>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_Toc21426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第四部分 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_Toc30892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 xml:space="preserve">附件1 </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_Toc12123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广元市昭化区人力资源和社会保障局部门整体</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_Toc18118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支出绩效目标（自评表）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_Toc28562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附件2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_Toc1200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广元市昭化区人力资源和社会保障局东西部协作稳岗就业促进项目支出自评报告（自评表）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_Toc16578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附件3  广元市昭化区人力资源和社会保障局就业创业资金项目支出自评报告（自评表）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_Toc23674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附件4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_Toc4852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kern w:val="0"/>
              <w:sz w:val="28"/>
              <w:szCs w:val="28"/>
              <w:highlight w:val="none"/>
              <w:lang w:val="en-US" w:eastAsia="zh-CN" w:bidi="ar-SA"/>
            </w:rPr>
            <w:t>广元市昭化区人力资源和社会保障局招商引资工作经费项目支出自评报告（自评表）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_Toc4852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_Toc9811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附件5</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_Toc3265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广元市昭化区人力资源和社会保障局</w:t>
          </w:r>
          <w:r>
            <w:rPr>
              <w:rFonts w:hint="eastAsia" w:ascii="仿宋_GB2312" w:hAnsi="仿宋_GB2312" w:eastAsia="仿宋_GB2312" w:cs="仿宋_GB2312"/>
              <w:sz w:val="28"/>
              <w:szCs w:val="28"/>
              <w:highlight w:val="none"/>
              <w:lang w:val="zh-CN" w:eastAsia="zh-CN"/>
            </w:rPr>
            <w:t>公开引进高层次人才和招聘急需紧缺专业人才工作经费项目支出自评报告</w:t>
          </w:r>
          <w:r>
            <w:rPr>
              <w:rFonts w:hint="eastAsia" w:ascii="仿宋_GB2312" w:hAnsi="仿宋_GB2312" w:eastAsia="仿宋_GB2312" w:cs="仿宋_GB2312"/>
              <w:sz w:val="28"/>
              <w:szCs w:val="28"/>
              <w:highlight w:val="none"/>
              <w:lang w:val="en-US" w:eastAsia="zh-CN"/>
            </w:rPr>
            <w:t>(自评表）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_Toc26886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shd w:val="clear" w:color="auto" w:fill="FFFFFF"/>
              <w:lang w:val="en-US" w:eastAsia="zh-CN"/>
            </w:rPr>
            <w:t>附件6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_Toc4599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lang w:val="en-US" w:eastAsia="zh-CN"/>
            </w:rPr>
            <w:t>广元市昭化区人力资源和社会保障局</w:t>
          </w:r>
          <w:r>
            <w:rPr>
              <w:rFonts w:hint="eastAsia" w:ascii="仿宋_GB2312" w:hAnsi="仿宋_GB2312" w:eastAsia="仿宋_GB2312" w:cs="仿宋_GB2312"/>
              <w:sz w:val="28"/>
              <w:szCs w:val="28"/>
              <w:highlight w:val="none"/>
              <w:lang w:val="zh-CN" w:eastAsia="zh-CN"/>
            </w:rPr>
            <w:t>普惠金融发展专项资金项目支出自评报告（自评表）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_Toc22679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第五部分 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_Toc4172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一、收</w:t>
          </w:r>
          <w:r>
            <w:rPr>
              <w:rFonts w:hint="eastAsia" w:ascii="仿宋_GB2312" w:hAnsi="仿宋_GB2312" w:eastAsia="仿宋_GB2312" w:cs="仿宋_GB2312"/>
              <w:bCs w:val="0"/>
              <w:sz w:val="28"/>
              <w:szCs w:val="28"/>
              <w:highlight w:val="none"/>
            </w:rPr>
            <w:t>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_Toc4172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_Toc5787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二、收</w:t>
          </w:r>
          <w:r>
            <w:rPr>
              <w:rFonts w:hint="eastAsia" w:ascii="仿宋_GB2312" w:hAnsi="仿宋_GB2312" w:eastAsia="仿宋_GB2312" w:cs="仿宋_GB2312"/>
              <w:bCs w:val="0"/>
              <w:sz w:val="28"/>
              <w:szCs w:val="28"/>
              <w:highlight w:val="none"/>
            </w:rPr>
            <w:t>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_Toc5787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_Toc19160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三、</w:t>
          </w:r>
          <w:r>
            <w:rPr>
              <w:rFonts w:hint="eastAsia" w:ascii="仿宋_GB2312" w:hAnsi="仿宋_GB2312" w:eastAsia="仿宋_GB2312" w:cs="仿宋_GB2312"/>
              <w:sz w:val="28"/>
              <w:szCs w:val="28"/>
              <w:highlight w:val="none"/>
            </w:rPr>
            <w:t>支</w:t>
          </w:r>
          <w:r>
            <w:rPr>
              <w:rFonts w:hint="eastAsia" w:ascii="仿宋_GB2312" w:hAnsi="仿宋_GB2312" w:eastAsia="仿宋_GB2312" w:cs="仿宋_GB2312"/>
              <w:bCs w:val="0"/>
              <w:sz w:val="28"/>
              <w:szCs w:val="28"/>
              <w:highlight w:val="none"/>
            </w:rPr>
            <w:t>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_Toc10838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四、</w:t>
          </w:r>
          <w:r>
            <w:rPr>
              <w:rFonts w:hint="eastAsia" w:ascii="仿宋_GB2312" w:hAnsi="仿宋_GB2312" w:eastAsia="仿宋_GB2312" w:cs="仿宋_GB2312"/>
              <w:sz w:val="28"/>
              <w:szCs w:val="28"/>
              <w:highlight w:val="none"/>
            </w:rPr>
            <w:t>财</w:t>
          </w:r>
          <w:r>
            <w:rPr>
              <w:rFonts w:hint="eastAsia" w:ascii="仿宋_GB2312" w:hAnsi="仿宋_GB2312" w:eastAsia="仿宋_GB2312" w:cs="仿宋_GB2312"/>
              <w:bCs w:val="0"/>
              <w:sz w:val="28"/>
              <w:szCs w:val="28"/>
              <w:highlight w:val="none"/>
            </w:rPr>
            <w:t>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_Toc25130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五、</w:t>
          </w:r>
          <w:r>
            <w:rPr>
              <w:rFonts w:hint="eastAsia" w:ascii="仿宋_GB2312" w:hAnsi="仿宋_GB2312" w:eastAsia="仿宋_GB2312" w:cs="仿宋_GB2312"/>
              <w:sz w:val="28"/>
              <w:szCs w:val="28"/>
              <w:highlight w:val="none"/>
            </w:rPr>
            <w:t>财</w:t>
          </w:r>
          <w:r>
            <w:rPr>
              <w:rFonts w:hint="eastAsia" w:ascii="仿宋_GB2312" w:hAnsi="仿宋_GB2312" w:eastAsia="仿宋_GB2312" w:cs="仿宋_GB2312"/>
              <w:bCs w:val="0"/>
              <w:sz w:val="28"/>
              <w:szCs w:val="28"/>
              <w:highlight w:val="none"/>
            </w:rPr>
            <w:t>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_Toc25130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_Toc5878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六、</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_Toc1584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七、</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_Toc26710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八、</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_Toc26709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九、</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_Toc4916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十、</w:t>
          </w:r>
          <w:r>
            <w:rPr>
              <w:rFonts w:hint="eastAsia" w:ascii="仿宋_GB2312" w:hAnsi="仿宋_GB2312" w:eastAsia="仿宋_GB2312" w:cs="仿宋_GB2312"/>
              <w:sz w:val="28"/>
              <w:szCs w:val="28"/>
              <w:highlight w:val="none"/>
            </w:rPr>
            <w:t>政</w:t>
          </w:r>
          <w:r>
            <w:rPr>
              <w:rFonts w:hint="eastAsia" w:ascii="仿宋_GB2312" w:hAnsi="仿宋_GB2312" w:eastAsia="仿宋_GB2312" w:cs="仿宋_GB2312"/>
              <w:bCs w:val="0"/>
              <w:sz w:val="28"/>
              <w:szCs w:val="28"/>
              <w:highlight w:val="none"/>
            </w:rPr>
            <w:t>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_Toc30582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十一、</w:t>
          </w:r>
          <w:r>
            <w:rPr>
              <w:rFonts w:hint="eastAsia" w:ascii="仿宋_GB2312" w:hAnsi="仿宋_GB2312" w:eastAsia="仿宋_GB2312" w:cs="仿宋_GB2312"/>
              <w:sz w:val="28"/>
              <w:szCs w:val="28"/>
              <w:highlight w:val="none"/>
            </w:rPr>
            <w:t>国</w:t>
          </w:r>
          <w:r>
            <w:rPr>
              <w:rFonts w:hint="eastAsia" w:ascii="仿宋_GB2312" w:hAnsi="仿宋_GB2312" w:eastAsia="仿宋_GB2312" w:cs="仿宋_GB2312"/>
              <w:bCs w:val="0"/>
              <w:sz w:val="28"/>
              <w:szCs w:val="28"/>
              <w:highlight w:val="none"/>
            </w:rPr>
            <w:t>有资本经营预算</w:t>
          </w:r>
          <w:r>
            <w:rPr>
              <w:rFonts w:hint="eastAsia" w:ascii="仿宋_GB2312" w:hAnsi="仿宋_GB2312" w:eastAsia="仿宋_GB2312" w:cs="仿宋_GB2312"/>
              <w:bCs w:val="0"/>
              <w:sz w:val="28"/>
              <w:szCs w:val="28"/>
              <w:highlight w:val="none"/>
              <w:lang w:eastAsia="zh-CN"/>
            </w:rPr>
            <w:t>财政拨款收入</w:t>
          </w:r>
          <w:r>
            <w:rPr>
              <w:rFonts w:hint="eastAsia" w:ascii="仿宋_GB2312" w:hAnsi="仿宋_GB2312" w:eastAsia="仿宋_GB2312" w:cs="仿宋_GB2312"/>
              <w:bCs w:val="0"/>
              <w:sz w:val="28"/>
              <w:szCs w:val="28"/>
              <w:highlight w:val="none"/>
            </w:rPr>
            <w:t>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_Toc30582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_Toc11200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十二、</w:t>
          </w:r>
          <w:r>
            <w:rPr>
              <w:rFonts w:hint="eastAsia" w:ascii="仿宋_GB2312" w:hAnsi="仿宋_GB2312" w:eastAsia="仿宋_GB2312" w:cs="仿宋_GB2312"/>
              <w:bCs w:val="0"/>
              <w:sz w:val="28"/>
              <w:szCs w:val="28"/>
              <w:highlight w:val="none"/>
              <w:lang w:eastAsia="zh-CN"/>
            </w:rPr>
            <w:t>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_Toc31906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val="0"/>
              <w:sz w:val="28"/>
              <w:szCs w:val="28"/>
              <w:highlight w:val="none"/>
            </w:rPr>
            <w:t>十三、</w:t>
          </w:r>
          <w:r>
            <w:rPr>
              <w:rFonts w:hint="eastAsia" w:ascii="仿宋_GB2312" w:hAnsi="仿宋_GB2312" w:eastAsia="仿宋_GB2312" w:cs="仿宋_GB2312"/>
              <w:bCs w:val="0"/>
              <w:sz w:val="28"/>
              <w:szCs w:val="28"/>
              <w:highlight w:val="none"/>
              <w:lang w:eastAsia="zh-CN"/>
            </w:rPr>
            <w:t>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_Toc31906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10" w:lineRule="exact"/>
            <w:ind w:left="0" w:leftChars="0" w:right="0" w:rightChars="0" w:firstLine="0" w:firstLineChars="0"/>
            <w:jc w:val="both"/>
            <w:textAlignment w:val="auto"/>
            <w:rPr>
              <w:highlight w:val="none"/>
            </w:rPr>
          </w:pPr>
          <w:r>
            <w:rPr>
              <w:highlight w:val="none"/>
            </w:rPr>
            <w:fldChar w:fldCharType="end"/>
          </w:r>
        </w:p>
      </w:sdtContent>
    </w:sdt>
    <w:p>
      <w:pPr>
        <w:pStyle w:val="2"/>
        <w:pageBreakBefore w:val="0"/>
        <w:kinsoku/>
        <w:wordWrap/>
        <w:overflowPunct/>
        <w:topLinePunct w:val="0"/>
        <w:bidi w:val="0"/>
        <w:spacing w:line="576" w:lineRule="exact"/>
        <w:jc w:val="center"/>
        <w:textAlignment w:val="auto"/>
        <w:rPr>
          <w:rFonts w:hint="eastAsia" w:ascii="黑体" w:hAnsi="黑体" w:eastAsia="黑体"/>
          <w:b w:val="0"/>
          <w:color w:val="auto"/>
          <w:highlight w:val="none"/>
        </w:rPr>
        <w:sectPr>
          <w:headerReference r:id="rId3" w:type="default"/>
          <w:footerReference r:id="rId4" w:type="default"/>
          <w:pgSz w:w="11906" w:h="16838"/>
          <w:pgMar w:top="1984" w:right="1474" w:bottom="1871" w:left="1587" w:header="851" w:footer="992" w:gutter="0"/>
          <w:pgNumType w:fmt="decimal" w:start="1"/>
          <w:cols w:space="0" w:num="1"/>
          <w:titlePg/>
          <w:rtlGutter w:val="0"/>
          <w:docGrid w:type="lines" w:linePitch="312" w:charSpace="0"/>
        </w:sectPr>
      </w:pPr>
    </w:p>
    <w:p>
      <w:pPr>
        <w:pStyle w:val="2"/>
        <w:pageBreakBefore w:val="0"/>
        <w:kinsoku/>
        <w:wordWrap/>
        <w:overflowPunct/>
        <w:topLinePunct w:val="0"/>
        <w:bidi w:val="0"/>
        <w:spacing w:line="576" w:lineRule="exact"/>
        <w:jc w:val="center"/>
        <w:textAlignment w:val="auto"/>
        <w:rPr>
          <w:rStyle w:val="28"/>
          <w:rFonts w:ascii="黑体" w:hAnsi="黑体" w:eastAsia="黑体"/>
          <w:b/>
          <w:bCs w:val="0"/>
          <w:color w:val="auto"/>
          <w:highlight w:val="none"/>
        </w:rPr>
      </w:pPr>
      <w:bookmarkStart w:id="18" w:name="_Toc17887"/>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8"/>
    </w:p>
    <w:p>
      <w:pPr>
        <w:pageBreakBefore w:val="0"/>
        <w:widowControl/>
        <w:kinsoku/>
        <w:wordWrap/>
        <w:overflowPunct/>
        <w:topLinePunct w:val="0"/>
        <w:bidi w:val="0"/>
        <w:spacing w:line="576" w:lineRule="exact"/>
        <w:jc w:val="left"/>
        <w:textAlignment w:val="auto"/>
        <w:rPr>
          <w:rFonts w:ascii="黑体" w:eastAsia="黑体"/>
          <w:color w:val="auto"/>
          <w:sz w:val="32"/>
          <w:szCs w:val="32"/>
          <w:highlight w:val="none"/>
        </w:rPr>
      </w:pPr>
    </w:p>
    <w:p>
      <w:pPr>
        <w:pStyle w:val="3"/>
        <w:pageBreakBefore w:val="0"/>
        <w:numPr>
          <w:ilvl w:val="0"/>
          <w:numId w:val="1"/>
        </w:numPr>
        <w:kinsoku/>
        <w:wordWrap/>
        <w:overflowPunct/>
        <w:topLinePunct w:val="0"/>
        <w:bidi w:val="0"/>
        <w:spacing w:line="576" w:lineRule="exact"/>
        <w:textAlignment w:val="auto"/>
        <w:rPr>
          <w:rFonts w:hint="eastAsia" w:ascii="楷体_GB2312" w:hAnsi="楷体_GB2312" w:eastAsia="楷体_GB2312" w:cs="楷体_GB2312"/>
          <w:b w:val="0"/>
          <w:bCs w:val="0"/>
          <w:sz w:val="32"/>
          <w:szCs w:val="32"/>
          <w:highlight w:val="none"/>
        </w:rPr>
      </w:pPr>
      <w:bookmarkStart w:id="19" w:name="_Toc13592"/>
      <w:r>
        <w:rPr>
          <w:rFonts w:hint="eastAsia" w:ascii="黑体" w:hAnsi="黑体" w:eastAsia="黑体"/>
          <w:b w:val="0"/>
          <w:color w:val="auto"/>
          <w:highlight w:val="none"/>
          <w:lang w:eastAsia="zh-CN"/>
        </w:rPr>
        <w:t>部门职责</w:t>
      </w:r>
      <w:bookmarkEnd w:id="19"/>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贯彻执行国家、省、市人力资源和社会保障工作的相关法律、法规、规章和政策，拟订全区人力资源和社会保障事业发展规划、政策并组织实施和监督检查。</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（2）拟订全区人力资源市场发展规划和人力资源流动政策并组织实施，建立全区统一规范的人力资源市场，促进人力资源合理流动、有效配置。</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负责促进就业工作。拟订统筹城乡的就业发展规划和政策，完善公共就业创业服务体系，拟订并组织落实创业、就业援助制度，完善职业资格制度，统筹建立面向城乡劳动者的职业培训制度，牵头落实高校毕业生就业政策。</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统筹建立覆盖城乡的多层次社会保障体系。贯彻落实社会保险政策和标准、养老保险全国统筹办法和全国统一的养老、失业、工伤保险关系转续办法。组织拟订基本养老、企业年金、职业年金、失业、工伤保险基金管理和监督制度，编制全区社会保险基金决算草案。会同有关部门实施全民参保计划。拟订人力资源和社会保障信息化建设总体规划、年度计划，拟订相关制度、标准和规范并组织实施。指导、督促企业参加工伤保险。</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（5）负责全区就业、失业、社会保险基金预测预警和信息引导，拟订应对预案，实施预防、调节和控制，保持就业形势稳定和社会保险基金总体收支平衡。</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贯彻落实劳动人事争议调解仲裁制度，完善劳动关系协调机制，贯彻落实职工工作时间、休息休假和假期制度，拟订消除非法使用童工政策和女工、未成年工的特殊劳动保护政策。依法督促用人单位在劳动用工、合同签订与履约时，载明劳动保护、劳动条件和职业危害防护等条款。组织实施劳动监察，协调劳动者维权工作，依法查处有关案件。</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7）牵头推进深化职称制度改革，贯彻落实专业技术人员管理、继续教育等政策，负责高层次专业技术人才选拔和培养工作，拟订高层次专业技术人才、紧缺急需人才来昭（回昭）工作或定居政策。组织拟订技能人才培养、评价、使用和激励制度。贯彻落实职业资格制度，健全职业技能多元化评价政策。指导监督各级各类技工学校、民办职业培训机构按国家、省、市有关规定履行安全管理责任。</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会同有关部门指导事业单位人事制度改革，按照管理权限负责规范事业单位岗位设置、公开招聘、聘用合同等人事综合管理工作，贯彻落实事业单位人员和机关工勤人员管理政策，将安全生产责任履行情况作为事业单位工作人员奖惩、考核的重要内容。</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（9）贯彻执行事业单位人员工资收入分配政策和企业职工工资收入分配调控政策，贯彻落实企事业单位人员工资正常增长和支付保障政策，贯彻执行企事业单位人员福利和离退休政策。</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（10）组织实施国家表彰奖励制度，综合管理政府奖励表彰工作，承担评比达标表彰等工作，根据授权承办以区委、区政府名义开展的奖励表彰活动。承办提请区人大常委会和区政府决定的人事任免事项。</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（11）贯彻执行农民工工作相关政策和规划，协调解决重点难点问题，维护农民工合法权益。负责将安全生产纳入农民工技能培训内容。</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（12）负责人力资源和社会保障领域内的对外交流与合作工作。</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（13）承担职责范围内的安全生产和职业健康、生态环境保护、审批服务便民化等工作。</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（14）完成区委、区政府交办的其他任务。</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16）有关职责分工。高校毕业生就业政策由区人力资源社会保障局牵头，会同教育等部门拟订。高校毕业生离校前的就业指导和服务工作，由教育部门负责；高校毕业生离校后的就业指导和服务工作，由区人力资源社会保障局负责。</w:t>
      </w:r>
    </w:p>
    <w:p>
      <w:pPr>
        <w:pStyle w:val="3"/>
        <w:pageBreakBefore w:val="0"/>
        <w:kinsoku/>
        <w:wordWrap/>
        <w:overflowPunct/>
        <w:topLinePunct w:val="0"/>
        <w:bidi w:val="0"/>
        <w:spacing w:line="576" w:lineRule="exact"/>
        <w:textAlignment w:val="auto"/>
        <w:rPr>
          <w:rStyle w:val="29"/>
          <w:b w:val="0"/>
          <w:bCs w:val="0"/>
          <w:color w:val="auto"/>
          <w:highlight w:val="none"/>
        </w:rPr>
      </w:pPr>
      <w:bookmarkStart w:id="20" w:name="_Toc15377200"/>
      <w:bookmarkStart w:id="21" w:name="_Toc15396601"/>
      <w:bookmarkStart w:id="22" w:name="_Toc19185"/>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20"/>
      <w:bookmarkEnd w:id="21"/>
      <w:bookmarkEnd w:id="22"/>
    </w:p>
    <w:p>
      <w:pPr>
        <w:pageBreakBefore w:val="0"/>
        <w:kinsoku/>
        <w:wordWrap/>
        <w:overflowPunct/>
        <w:topLinePunct w:val="0"/>
        <w:bidi w:val="0"/>
        <w:spacing w:line="576" w:lineRule="exact"/>
        <w:ind w:firstLine="800" w:firstLineChars="25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广元市昭化区人力资源和社会保障局为一级预算单位，无下属二级预算单位。</w:t>
      </w:r>
    </w:p>
    <w:p>
      <w:pPr>
        <w:pageBreakBefore w:val="0"/>
        <w:kinsoku/>
        <w:wordWrap/>
        <w:overflowPunct/>
        <w:topLinePunct w:val="0"/>
        <w:bidi w:val="0"/>
        <w:spacing w:line="576" w:lineRule="exact"/>
        <w:ind w:firstLine="800" w:firstLineChars="25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截止</w:t>
      </w:r>
      <w:r>
        <w:rPr>
          <w:rFonts w:hint="eastAsia" w:ascii="仿宋" w:hAnsi="仿宋" w:eastAsia="仿宋"/>
          <w:color w:val="auto"/>
          <w:sz w:val="32"/>
          <w:szCs w:val="32"/>
          <w:highlight w:val="none"/>
          <w:lang w:val="en-US" w:eastAsia="zh-CN"/>
        </w:rPr>
        <w:t>2022年末，区人社局</w:t>
      </w:r>
      <w:r>
        <w:rPr>
          <w:rFonts w:ascii="仿宋" w:hAnsi="仿宋" w:eastAsia="仿宋"/>
          <w:color w:val="auto"/>
          <w:sz w:val="32"/>
          <w:szCs w:val="32"/>
          <w:highlight w:val="none"/>
        </w:rPr>
        <w:t>行政单位1个，下属二级单位7个，其中行政单位0个，参照公务员法管理的事业单位</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个。包括：广元市昭化区就业服务中心、广元市昭化区社会保险事务中心、广元市昭化区劳动人事争议仲裁院、广元市昭化区劳动保障监察大队、广元市昭化区农民工服务中心、广元市昭化区人才交流中心、广元市昭化区就业培训中心。</w:t>
      </w:r>
    </w:p>
    <w:p>
      <w:pPr>
        <w:pageBreakBefore w:val="0"/>
        <w:widowControl/>
        <w:kinsoku/>
        <w:wordWrap/>
        <w:overflowPunct/>
        <w:topLinePunct w:val="0"/>
        <w:bidi w:val="0"/>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pageBreakBefore w:val="0"/>
        <w:kinsoku/>
        <w:wordWrap/>
        <w:overflowPunct/>
        <w:topLinePunct w:val="0"/>
        <w:bidi w:val="0"/>
        <w:spacing w:line="576" w:lineRule="exact"/>
        <w:ind w:right="440"/>
        <w:jc w:val="center"/>
        <w:textAlignment w:val="auto"/>
        <w:rPr>
          <w:rStyle w:val="28"/>
          <w:rFonts w:ascii="黑体" w:hAnsi="黑体" w:eastAsia="黑体"/>
          <w:b w:val="0"/>
          <w:bCs/>
          <w:color w:val="auto"/>
          <w:highlight w:val="none"/>
        </w:rPr>
      </w:pPr>
      <w:bookmarkStart w:id="23" w:name="_Toc3011"/>
      <w:bookmarkStart w:id="24" w:name="_Toc15396602"/>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23"/>
      <w:bookmarkEnd w:id="24"/>
      <w:bookmarkEnd w:id="25"/>
    </w:p>
    <w:p>
      <w:pPr>
        <w:pageBreakBefore w:val="0"/>
        <w:kinsoku/>
        <w:wordWrap/>
        <w:overflowPunct/>
        <w:topLinePunct w:val="0"/>
        <w:bidi w:val="0"/>
        <w:spacing w:line="576" w:lineRule="exact"/>
        <w:textAlignment w:val="auto"/>
        <w:rPr>
          <w:color w:val="auto"/>
          <w:highlight w:val="none"/>
        </w:rPr>
      </w:pPr>
    </w:p>
    <w:p>
      <w:pPr>
        <w:pStyle w:val="27"/>
        <w:pageBreakBefore w:val="0"/>
        <w:numPr>
          <w:ilvl w:val="0"/>
          <w:numId w:val="2"/>
        </w:numPr>
        <w:kinsoku/>
        <w:wordWrap/>
        <w:overflowPunct/>
        <w:topLinePunct w:val="0"/>
        <w:bidi w:val="0"/>
        <w:spacing w:line="576" w:lineRule="exact"/>
        <w:ind w:firstLineChars="0"/>
        <w:textAlignment w:val="auto"/>
        <w:outlineLvl w:val="1"/>
        <w:rPr>
          <w:rStyle w:val="29"/>
          <w:rFonts w:ascii="黑体" w:hAnsi="黑体" w:eastAsia="黑体"/>
          <w:b w:val="0"/>
          <w:color w:val="auto"/>
          <w:highlight w:val="none"/>
        </w:rPr>
      </w:pPr>
      <w:bookmarkStart w:id="26" w:name="_Toc31592"/>
      <w:bookmarkStart w:id="27" w:name="_Toc15396603"/>
      <w:bookmarkStart w:id="28"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6"/>
      <w:bookmarkEnd w:id="27"/>
      <w:bookmarkEnd w:id="28"/>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429.95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2022年新增就业创业补助资金项目</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576" w:lineRule="exact"/>
        <w:ind w:firstLine="420" w:firstLineChars="200"/>
        <w:textAlignment w:val="auto"/>
        <w:rPr>
          <w:rFonts w:hint="eastAsia" w:ascii="仿宋" w:hAnsi="仿宋" w:eastAsia="仿宋"/>
          <w:color w:val="auto"/>
          <w:sz w:val="32"/>
          <w:szCs w:val="32"/>
          <w:highlight w:val="none"/>
        </w:rPr>
      </w:pPr>
      <w:r>
        <w:rPr>
          <w:highlight w:val="none"/>
        </w:rPr>
        <w:drawing>
          <wp:anchor distT="0" distB="0" distL="114300" distR="114300" simplePos="0" relativeHeight="251659264" behindDoc="0" locked="0" layoutInCell="1" allowOverlap="1">
            <wp:simplePos x="0" y="0"/>
            <wp:positionH relativeFrom="column">
              <wp:posOffset>80645</wp:posOffset>
            </wp:positionH>
            <wp:positionV relativeFrom="paragraph">
              <wp:posOffset>272415</wp:posOffset>
            </wp:positionV>
            <wp:extent cx="3063875" cy="1601470"/>
            <wp:effectExtent l="4445" t="4445" r="17780" b="1333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7"/>
        <w:pageBreakBefore w:val="0"/>
        <w:numPr>
          <w:ilvl w:val="0"/>
          <w:numId w:val="2"/>
        </w:numPr>
        <w:kinsoku/>
        <w:wordWrap/>
        <w:overflowPunct/>
        <w:topLinePunct w:val="0"/>
        <w:bidi w:val="0"/>
        <w:spacing w:line="576" w:lineRule="exact"/>
        <w:ind w:firstLineChars="0"/>
        <w:textAlignment w:val="auto"/>
        <w:outlineLvl w:val="1"/>
        <w:rPr>
          <w:rStyle w:val="29"/>
          <w:rFonts w:ascii="黑体" w:hAnsi="黑体" w:eastAsia="黑体"/>
          <w:b w:val="0"/>
          <w:color w:val="auto"/>
          <w:highlight w:val="none"/>
        </w:rPr>
      </w:pPr>
      <w:bookmarkStart w:id="29" w:name="_Toc15396604"/>
      <w:bookmarkStart w:id="30" w:name="_Toc15377206"/>
      <w:bookmarkStart w:id="31" w:name="_Toc109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9"/>
      <w:bookmarkEnd w:id="30"/>
      <w:bookmarkEnd w:id="31"/>
    </w:p>
    <w:p>
      <w:pPr>
        <w:pageBreakBefore w:val="0"/>
        <w:kinsoku/>
        <w:wordWrap/>
        <w:overflowPunct/>
        <w:topLinePunct w:val="0"/>
        <w:bidi w:val="0"/>
        <w:spacing w:line="576" w:lineRule="exact"/>
        <w:ind w:firstLine="640" w:firstLineChars="200"/>
        <w:textAlignment w:val="auto"/>
        <w:outlineLvl w:val="9"/>
        <w:rPr>
          <w:rFonts w:hint="eastAsia" w:ascii="仿宋" w:hAnsi="仿宋" w:eastAsia="仿宋"/>
          <w:color w:val="auto"/>
          <w:sz w:val="32"/>
          <w:szCs w:val="32"/>
          <w:highlight w:val="none"/>
          <w:lang w:eastAsia="zh-CN"/>
        </w:rPr>
      </w:pPr>
      <w:bookmarkStart w:id="32" w:name="_Toc627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2"/>
    </w:p>
    <w:p>
      <w:pPr>
        <w:pageBreakBefore w:val="0"/>
        <w:kinsoku/>
        <w:wordWrap/>
        <w:overflowPunct/>
        <w:topLinePunct w:val="0"/>
        <w:bidi w:val="0"/>
        <w:spacing w:line="576" w:lineRule="exact"/>
        <w:textAlignment w:val="auto"/>
        <w:outlineLvl w:val="9"/>
        <w:rPr>
          <w:rFonts w:ascii="仿宋" w:hAnsi="仿宋" w:eastAsia="仿宋"/>
          <w:color w:val="auto"/>
          <w:sz w:val="32"/>
          <w:szCs w:val="32"/>
          <w:highlight w:val="none"/>
        </w:rPr>
      </w:pPr>
      <w:r>
        <w:rPr>
          <w:highlight w:val="none"/>
        </w:rPr>
        <w:drawing>
          <wp:anchor distT="0" distB="0" distL="114300" distR="114300" simplePos="0" relativeHeight="251660288" behindDoc="0" locked="0" layoutInCell="1" allowOverlap="1">
            <wp:simplePos x="0" y="0"/>
            <wp:positionH relativeFrom="column">
              <wp:posOffset>81280</wp:posOffset>
            </wp:positionH>
            <wp:positionV relativeFrom="paragraph">
              <wp:posOffset>268605</wp:posOffset>
            </wp:positionV>
            <wp:extent cx="3445510" cy="1983105"/>
            <wp:effectExtent l="5080" t="4445" r="16510" b="12700"/>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7"/>
        <w:pageBreakBefore w:val="0"/>
        <w:numPr>
          <w:ilvl w:val="0"/>
          <w:numId w:val="2"/>
        </w:numPr>
        <w:kinsoku/>
        <w:wordWrap/>
        <w:overflowPunct/>
        <w:topLinePunct w:val="0"/>
        <w:bidi w:val="0"/>
        <w:spacing w:line="576" w:lineRule="exact"/>
        <w:ind w:firstLineChars="0"/>
        <w:textAlignment w:val="auto"/>
        <w:outlineLvl w:val="1"/>
        <w:rPr>
          <w:rStyle w:val="29"/>
          <w:rFonts w:ascii="黑体" w:hAnsi="黑体" w:eastAsia="黑体"/>
          <w:b w:val="0"/>
          <w:color w:val="auto"/>
          <w:highlight w:val="none"/>
        </w:rPr>
      </w:pPr>
      <w:bookmarkStart w:id="33" w:name="_Toc15396605"/>
      <w:bookmarkStart w:id="34" w:name="_Toc15377207"/>
      <w:bookmarkStart w:id="35" w:name="_Toc9556"/>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3"/>
      <w:bookmarkEnd w:id="34"/>
      <w:bookmarkEnd w:id="35"/>
    </w:p>
    <w:p>
      <w:pPr>
        <w:pageBreakBefore w:val="0"/>
        <w:kinsoku/>
        <w:wordWrap/>
        <w:overflowPunct/>
        <w:topLinePunct w:val="0"/>
        <w:bidi w:val="0"/>
        <w:spacing w:line="576" w:lineRule="exact"/>
        <w:ind w:firstLine="640" w:firstLineChars="200"/>
        <w:textAlignment w:val="auto"/>
        <w:outlineLvl w:val="9"/>
        <w:rPr>
          <w:rFonts w:ascii="仿宋" w:hAnsi="仿宋" w:eastAsia="仿宋"/>
          <w:color w:val="auto"/>
          <w:sz w:val="32"/>
          <w:szCs w:val="32"/>
          <w:highlight w:val="none"/>
        </w:rPr>
      </w:pPr>
      <w:bookmarkStart w:id="36" w:name="_Toc23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1016.40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3212.48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shd w:val="pct10" w:color="auto" w:fill="FFFFFF"/>
        </w:rPr>
      </w:pPr>
      <w:r>
        <w:rPr>
          <w:highlight w:val="none"/>
        </w:rPr>
        <w:drawing>
          <wp:anchor distT="0" distB="0" distL="114300" distR="114300" simplePos="0" relativeHeight="251661312" behindDoc="0" locked="0" layoutInCell="1" allowOverlap="1">
            <wp:simplePos x="0" y="0"/>
            <wp:positionH relativeFrom="column">
              <wp:posOffset>252095</wp:posOffset>
            </wp:positionH>
            <wp:positionV relativeFrom="paragraph">
              <wp:posOffset>272415</wp:posOffset>
            </wp:positionV>
            <wp:extent cx="3274695" cy="1973580"/>
            <wp:effectExtent l="4445" t="4445" r="16510" b="22225"/>
            <wp:wrapNone/>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pageBreakBefore w:val="0"/>
        <w:kinsoku/>
        <w:wordWrap/>
        <w:overflowPunct/>
        <w:topLinePunct w:val="0"/>
        <w:bidi w:val="0"/>
        <w:spacing w:line="576" w:lineRule="exact"/>
        <w:ind w:firstLine="640" w:firstLineChars="200"/>
        <w:textAlignment w:val="auto"/>
        <w:outlineLvl w:val="1"/>
        <w:rPr>
          <w:rStyle w:val="29"/>
          <w:rFonts w:ascii="黑体" w:hAnsi="黑体" w:eastAsia="黑体"/>
          <w:b w:val="0"/>
          <w:color w:val="auto"/>
          <w:highlight w:val="none"/>
        </w:rPr>
      </w:pPr>
      <w:bookmarkStart w:id="37" w:name="_Toc21548"/>
      <w:bookmarkStart w:id="38" w:name="_Toc15377208"/>
      <w:bookmarkStart w:id="39"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7"/>
      <w:bookmarkEnd w:id="38"/>
      <w:bookmarkEnd w:id="39"/>
    </w:p>
    <w:p>
      <w:pPr>
        <w:pageBreakBefore w:val="0"/>
        <w:kinsoku/>
        <w:wordWrap/>
        <w:overflowPunct/>
        <w:topLinePunct w:val="0"/>
        <w:bidi w:val="0"/>
        <w:spacing w:line="576" w:lineRule="exact"/>
        <w:ind w:firstLine="640"/>
        <w:textAlignment w:val="auto"/>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429.95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w:t>
      </w:r>
      <w:r>
        <w:rPr>
          <w:rFonts w:hint="eastAsia" w:ascii="仿宋" w:hAnsi="仿宋" w:eastAsia="仿宋"/>
          <w:color w:val="auto"/>
          <w:sz w:val="32"/>
          <w:szCs w:val="32"/>
          <w:highlight w:val="none"/>
        </w:rPr>
        <w:t>新增人员8人，人员经费</w:t>
      </w:r>
      <w:r>
        <w:rPr>
          <w:rFonts w:hint="eastAsia" w:ascii="仿宋" w:hAnsi="仿宋" w:eastAsia="仿宋"/>
          <w:color w:val="auto"/>
          <w:sz w:val="32"/>
          <w:szCs w:val="32"/>
          <w:highlight w:val="none"/>
          <w:lang w:eastAsia="zh-CN"/>
        </w:rPr>
        <w:t>和定额公用经费</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576" w:lineRule="exact"/>
        <w:textAlignment w:val="auto"/>
        <w:rPr>
          <w:rFonts w:ascii="仿宋" w:hAnsi="仿宋" w:eastAsia="仿宋"/>
          <w:color w:val="auto"/>
          <w:sz w:val="32"/>
          <w:szCs w:val="32"/>
          <w:highlight w:val="none"/>
        </w:rPr>
      </w:pPr>
      <w:r>
        <w:rPr>
          <w:highlight w:val="none"/>
        </w:rPr>
        <w:drawing>
          <wp:anchor distT="0" distB="0" distL="114300" distR="114300" simplePos="0" relativeHeight="251662336" behindDoc="0" locked="0" layoutInCell="1" allowOverlap="1">
            <wp:simplePos x="0" y="0"/>
            <wp:positionH relativeFrom="column">
              <wp:posOffset>270510</wp:posOffset>
            </wp:positionH>
            <wp:positionV relativeFrom="paragraph">
              <wp:posOffset>116205</wp:posOffset>
            </wp:positionV>
            <wp:extent cx="2950210" cy="1487170"/>
            <wp:effectExtent l="4445" t="4445" r="17145" b="13335"/>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Style w:val="5"/>
        <w:rPr>
          <w:rFonts w:hint="eastAsia"/>
          <w:highlight w:val="none"/>
        </w:rPr>
      </w:pPr>
    </w:p>
    <w:p>
      <w:pPr>
        <w:pageBreakBefore w:val="0"/>
        <w:kinsoku/>
        <w:wordWrap/>
        <w:overflowPunct/>
        <w:topLinePunct w:val="0"/>
        <w:bidi w:val="0"/>
        <w:spacing w:line="576" w:lineRule="exact"/>
        <w:ind w:firstLine="640" w:firstLineChars="200"/>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pageBreakBefore w:val="0"/>
        <w:kinsoku/>
        <w:wordWrap/>
        <w:overflowPunct/>
        <w:topLinePunct w:val="0"/>
        <w:bidi w:val="0"/>
        <w:spacing w:line="576" w:lineRule="exact"/>
        <w:ind w:firstLine="640" w:firstLineChars="200"/>
        <w:textAlignment w:val="auto"/>
        <w:outlineLvl w:val="1"/>
        <w:rPr>
          <w:rStyle w:val="29"/>
          <w:rFonts w:ascii="黑体" w:hAnsi="黑体" w:eastAsia="黑体"/>
          <w:b w:val="0"/>
          <w:color w:val="auto"/>
          <w:highlight w:val="none"/>
        </w:rPr>
      </w:pPr>
      <w:bookmarkStart w:id="40" w:name="_Toc15396607"/>
      <w:bookmarkStart w:id="41" w:name="_Toc15377209"/>
      <w:bookmarkStart w:id="42" w:name="_Toc69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40"/>
      <w:bookmarkEnd w:id="41"/>
      <w:bookmarkEnd w:id="42"/>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43" w:name="_Toc15377210"/>
      <w:bookmarkStart w:id="44" w:name="_Toc15674"/>
      <w:r>
        <w:rPr>
          <w:rFonts w:hint="eastAsia" w:ascii="黑体" w:hAnsi="黑体" w:eastAsia="黑体"/>
          <w:b w:val="0"/>
          <w:bCs/>
          <w:color w:val="auto"/>
          <w:sz w:val="32"/>
          <w:szCs w:val="32"/>
          <w:highlight w:val="none"/>
        </w:rPr>
        <w:t>（一）一般公共预算财政拨款支出决算总体情况</w:t>
      </w:r>
      <w:bookmarkEnd w:id="43"/>
      <w:bookmarkEnd w:id="44"/>
    </w:p>
    <w:p>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429.95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w:t>
      </w:r>
      <w:r>
        <w:rPr>
          <w:rFonts w:hint="eastAsia" w:ascii="仿宋" w:hAnsi="仿宋" w:eastAsia="仿宋"/>
          <w:color w:val="auto"/>
          <w:sz w:val="32"/>
          <w:szCs w:val="32"/>
          <w:highlight w:val="none"/>
        </w:rPr>
        <w:t>新增人员8人，人员经费</w:t>
      </w:r>
      <w:r>
        <w:rPr>
          <w:rFonts w:hint="eastAsia" w:ascii="仿宋" w:hAnsi="仿宋" w:eastAsia="仿宋"/>
          <w:color w:val="auto"/>
          <w:sz w:val="32"/>
          <w:szCs w:val="32"/>
          <w:highlight w:val="none"/>
          <w:lang w:eastAsia="zh-CN"/>
        </w:rPr>
        <w:t>和定额公用经费</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eastAsia="zh-CN"/>
        </w:rPr>
        <w:t>。</w:t>
      </w:r>
    </w:p>
    <w:p>
      <w:pPr>
        <w:pageBreakBefore w:val="0"/>
        <w:kinsoku/>
        <w:wordWrap/>
        <w:overflowPunct/>
        <w:topLinePunct w:val="0"/>
        <w:bidi w:val="0"/>
        <w:spacing w:line="576" w:lineRule="exact"/>
        <w:textAlignment w:val="auto"/>
        <w:rPr>
          <w:rFonts w:ascii="仿宋" w:hAnsi="仿宋" w:eastAsia="仿宋"/>
          <w:color w:val="auto"/>
          <w:sz w:val="32"/>
          <w:szCs w:val="32"/>
          <w:highlight w:val="none"/>
        </w:rPr>
      </w:pPr>
      <w:r>
        <w:rPr>
          <w:highlight w:val="none"/>
        </w:rPr>
        <w:drawing>
          <wp:anchor distT="0" distB="0" distL="114300" distR="114300" simplePos="0" relativeHeight="251663360" behindDoc="0" locked="0" layoutInCell="1" allowOverlap="1">
            <wp:simplePos x="0" y="0"/>
            <wp:positionH relativeFrom="column">
              <wp:posOffset>459105</wp:posOffset>
            </wp:positionH>
            <wp:positionV relativeFrom="paragraph">
              <wp:posOffset>361315</wp:posOffset>
            </wp:positionV>
            <wp:extent cx="2950210" cy="1487170"/>
            <wp:effectExtent l="4445" t="4445" r="17145" b="1333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bookmarkStart w:id="45" w:name="_Toc15377211"/>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46" w:name="_Toc5355"/>
      <w:r>
        <w:rPr>
          <w:rFonts w:hint="eastAsia" w:ascii="黑体" w:hAnsi="黑体" w:eastAsia="黑体"/>
          <w:b w:val="0"/>
          <w:bCs/>
          <w:color w:val="auto"/>
          <w:sz w:val="32"/>
          <w:szCs w:val="32"/>
          <w:highlight w:val="none"/>
        </w:rPr>
        <w:t>（二）一般公共预算财政拨款支出决算结构情况</w:t>
      </w:r>
      <w:bookmarkEnd w:id="45"/>
      <w:bookmarkEnd w:id="46"/>
    </w:p>
    <w:p>
      <w:pPr>
        <w:pageBreakBefore w:val="0"/>
        <w:kinsoku/>
        <w:wordWrap/>
        <w:overflowPunct/>
        <w:topLinePunct w:val="0"/>
        <w:bidi w:val="0"/>
        <w:spacing w:line="576" w:lineRule="exact"/>
        <w:ind w:firstLine="640"/>
        <w:textAlignment w:val="auto"/>
        <w:rPr>
          <w:rFonts w:hint="eastAsia" w:ascii="仿宋" w:hAnsi="仿宋" w:eastAsia="仿宋"/>
          <w:b w:val="0"/>
          <w:bCs w:val="0"/>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4228.88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社会保障和就业支出</w:t>
      </w:r>
      <w:r>
        <w:rPr>
          <w:rFonts w:hint="eastAsia" w:ascii="仿宋" w:hAnsi="仿宋" w:eastAsia="仿宋"/>
          <w:b w:val="0"/>
          <w:bCs/>
          <w:color w:val="auto"/>
          <w:sz w:val="32"/>
          <w:szCs w:val="32"/>
          <w:highlight w:val="none"/>
          <w:lang w:val="en-US" w:eastAsia="zh-CN"/>
        </w:rPr>
        <w:t>3763.76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44.24</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lang w:eastAsia="zh-CN"/>
        </w:rPr>
        <w:t>农村水支出</w:t>
      </w:r>
      <w:r>
        <w:rPr>
          <w:rFonts w:hint="eastAsia" w:ascii="仿宋" w:hAnsi="仿宋" w:eastAsia="仿宋"/>
          <w:b w:val="0"/>
          <w:bCs w:val="0"/>
          <w:color w:val="auto"/>
          <w:sz w:val="32"/>
          <w:szCs w:val="32"/>
          <w:highlight w:val="none"/>
          <w:lang w:val="en-US" w:eastAsia="zh-CN"/>
        </w:rPr>
        <w:t>342.88万元，占8%；</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77.99</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占</w:t>
      </w:r>
      <w:r>
        <w:rPr>
          <w:rFonts w:hint="eastAsia" w:ascii="仿宋" w:hAnsi="仿宋" w:eastAsia="仿宋"/>
          <w:b w:val="0"/>
          <w:bCs w:val="0"/>
          <w:color w:val="auto"/>
          <w:sz w:val="32"/>
          <w:szCs w:val="32"/>
          <w:highlight w:val="none"/>
          <w:lang w:val="en-US" w:eastAsia="zh-CN"/>
        </w:rPr>
        <w:t>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rPr>
          <w:highlight w:val="none"/>
        </w:rPr>
        <w:drawing>
          <wp:anchor distT="0" distB="0" distL="114300" distR="114300" simplePos="0" relativeHeight="251664384" behindDoc="0" locked="0" layoutInCell="1" allowOverlap="1">
            <wp:simplePos x="0" y="0"/>
            <wp:positionH relativeFrom="column">
              <wp:posOffset>433070</wp:posOffset>
            </wp:positionH>
            <wp:positionV relativeFrom="paragraph">
              <wp:posOffset>34925</wp:posOffset>
            </wp:positionV>
            <wp:extent cx="3397250" cy="1905635"/>
            <wp:effectExtent l="5080" t="4445" r="7620" b="1397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highlight w:val="none"/>
        </w:rPr>
      </w:pPr>
    </w:p>
    <w:p>
      <w:pPr>
        <w:pageBreakBefore w:val="0"/>
        <w:kinsoku/>
        <w:wordWrap/>
        <w:overflowPunct/>
        <w:topLinePunct w:val="0"/>
        <w:bidi w:val="0"/>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47" w:name="_Toc15377212"/>
      <w:bookmarkStart w:id="48" w:name="_Toc11065"/>
      <w:r>
        <w:rPr>
          <w:rFonts w:hint="eastAsia" w:ascii="黑体" w:hAnsi="黑体" w:eastAsia="黑体"/>
          <w:b w:val="0"/>
          <w:bCs/>
          <w:color w:val="auto"/>
          <w:sz w:val="32"/>
          <w:szCs w:val="32"/>
          <w:highlight w:val="none"/>
        </w:rPr>
        <w:t>（三）一般公共预算财政拨款支出决算具体情况</w:t>
      </w:r>
      <w:bookmarkEnd w:id="47"/>
      <w:bookmarkEnd w:id="48"/>
    </w:p>
    <w:p>
      <w:pPr>
        <w:pageBreakBefore w:val="0"/>
        <w:kinsoku/>
        <w:wordWrap/>
        <w:overflowPunct/>
        <w:topLinePunct w:val="0"/>
        <w:bidi w:val="0"/>
        <w:spacing w:line="576" w:lineRule="exact"/>
        <w:ind w:firstLine="643" w:firstLineChars="200"/>
        <w:textAlignment w:val="auto"/>
        <w:outlineLvl w:val="9"/>
        <w:rPr>
          <w:rFonts w:ascii="仿宋" w:hAnsi="仿宋" w:eastAsia="仿宋"/>
          <w:color w:val="auto"/>
          <w:sz w:val="32"/>
          <w:szCs w:val="32"/>
          <w:highlight w:val="none"/>
        </w:rPr>
      </w:pPr>
      <w:bookmarkStart w:id="49" w:name="_Toc15377444"/>
      <w:bookmarkStart w:id="50" w:name="_Toc15377213"/>
      <w:bookmarkStart w:id="51" w:name="_Toc15378460"/>
      <w:bookmarkStart w:id="52" w:name="_Toc21688"/>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4228.88万元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9"/>
      <w:bookmarkEnd w:id="50"/>
      <w:bookmarkEnd w:id="51"/>
      <w:bookmarkEnd w:id="52"/>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738.90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综合业务管理</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29.50万元，完成预算100%。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劳动保障监察</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19.50万元，完成预算100%。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就业管理事务</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69.50万元，完成预算100%。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信息化建设</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10万元，完成预算100%。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社会保险经办机构</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29.50万元，完成预算100%。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7.</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其他人力资源和社会保障管理事务支出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185.60万元，完成预算100%。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8.</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行政单位离退休</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46万元，完成预算100%。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9.</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机关事业单位基本养老保险缴费支出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98.14万元，完成预算100%。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10.</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机关事业单位职业年金缴费支出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11.12万元，完成预算100%。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就业补助</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就业创业服务补贴</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2526万元，完成预算100%。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12.卫生健康支出（类）行政事业单位医疗（款）行政单位医疗（项）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44.24万元万元，完成预算100%。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13.农村水支出（类）巩固脱贫衔接乡村振兴（款）其他巩固脱贫衔接乡村振兴支出（项）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221万元，完成预算100%。</w:t>
      </w:r>
    </w:p>
    <w:p>
      <w:pPr>
        <w:pageBreakBefore w:val="0"/>
        <w:kinsoku/>
        <w:wordWrap/>
        <w:overflowPunct/>
        <w:topLinePunct w:val="0"/>
        <w:bidi w:val="0"/>
        <w:spacing w:line="576" w:lineRule="exact"/>
        <w:ind w:firstLine="643" w:firstLineChars="200"/>
        <w:textAlignment w:val="auto"/>
        <w:rPr>
          <w:rStyle w:val="17"/>
          <w:rFonts w:hint="default"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14.农村水支出（类）普惠金融发展支出（款）创业担保贷款贴息及奖补（项）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121.88万元，完成预算100%。</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15.住房保障支出（类）住房改革支出（款）住房公积金（项）</w:t>
      </w:r>
      <w:r>
        <w:rPr>
          <w:rStyle w:val="17"/>
          <w:rFonts w:ascii="仿宋" w:hAnsi="仿宋" w:eastAsia="仿宋"/>
          <w:bCs/>
          <w:color w:val="auto"/>
          <w:sz w:val="32"/>
          <w:szCs w:val="32"/>
          <w:highlight w:val="none"/>
        </w:rPr>
        <w:t>:</w:t>
      </w:r>
      <w:r>
        <w:rPr>
          <w:rStyle w:val="17"/>
          <w:rFonts w:hint="eastAsia" w:ascii="仿宋" w:hAnsi="仿宋" w:eastAsia="仿宋"/>
          <w:b w:val="0"/>
          <w:bCs w:val="0"/>
          <w:color w:val="auto"/>
          <w:sz w:val="32"/>
          <w:szCs w:val="32"/>
          <w:highlight w:val="none"/>
          <w:lang w:eastAsia="zh-CN"/>
        </w:rPr>
        <w:t>支出决算为</w:t>
      </w:r>
      <w:r>
        <w:rPr>
          <w:rStyle w:val="17"/>
          <w:rFonts w:hint="eastAsia" w:ascii="仿宋" w:hAnsi="仿宋" w:eastAsia="仿宋"/>
          <w:b w:val="0"/>
          <w:bCs w:val="0"/>
          <w:color w:val="auto"/>
          <w:sz w:val="32"/>
          <w:szCs w:val="32"/>
          <w:highlight w:val="none"/>
          <w:lang w:val="en-US" w:eastAsia="zh-CN"/>
        </w:rPr>
        <w:t>77.99万元，完成预算100%。</w:t>
      </w:r>
    </w:p>
    <w:p>
      <w:pPr>
        <w:pageBreakBefore w:val="0"/>
        <w:tabs>
          <w:tab w:val="right" w:pos="8306"/>
        </w:tabs>
        <w:kinsoku/>
        <w:wordWrap/>
        <w:overflowPunct/>
        <w:topLinePunct w:val="0"/>
        <w:bidi w:val="0"/>
        <w:spacing w:line="576" w:lineRule="exact"/>
        <w:ind w:firstLine="640"/>
        <w:textAlignment w:val="auto"/>
        <w:outlineLvl w:val="1"/>
        <w:rPr>
          <w:rStyle w:val="29"/>
          <w:color w:val="auto"/>
          <w:highlight w:val="none"/>
        </w:rPr>
      </w:pPr>
      <w:bookmarkStart w:id="53" w:name="_Toc14176"/>
      <w:bookmarkStart w:id="54" w:name="_Toc15396608"/>
      <w:bookmarkStart w:id="5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53"/>
      <w:bookmarkEnd w:id="54"/>
      <w:bookmarkEnd w:id="55"/>
      <w:r>
        <w:rPr>
          <w:rStyle w:val="29"/>
          <w:rFonts w:ascii="黑体" w:hAnsi="黑体" w:eastAsia="黑体"/>
          <w:b w:val="0"/>
          <w:color w:val="auto"/>
          <w:highlight w:val="none"/>
        </w:rPr>
        <w:tab/>
      </w:r>
    </w:p>
    <w:p>
      <w:pPr>
        <w:pageBreakBefore w:val="0"/>
        <w:kinsoku/>
        <w:wordWrap/>
        <w:overflowPunct/>
        <w:topLinePunct w:val="0"/>
        <w:bidi w:val="0"/>
        <w:spacing w:line="576"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年一般公共预算财政拨款基本支出1016.4万元，其中：</w:t>
      </w:r>
    </w:p>
    <w:p>
      <w:pPr>
        <w:pageBreakBefore w:val="0"/>
        <w:kinsoku/>
        <w:wordWrap/>
        <w:overflowPunct/>
        <w:topLinePunct w:val="0"/>
        <w:bidi w:val="0"/>
        <w:spacing w:line="576" w:lineRule="exact"/>
        <w:ind w:firstLine="645"/>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885.86万元，主要包括：基本工资、津贴补贴、奖金、绩效工资、机关事业单位基本养老保险缴费、职业年金缴费、其他社会保障缴费、其他工资福利支出、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130.53万元，主要包括：办公费、印刷费、咨询费、手续费、水费、电费、邮电费、物业管理费、差旅费、维修（护）费、租赁费、会议费、培训费、公务接待费、劳务费、工会经费、其他交通费、税金及附加费用、其他商品和服务支出等。</w:t>
      </w:r>
    </w:p>
    <w:p>
      <w:pPr>
        <w:pageBreakBefore w:val="0"/>
        <w:kinsoku/>
        <w:wordWrap/>
        <w:overflowPunct/>
        <w:topLinePunct w:val="0"/>
        <w:bidi w:val="0"/>
        <w:spacing w:line="576" w:lineRule="exact"/>
        <w:ind w:firstLine="640"/>
        <w:textAlignment w:val="auto"/>
        <w:outlineLvl w:val="1"/>
        <w:rPr>
          <w:rStyle w:val="29"/>
          <w:rFonts w:ascii="黑体" w:hAnsi="黑体" w:eastAsia="黑体"/>
          <w:b w:val="0"/>
          <w:color w:val="auto"/>
          <w:highlight w:val="none"/>
        </w:rPr>
      </w:pPr>
      <w:bookmarkStart w:id="56" w:name="_Toc15377215"/>
      <w:bookmarkStart w:id="57" w:name="_Toc28714"/>
      <w:bookmarkStart w:id="58" w:name="_Toc15396609"/>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56"/>
      <w:bookmarkEnd w:id="57"/>
      <w:bookmarkEnd w:id="58"/>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59" w:name="_Toc15377216"/>
      <w:bookmarkStart w:id="60" w:name="_Toc3772"/>
      <w:r>
        <w:rPr>
          <w:rFonts w:hint="eastAsia" w:ascii="黑体" w:hAnsi="黑体" w:eastAsia="黑体"/>
          <w:b w:val="0"/>
          <w:bCs/>
          <w:color w:val="auto"/>
          <w:sz w:val="32"/>
          <w:szCs w:val="32"/>
          <w:highlight w:val="none"/>
        </w:rPr>
        <w:t>（一）“三公”经费财政拨款支出决算总体情况说明</w:t>
      </w:r>
      <w:bookmarkEnd w:id="59"/>
      <w:bookmarkEnd w:id="60"/>
    </w:p>
    <w:p>
      <w:pPr>
        <w:pageBreakBefore w:val="0"/>
        <w:kinsoku/>
        <w:wordWrap/>
        <w:overflowPunct/>
        <w:topLinePunct w:val="0"/>
        <w:bidi w:val="0"/>
        <w:spacing w:line="576"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年“三公”经费财政拨款支出决算为9.41万元，完成预算</w:t>
      </w:r>
      <w:r>
        <w:rPr>
          <w:rFonts w:hint="eastAsia" w:ascii="仿宋" w:hAnsi="仿宋" w:eastAsia="仿宋"/>
          <w:color w:val="auto"/>
          <w:sz w:val="32"/>
          <w:szCs w:val="32"/>
          <w:highlight w:val="none"/>
          <w:lang w:val="en-US" w:eastAsia="zh-CN"/>
        </w:rPr>
        <w:t>79.48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减少1.68万元，下降15.18%。</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2022</w:t>
      </w:r>
      <w:r>
        <w:rPr>
          <w:rFonts w:hint="eastAsia" w:ascii="Calibri" w:hAnsi="Calibri" w:eastAsia="仿宋_GB2312" w:cs="Times New Roman"/>
          <w:caps/>
          <w:kern w:val="2"/>
          <w:sz w:val="32"/>
          <w:szCs w:val="32"/>
          <w:highlight w:val="none"/>
          <w:lang w:val="en-US" w:eastAsia="zh-CN" w:bidi="ar-SA"/>
        </w:rPr>
        <w:t>年响应政府“关于过紧日子十条措施”和单位科学管理所致。</w:t>
      </w: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61" w:name="_Toc30250"/>
      <w:bookmarkStart w:id="62" w:name="_Toc15377217"/>
      <w:r>
        <w:rPr>
          <w:rFonts w:hint="eastAsia" w:ascii="黑体" w:hAnsi="黑体" w:eastAsia="黑体"/>
          <w:b w:val="0"/>
          <w:bCs/>
          <w:color w:val="auto"/>
          <w:sz w:val="32"/>
          <w:szCs w:val="32"/>
          <w:highlight w:val="none"/>
        </w:rPr>
        <w:t>（二）“三公”经费财政拨款支出决算具体情况说明</w:t>
      </w:r>
      <w:bookmarkEnd w:id="61"/>
      <w:bookmarkEnd w:id="62"/>
    </w:p>
    <w:p>
      <w:pPr>
        <w:pageBreakBefore w:val="0"/>
        <w:kinsoku/>
        <w:wordWrap/>
        <w:overflowPunct/>
        <w:topLinePunct w:val="0"/>
        <w:bidi w:val="0"/>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年“三公”经费财政拨款支出决算中，公务接待费支出决算</w:t>
      </w:r>
      <w:r>
        <w:rPr>
          <w:rFonts w:hint="eastAsia" w:ascii="仿宋" w:hAnsi="仿宋" w:eastAsia="仿宋"/>
          <w:color w:val="auto"/>
          <w:sz w:val="32"/>
          <w:szCs w:val="32"/>
          <w:highlight w:val="none"/>
          <w:lang w:val="en-US" w:eastAsia="zh-CN"/>
        </w:rPr>
        <w:t>9.41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rPr>
          <w:rFonts w:hint="eastAsia" w:ascii="仿宋" w:hAnsi="仿宋" w:eastAsia="仿宋"/>
          <w:color w:val="auto"/>
          <w:sz w:val="32"/>
          <w:szCs w:val="32"/>
          <w:highlight w:val="none"/>
        </w:rPr>
      </w:pPr>
      <w:r>
        <w:rPr>
          <w:highlight w:val="none"/>
        </w:rPr>
        <w:drawing>
          <wp:anchor distT="0" distB="0" distL="114300" distR="114300" simplePos="0" relativeHeight="251665408" behindDoc="0" locked="0" layoutInCell="1" allowOverlap="1">
            <wp:simplePos x="0" y="0"/>
            <wp:positionH relativeFrom="column">
              <wp:posOffset>154305</wp:posOffset>
            </wp:positionH>
            <wp:positionV relativeFrom="paragraph">
              <wp:posOffset>83185</wp:posOffset>
            </wp:positionV>
            <wp:extent cx="2855595" cy="1457960"/>
            <wp:effectExtent l="4445" t="4445" r="16510" b="23495"/>
            <wp:wrapNone/>
            <wp:docPr id="1067"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rPr>
          <w:rFonts w:hint="eastAsia" w:ascii="仿宋" w:hAnsi="仿宋" w:eastAsia="仿宋"/>
          <w:color w:val="auto"/>
          <w:sz w:val="32"/>
          <w:szCs w:val="32"/>
          <w:highlight w:val="none"/>
        </w:rPr>
      </w:pPr>
    </w:p>
    <w:p>
      <w:pPr>
        <w:pStyle w:val="5"/>
        <w:rPr>
          <w:rFonts w:hint="eastAsia" w:ascii="仿宋" w:hAnsi="仿宋" w:eastAsia="仿宋"/>
          <w:color w:val="auto"/>
          <w:sz w:val="32"/>
          <w:szCs w:val="32"/>
          <w:highlight w:val="none"/>
        </w:rPr>
      </w:pPr>
    </w:p>
    <w:p>
      <w:pPr>
        <w:rPr>
          <w:rFonts w:hint="eastAsia"/>
          <w:highlight w:val="none"/>
        </w:rPr>
      </w:pPr>
    </w:p>
    <w:p>
      <w:pPr>
        <w:pageBreakBefore w:val="0"/>
        <w:kinsoku/>
        <w:wordWrap/>
        <w:overflowPunct/>
        <w:topLinePunct w:val="0"/>
        <w:bidi w:val="0"/>
        <w:spacing w:line="576" w:lineRule="exac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numPr>
          <w:ilvl w:val="0"/>
          <w:numId w:val="0"/>
        </w:numPr>
        <w:spacing w:line="600" w:lineRule="exact"/>
        <w:ind w:firstLine="643" w:firstLineChars="200"/>
        <w:rPr>
          <w:rFonts w:ascii="仿宋_GB2312" w:eastAsia="仿宋_GB2312"/>
          <w:b/>
          <w:color w:val="auto"/>
          <w:sz w:val="32"/>
          <w:szCs w:val="32"/>
          <w:highlight w:val="none"/>
        </w:rPr>
      </w:pPr>
      <w:bookmarkStart w:id="63" w:name="_Toc15396610"/>
      <w:bookmarkStart w:id="64" w:name="_Toc15377218"/>
      <w:r>
        <w:rPr>
          <w:rFonts w:ascii="仿宋_GB2312" w:eastAsia="仿宋_GB2312"/>
          <w:b/>
          <w:color w:val="auto"/>
          <w:sz w:val="32"/>
          <w:szCs w:val="32"/>
          <w:highlight w:val="none"/>
        </w:rPr>
        <w:t>1.</w:t>
      </w:r>
      <w:r>
        <w:rPr>
          <w:rFonts w:hint="eastAsia" w:ascii="仿宋_GB2312" w:eastAsia="仿宋_GB2312"/>
          <w:b/>
          <w:color w:val="000000"/>
          <w:sz w:val="32"/>
          <w:szCs w:val="32"/>
          <w:highlight w:val="none"/>
        </w:rPr>
        <w:t>因公出国（境）经费支出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7"/>
          <w:rFonts w:hint="eastAsia" w:ascii="仿宋" w:hAnsi="仿宋" w:eastAsia="仿宋"/>
          <w:b w:val="0"/>
          <w:bCs/>
          <w:color w:val="000000"/>
          <w:sz w:val="32"/>
          <w:szCs w:val="32"/>
          <w:highlight w:val="none"/>
          <w:lang w:eastAsia="zh-CN"/>
        </w:rPr>
        <w:t>年初未安排预算</w:t>
      </w:r>
      <w:r>
        <w:rPr>
          <w:rFonts w:hint="eastAsia" w:ascii="仿宋_GB2312" w:eastAsia="仿宋_GB2312"/>
          <w:color w:val="000000"/>
          <w:sz w:val="32"/>
          <w:szCs w:val="32"/>
          <w:highlight w:val="none"/>
          <w:lang w:eastAsia="zh-CN"/>
        </w:rPr>
        <w:t>。</w:t>
      </w:r>
    </w:p>
    <w:p>
      <w:pPr>
        <w:pageBreakBefore w:val="0"/>
        <w:kinsoku/>
        <w:wordWrap/>
        <w:overflowPunct/>
        <w:topLinePunct w:val="0"/>
        <w:bidi w:val="0"/>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Fonts w:ascii="仿宋_GB2312" w:eastAsia="仿宋_GB2312"/>
          <w:color w:val="000000"/>
          <w:sz w:val="32"/>
          <w:szCs w:val="32"/>
          <w:highlight w:val="none"/>
        </w:rPr>
        <w:t>,</w:t>
      </w:r>
      <w:r>
        <w:rPr>
          <w:rStyle w:val="17"/>
          <w:rFonts w:hint="eastAsia" w:ascii="仿宋" w:hAnsi="仿宋" w:eastAsia="仿宋"/>
          <w:b w:val="0"/>
          <w:bCs/>
          <w:color w:val="000000"/>
          <w:sz w:val="32"/>
          <w:szCs w:val="32"/>
          <w:highlight w:val="none"/>
          <w:lang w:eastAsia="zh-CN"/>
        </w:rPr>
        <w:t>年初未安排预算</w:t>
      </w:r>
      <w:r>
        <w:rPr>
          <w:rFonts w:hint="eastAsia" w:ascii="仿宋_GB2312" w:eastAsia="仿宋_GB2312"/>
          <w:color w:val="000000"/>
          <w:sz w:val="32"/>
          <w:szCs w:val="32"/>
          <w:highlight w:val="none"/>
          <w:lang w:val="en-US" w:eastAsia="zh-CN"/>
        </w:rPr>
        <w:t>。</w:t>
      </w:r>
    </w:p>
    <w:p>
      <w:pPr>
        <w:spacing w:line="600" w:lineRule="exact"/>
        <w:ind w:firstLine="640" w:firstLineChars="200"/>
        <w:rPr>
          <w:rFonts w:ascii="仿宋_GB2312" w:eastAsia="仿宋_GB2312"/>
          <w:b/>
          <w:color w:val="000000"/>
          <w:sz w:val="32"/>
          <w:szCs w:val="32"/>
          <w:highlight w:val="none"/>
        </w:rPr>
      </w:pPr>
      <w:r>
        <w:rPr>
          <w:rFonts w:hint="eastAsia" w:ascii="仿宋_GB2312" w:eastAsia="仿宋_GB2312"/>
          <w:color w:val="000000"/>
          <w:sz w:val="32"/>
          <w:szCs w:val="32"/>
          <w:highlight w:val="none"/>
        </w:rPr>
        <w:t>其中：</w:t>
      </w:r>
      <w:r>
        <w:rPr>
          <w:rFonts w:hint="eastAsia" w:ascii="仿宋_GB2312" w:eastAsia="仿宋_GB2312"/>
          <w:b/>
          <w:color w:val="000000"/>
          <w:sz w:val="32"/>
          <w:szCs w:val="32"/>
          <w:highlight w:val="none"/>
        </w:rPr>
        <w:t>公务用车购置支出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Style w:val="17"/>
          <w:rFonts w:hint="eastAsia" w:ascii="仿宋" w:hAnsi="仿宋" w:eastAsia="仿宋"/>
          <w:b w:val="0"/>
          <w:bCs/>
          <w:color w:val="000000"/>
          <w:sz w:val="32"/>
          <w:szCs w:val="32"/>
          <w:highlight w:val="none"/>
          <w:lang w:eastAsia="zh-CN"/>
        </w:rPr>
        <w:t>年初未安排预算</w:t>
      </w:r>
      <w:r>
        <w:rPr>
          <w:rFonts w:hint="eastAsia" w:ascii="仿宋_GB2312" w:eastAsia="仿宋_GB2312"/>
          <w:color w:val="000000"/>
          <w:sz w:val="32"/>
          <w:szCs w:val="32"/>
          <w:highlight w:val="none"/>
        </w:rPr>
        <w:t>。</w:t>
      </w:r>
    </w:p>
    <w:p>
      <w:pPr>
        <w:spacing w:line="600" w:lineRule="exact"/>
        <w:ind w:firstLine="640"/>
        <w:rPr>
          <w:rFonts w:hint="eastAsia"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Style w:val="17"/>
          <w:rFonts w:hint="eastAsia" w:ascii="仿宋" w:hAnsi="仿宋" w:eastAsia="仿宋"/>
          <w:b w:val="0"/>
          <w:bCs/>
          <w:color w:val="000000"/>
          <w:sz w:val="32"/>
          <w:szCs w:val="32"/>
          <w:highlight w:val="none"/>
          <w:lang w:eastAsia="zh-CN"/>
        </w:rPr>
        <w:t>年初未安排预算</w:t>
      </w:r>
      <w:r>
        <w:rPr>
          <w:rFonts w:hint="eastAsia" w:ascii="仿宋_GB2312" w:eastAsia="仿宋_GB2312"/>
          <w:color w:val="000000"/>
          <w:sz w:val="32"/>
          <w:szCs w:val="32"/>
          <w:highlight w:val="none"/>
        </w:rPr>
        <w:t>。</w:t>
      </w:r>
    </w:p>
    <w:p>
      <w:pPr>
        <w:spacing w:line="600" w:lineRule="exact"/>
        <w:ind w:firstLine="640"/>
        <w:rPr>
          <w:rFonts w:ascii="仿宋_GB2312" w:eastAsia="仿宋_GB2312"/>
          <w:color w:val="000000"/>
          <w:sz w:val="32"/>
          <w:szCs w:val="32"/>
          <w:highlight w:val="none"/>
        </w:rPr>
      </w:pPr>
      <w:r>
        <w:rPr>
          <w:rFonts w:ascii="仿宋_GB2312" w:eastAsia="仿宋_GB2312"/>
          <w:b/>
          <w:color w:val="000000"/>
          <w:sz w:val="32"/>
          <w:szCs w:val="32"/>
          <w:highlight w:val="none"/>
        </w:rPr>
        <w:t>3.</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9.41</w:t>
      </w:r>
      <w:r>
        <w:rPr>
          <w:rFonts w:hint="eastAsia" w:ascii="仿宋_GB2312" w:eastAsia="仿宋_GB2312"/>
          <w:color w:val="000000"/>
          <w:sz w:val="32"/>
          <w:szCs w:val="32"/>
          <w:highlight w:val="none"/>
        </w:rPr>
        <w:t>万元，</w:t>
      </w:r>
      <w:r>
        <w:rPr>
          <w:rStyle w:val="17"/>
          <w:rFonts w:hint="eastAsia" w:ascii="仿宋" w:hAnsi="仿宋" w:eastAsia="仿宋"/>
          <w:b w:val="0"/>
          <w:bCs/>
          <w:color w:val="000000"/>
          <w:sz w:val="32"/>
          <w:szCs w:val="32"/>
          <w:highlight w:val="none"/>
        </w:rPr>
        <w:t>完成预算</w:t>
      </w:r>
      <w:r>
        <w:rPr>
          <w:rStyle w:val="17"/>
          <w:rFonts w:hint="eastAsia" w:ascii="仿宋" w:hAnsi="仿宋" w:eastAsia="仿宋"/>
          <w:b w:val="0"/>
          <w:bCs/>
          <w:color w:val="000000"/>
          <w:sz w:val="32"/>
          <w:szCs w:val="32"/>
          <w:highlight w:val="none"/>
          <w:lang w:val="en-US" w:eastAsia="zh-CN"/>
        </w:rPr>
        <w:t>79.48</w:t>
      </w:r>
      <w:r>
        <w:rPr>
          <w:rStyle w:val="17"/>
          <w:rFonts w:ascii="仿宋" w:hAnsi="仿宋" w:eastAsia="仿宋"/>
          <w:b w:val="0"/>
          <w:bCs/>
          <w:color w:val="000000"/>
          <w:sz w:val="32"/>
          <w:szCs w:val="32"/>
          <w:highlight w:val="none"/>
        </w:rPr>
        <w:t>%</w:t>
      </w:r>
      <w:r>
        <w:rPr>
          <w:rStyle w:val="17"/>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hint="eastAsia" w:ascii="仿宋_GB2312" w:eastAsia="仿宋_GB2312"/>
          <w:color w:val="000000"/>
          <w:sz w:val="32"/>
          <w:szCs w:val="32"/>
          <w:highlight w:val="none"/>
          <w:lang w:eastAsia="zh-CN"/>
        </w:rPr>
        <w:t>2021年</w:t>
      </w:r>
      <w:r>
        <w:rPr>
          <w:rFonts w:hint="eastAsia" w:ascii="仿宋_GB2312" w:eastAsia="仿宋_GB2312"/>
          <w:color w:val="000000"/>
          <w:sz w:val="32"/>
          <w:szCs w:val="32"/>
          <w:highlight w:val="none"/>
        </w:rPr>
        <w:t>减少</w:t>
      </w:r>
      <w:r>
        <w:rPr>
          <w:rFonts w:hint="eastAsia" w:ascii="仿宋_GB2312" w:eastAsia="仿宋_GB2312"/>
          <w:color w:val="000000"/>
          <w:sz w:val="32"/>
          <w:szCs w:val="32"/>
          <w:highlight w:val="none"/>
          <w:lang w:val="en-US" w:eastAsia="zh-CN"/>
        </w:rPr>
        <w:t>1.68</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15.18</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eastAsia="仿宋_GB2312"/>
          <w:color w:val="000000"/>
          <w:kern w:val="0"/>
          <w:sz w:val="32"/>
          <w:szCs w:val="32"/>
          <w:highlight w:val="none"/>
        </w:rPr>
        <w:t>我局继续认真贯彻落实中央八项规定及省委省政府十项规定要求，厉行节约，从严控制“三公”经费支出</w:t>
      </w:r>
      <w:r>
        <w:rPr>
          <w:rFonts w:hint="eastAsia" w:ascii="仿宋_GB2312" w:eastAsia="仿宋_GB2312"/>
          <w:color w:val="000000"/>
          <w:sz w:val="32"/>
          <w:szCs w:val="32"/>
          <w:highlight w:val="none"/>
        </w:rPr>
        <w:t>。其中：</w:t>
      </w:r>
    </w:p>
    <w:p>
      <w:pPr>
        <w:spacing w:line="576" w:lineRule="exact"/>
        <w:ind w:firstLine="643" w:firstLineChars="200"/>
        <w:rPr>
          <w:highlight w:val="none"/>
        </w:rPr>
      </w:pPr>
      <w:r>
        <w:rPr>
          <w:rFonts w:hint="eastAsia" w:ascii="仿宋" w:hAnsi="仿宋" w:eastAsia="仿宋"/>
          <w:b/>
          <w:color w:val="000000"/>
          <w:sz w:val="32"/>
          <w:szCs w:val="32"/>
          <w:highlight w:val="none"/>
        </w:rPr>
        <w:t>国内公务接待支出</w:t>
      </w:r>
      <w:r>
        <w:rPr>
          <w:rFonts w:hint="eastAsia" w:ascii="仿宋" w:hAnsi="仿宋" w:eastAsia="仿宋"/>
          <w:color w:val="000000"/>
          <w:sz w:val="32"/>
          <w:szCs w:val="32"/>
          <w:highlight w:val="none"/>
          <w:lang w:val="en-US" w:eastAsia="zh-CN"/>
        </w:rPr>
        <w:t>9.41</w:t>
      </w:r>
      <w:r>
        <w:rPr>
          <w:rFonts w:hint="eastAsia" w:ascii="仿宋_GB2312" w:eastAsia="仿宋_GB2312"/>
          <w:color w:val="000000"/>
          <w:sz w:val="32"/>
          <w:szCs w:val="32"/>
          <w:highlight w:val="none"/>
        </w:rPr>
        <w:t>万元，主要用于</w:t>
      </w:r>
      <w:r>
        <w:rPr>
          <w:rFonts w:eastAsia="仿宋_GB2312"/>
          <w:color w:val="000000"/>
          <w:kern w:val="0"/>
          <w:sz w:val="32"/>
          <w:szCs w:val="32"/>
          <w:highlight w:val="none"/>
        </w:rPr>
        <w:t>执行公务、开展业务活动开支的交通费、住宿费、用餐费等。国内公务接待</w:t>
      </w:r>
      <w:r>
        <w:rPr>
          <w:rFonts w:hint="eastAsia" w:eastAsia="仿宋_GB2312"/>
          <w:color w:val="000000"/>
          <w:kern w:val="0"/>
          <w:sz w:val="32"/>
          <w:szCs w:val="32"/>
          <w:highlight w:val="none"/>
          <w:lang w:val="en-US" w:eastAsia="zh-CN"/>
        </w:rPr>
        <w:t>80</w:t>
      </w:r>
      <w:r>
        <w:rPr>
          <w:rFonts w:eastAsia="仿宋_GB2312"/>
          <w:color w:val="000000"/>
          <w:kern w:val="0"/>
          <w:sz w:val="32"/>
          <w:szCs w:val="32"/>
          <w:highlight w:val="none"/>
        </w:rPr>
        <w:t>批次，</w:t>
      </w:r>
      <w:r>
        <w:rPr>
          <w:rFonts w:hint="eastAsia" w:eastAsia="仿宋_GB2312"/>
          <w:color w:val="000000"/>
          <w:kern w:val="0"/>
          <w:sz w:val="32"/>
          <w:szCs w:val="32"/>
          <w:highlight w:val="none"/>
          <w:lang w:val="en-US" w:eastAsia="zh-CN"/>
        </w:rPr>
        <w:t>855</w:t>
      </w:r>
      <w:r>
        <w:rPr>
          <w:rFonts w:eastAsia="仿宋_GB2312"/>
          <w:color w:val="000000"/>
          <w:kern w:val="0"/>
          <w:sz w:val="32"/>
          <w:szCs w:val="32"/>
          <w:highlight w:val="none"/>
        </w:rPr>
        <w:t>人次（不包括陪同人员），共计支出</w:t>
      </w:r>
      <w:r>
        <w:rPr>
          <w:rFonts w:hint="eastAsia" w:eastAsia="仿宋_GB2312"/>
          <w:color w:val="000000"/>
          <w:kern w:val="0"/>
          <w:sz w:val="32"/>
          <w:szCs w:val="32"/>
          <w:highlight w:val="none"/>
          <w:lang w:val="en-US" w:eastAsia="zh-CN"/>
        </w:rPr>
        <w:t>9.41</w:t>
      </w:r>
      <w:r>
        <w:rPr>
          <w:rFonts w:eastAsia="仿宋_GB2312"/>
          <w:color w:val="000000"/>
          <w:kern w:val="0"/>
          <w:sz w:val="32"/>
          <w:szCs w:val="32"/>
          <w:highlight w:val="none"/>
        </w:rPr>
        <w:t>万元，具体内容包括：东西部扶贫协作调研、</w:t>
      </w:r>
      <w:r>
        <w:rPr>
          <w:rFonts w:hint="eastAsia" w:eastAsia="仿宋_GB2312"/>
          <w:color w:val="000000"/>
          <w:kern w:val="0"/>
          <w:sz w:val="32"/>
          <w:szCs w:val="32"/>
          <w:highlight w:val="none"/>
          <w:lang w:eastAsia="zh-CN"/>
        </w:rPr>
        <w:t>人社领域基本公共服务标准化建设试点工作</w:t>
      </w:r>
      <w:r>
        <w:rPr>
          <w:rFonts w:hint="eastAsia" w:eastAsia="仿宋_GB2312"/>
          <w:color w:val="000000"/>
          <w:kern w:val="0"/>
          <w:sz w:val="32"/>
          <w:szCs w:val="32"/>
          <w:highlight w:val="none"/>
        </w:rPr>
        <w:t>、</w:t>
      </w:r>
      <w:r>
        <w:rPr>
          <w:rFonts w:eastAsia="仿宋_GB2312"/>
          <w:color w:val="000000"/>
          <w:kern w:val="0"/>
          <w:sz w:val="32"/>
          <w:szCs w:val="32"/>
          <w:highlight w:val="none"/>
        </w:rPr>
        <w:t>业务学习交流等。</w:t>
      </w:r>
    </w:p>
    <w:p>
      <w:pPr>
        <w:pageBreakBefore w:val="0"/>
        <w:kinsoku/>
        <w:wordWrap/>
        <w:overflowPunct/>
        <w:topLinePunct w:val="0"/>
        <w:bidi w:val="0"/>
        <w:spacing w:line="576" w:lineRule="exact"/>
        <w:ind w:firstLine="640"/>
        <w:textAlignment w:val="auto"/>
        <w:outlineLvl w:val="1"/>
        <w:rPr>
          <w:rStyle w:val="29"/>
          <w:rFonts w:ascii="黑体" w:hAnsi="黑体" w:eastAsia="黑体"/>
          <w:color w:val="auto"/>
          <w:highlight w:val="none"/>
        </w:rPr>
      </w:pPr>
      <w:bookmarkStart w:id="65" w:name="_Toc23717"/>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63"/>
      <w:bookmarkEnd w:id="64"/>
      <w:bookmarkEnd w:id="65"/>
    </w:p>
    <w:p>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76" w:lineRule="exact"/>
        <w:ind w:firstLine="640"/>
        <w:textAlignment w:val="auto"/>
        <w:rPr>
          <w:rFonts w:ascii="仿宋_GB2312" w:eastAsia="仿宋_GB2312"/>
          <w:color w:val="auto"/>
          <w:sz w:val="32"/>
          <w:szCs w:val="32"/>
          <w:highlight w:val="none"/>
        </w:rPr>
      </w:pPr>
    </w:p>
    <w:p>
      <w:pPr>
        <w:pageBreakBefore w:val="0"/>
        <w:numPr>
          <w:ilvl w:val="0"/>
          <w:numId w:val="3"/>
        </w:numPr>
        <w:kinsoku/>
        <w:wordWrap/>
        <w:overflowPunct/>
        <w:topLinePunct w:val="0"/>
        <w:bidi w:val="0"/>
        <w:spacing w:line="576" w:lineRule="exact"/>
        <w:ind w:firstLine="640"/>
        <w:textAlignment w:val="auto"/>
        <w:outlineLvl w:val="1"/>
        <w:rPr>
          <w:rStyle w:val="29"/>
          <w:rFonts w:ascii="黑体" w:hAnsi="黑体" w:eastAsia="黑体"/>
          <w:b w:val="0"/>
          <w:color w:val="auto"/>
          <w:highlight w:val="none"/>
        </w:rPr>
      </w:pPr>
      <w:bookmarkStart w:id="66" w:name="_Toc15396611"/>
      <w:bookmarkStart w:id="67" w:name="_Toc24661"/>
      <w:bookmarkStart w:id="68" w:name="_Toc15377219"/>
      <w:r>
        <w:rPr>
          <w:rStyle w:val="29"/>
          <w:rFonts w:hint="eastAsia" w:ascii="黑体" w:hAnsi="黑体" w:eastAsia="黑体"/>
          <w:b w:val="0"/>
          <w:color w:val="auto"/>
          <w:highlight w:val="none"/>
        </w:rPr>
        <w:t>国有资本经营预算支出决算情况说明</w:t>
      </w:r>
      <w:bookmarkEnd w:id="66"/>
      <w:bookmarkEnd w:id="67"/>
      <w:bookmarkEnd w:id="68"/>
    </w:p>
    <w:p>
      <w:pPr>
        <w:pageBreakBefore w:val="0"/>
        <w:kinsoku/>
        <w:wordWrap/>
        <w:overflowPunct/>
        <w:topLinePunct w:val="0"/>
        <w:bidi w:val="0"/>
        <w:spacing w:line="576" w:lineRule="exact"/>
        <w:ind w:firstLine="640"/>
        <w:textAlignment w:val="auto"/>
        <w:rPr>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3"/>
        </w:numPr>
        <w:kinsoku/>
        <w:wordWrap/>
        <w:overflowPunct/>
        <w:topLinePunct w:val="0"/>
        <w:bidi w:val="0"/>
        <w:spacing w:line="576" w:lineRule="exact"/>
        <w:ind w:firstLine="640"/>
        <w:textAlignment w:val="auto"/>
        <w:outlineLvl w:val="1"/>
        <w:rPr>
          <w:rStyle w:val="29"/>
          <w:rFonts w:hint="eastAsia" w:ascii="黑体" w:hAnsi="黑体" w:eastAsia="黑体"/>
          <w:b w:val="0"/>
          <w:color w:val="auto"/>
          <w:highlight w:val="none"/>
        </w:rPr>
      </w:pPr>
      <w:bookmarkStart w:id="69" w:name="_Toc15377221"/>
      <w:bookmarkStart w:id="70" w:name="_Toc18317"/>
      <w:bookmarkStart w:id="71" w:name="_Toc15396612"/>
      <w:r>
        <w:rPr>
          <w:rStyle w:val="29"/>
          <w:rFonts w:hint="eastAsia" w:ascii="黑体" w:hAnsi="黑体" w:eastAsia="黑体"/>
          <w:b w:val="0"/>
          <w:color w:val="auto"/>
          <w:highlight w:val="none"/>
        </w:rPr>
        <w:t>其他重要事项的情况说明</w:t>
      </w:r>
      <w:bookmarkEnd w:id="69"/>
      <w:bookmarkEnd w:id="70"/>
      <w:bookmarkEnd w:id="71"/>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72" w:name="_Toc13306"/>
      <w:bookmarkStart w:id="73" w:name="_Toc15377222"/>
      <w:r>
        <w:rPr>
          <w:rFonts w:hint="eastAsia" w:ascii="黑体" w:hAnsi="黑体" w:eastAsia="黑体"/>
          <w:b w:val="0"/>
          <w:bCs/>
          <w:color w:val="auto"/>
          <w:sz w:val="32"/>
          <w:szCs w:val="32"/>
          <w:highlight w:val="none"/>
        </w:rPr>
        <w:t>（一）机关运行经费支出情况</w:t>
      </w:r>
      <w:bookmarkEnd w:id="72"/>
      <w:bookmarkEnd w:id="73"/>
    </w:p>
    <w:p>
      <w:pPr>
        <w:pageBreakBefore w:val="0"/>
        <w:kinsoku/>
        <w:wordWrap/>
        <w:overflowPunct/>
        <w:topLinePunct w:val="0"/>
        <w:bidi w:val="0"/>
        <w:spacing w:line="576" w:lineRule="exact"/>
        <w:ind w:firstLine="640" w:firstLineChars="200"/>
        <w:textAlignment w:val="auto"/>
        <w:rPr>
          <w:rFonts w:ascii="仿宋" w:hAnsi="仿宋" w:eastAsia="仿宋"/>
          <w:b/>
          <w:color w:val="auto"/>
          <w:sz w:val="32"/>
          <w:szCs w:val="32"/>
          <w:highlight w:val="none"/>
        </w:rPr>
      </w:pPr>
      <w:r>
        <w:rPr>
          <w:rFonts w:hint="eastAsia" w:ascii="仿宋_GB2312" w:eastAsia="仿宋_GB2312"/>
          <w:color w:val="000000"/>
          <w:sz w:val="32"/>
          <w:szCs w:val="32"/>
          <w:highlight w:val="none"/>
          <w:lang w:eastAsia="zh-CN"/>
        </w:rPr>
        <w:t>2022年</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区社局</w:t>
      </w:r>
      <w:r>
        <w:rPr>
          <w:rFonts w:hint="eastAsia" w:ascii="仿宋_GB2312" w:eastAsia="仿宋_GB2312"/>
          <w:color w:val="000000"/>
          <w:sz w:val="32"/>
          <w:szCs w:val="32"/>
          <w:highlight w:val="none"/>
        </w:rPr>
        <w:t>机关运行经费支出</w:t>
      </w:r>
      <w:r>
        <w:rPr>
          <w:rFonts w:hint="eastAsia" w:ascii="仿宋_GB2312" w:eastAsia="仿宋_GB2312"/>
          <w:color w:val="000000"/>
          <w:sz w:val="32"/>
          <w:szCs w:val="32"/>
          <w:highlight w:val="none"/>
          <w:lang w:val="en-US" w:eastAsia="zh-CN"/>
        </w:rPr>
        <w:t>335</w:t>
      </w:r>
      <w:r>
        <w:rPr>
          <w:rFonts w:hint="eastAsia" w:ascii="仿宋_GB2312" w:eastAsia="仿宋_GB2312"/>
          <w:color w:val="000000"/>
          <w:sz w:val="32"/>
          <w:szCs w:val="32"/>
          <w:highlight w:val="none"/>
        </w:rPr>
        <w:t>万元，比</w:t>
      </w:r>
      <w:r>
        <w:rPr>
          <w:rFonts w:hint="eastAsia" w:ascii="仿宋_GB2312" w:eastAsia="仿宋_GB2312"/>
          <w:color w:val="000000"/>
          <w:sz w:val="32"/>
          <w:szCs w:val="32"/>
          <w:highlight w:val="none"/>
          <w:lang w:eastAsia="zh-CN"/>
        </w:rPr>
        <w:t>2021年</w:t>
      </w:r>
      <w:r>
        <w:rPr>
          <w:rFonts w:hint="eastAsia" w:ascii="仿宋_GB2312" w:eastAsia="仿宋_GB2312"/>
          <w:color w:val="000000"/>
          <w:sz w:val="32"/>
          <w:szCs w:val="32"/>
          <w:highlight w:val="none"/>
        </w:rPr>
        <w:t>增加</w:t>
      </w:r>
      <w:r>
        <w:rPr>
          <w:rFonts w:hint="eastAsia" w:ascii="仿宋_GB2312" w:eastAsia="仿宋_GB2312"/>
          <w:color w:val="000000"/>
          <w:sz w:val="32"/>
          <w:szCs w:val="32"/>
          <w:highlight w:val="none"/>
          <w:lang w:val="en-US" w:eastAsia="zh-CN"/>
        </w:rPr>
        <w:t>90.96</w:t>
      </w:r>
      <w:r>
        <w:rPr>
          <w:rFonts w:hint="eastAsia" w:ascii="仿宋_GB2312" w:eastAsia="仿宋_GB2312"/>
          <w:color w:val="000000"/>
          <w:sz w:val="32"/>
          <w:szCs w:val="32"/>
          <w:highlight w:val="none"/>
        </w:rPr>
        <w:t>万元，增长</w:t>
      </w:r>
      <w:r>
        <w:rPr>
          <w:rFonts w:hint="eastAsia" w:ascii="仿宋_GB2312" w:eastAsia="仿宋_GB2312"/>
          <w:color w:val="000000"/>
          <w:sz w:val="32"/>
          <w:szCs w:val="32"/>
          <w:highlight w:val="none"/>
          <w:lang w:val="en-US" w:eastAsia="zh-CN"/>
        </w:rPr>
        <w:t>37.27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eastAsia="仿宋_GB2312"/>
          <w:color w:val="000000"/>
          <w:sz w:val="32"/>
          <w:szCs w:val="32"/>
          <w:highlight w:val="none"/>
          <w:lang w:eastAsia="zh-CN"/>
        </w:rPr>
        <w:t>202</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lang w:eastAsia="zh-CN"/>
        </w:rPr>
        <w:t>年年初预算增加社保工资经费</w:t>
      </w:r>
      <w:r>
        <w:rPr>
          <w:rFonts w:hint="eastAsia" w:eastAsia="仿宋_GB2312"/>
          <w:color w:val="000000"/>
          <w:sz w:val="32"/>
          <w:szCs w:val="32"/>
          <w:highlight w:val="none"/>
          <w:lang w:val="en-US" w:eastAsia="zh-CN"/>
        </w:rPr>
        <w:t>30万元</w:t>
      </w:r>
      <w:r>
        <w:rPr>
          <w:rFonts w:hint="eastAsia" w:eastAsia="仿宋_GB2312"/>
          <w:color w:val="000000"/>
          <w:sz w:val="32"/>
          <w:szCs w:val="32"/>
          <w:highlight w:val="none"/>
          <w:lang w:eastAsia="zh-CN"/>
        </w:rPr>
        <w:t>、社保就业大厅运行经费</w:t>
      </w:r>
      <w:r>
        <w:rPr>
          <w:rFonts w:hint="eastAsia" w:eastAsia="仿宋_GB2312"/>
          <w:color w:val="000000"/>
          <w:sz w:val="32"/>
          <w:szCs w:val="32"/>
          <w:highlight w:val="none"/>
          <w:lang w:val="en-US" w:eastAsia="zh-CN"/>
        </w:rPr>
        <w:t>20万元</w:t>
      </w:r>
      <w:r>
        <w:rPr>
          <w:rFonts w:hint="eastAsia" w:eastAsia="仿宋_GB2312"/>
          <w:color w:val="000000"/>
          <w:sz w:val="32"/>
          <w:szCs w:val="32"/>
          <w:highlight w:val="none"/>
          <w:lang w:eastAsia="zh-CN"/>
        </w:rPr>
        <w:t>、流动人员档案管理经费</w:t>
      </w:r>
      <w:r>
        <w:rPr>
          <w:rFonts w:hint="eastAsia" w:eastAsia="仿宋_GB2312"/>
          <w:color w:val="000000"/>
          <w:sz w:val="32"/>
          <w:szCs w:val="32"/>
          <w:highlight w:val="none"/>
          <w:lang w:val="en-US" w:eastAsia="zh-CN"/>
        </w:rPr>
        <w:t>10万元、人才交流中心工作经费10万元、农民工服务中心工作经费20万元</w:t>
      </w:r>
      <w:r>
        <w:rPr>
          <w:rFonts w:eastAsia="仿宋_GB2312"/>
          <w:color w:val="000000"/>
          <w:sz w:val="32"/>
          <w:szCs w:val="32"/>
          <w:highlight w:val="none"/>
        </w:rPr>
        <w:t>。</w:t>
      </w: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74" w:name="_Toc23976"/>
      <w:bookmarkStart w:id="75" w:name="_Toc15377223"/>
      <w:r>
        <w:rPr>
          <w:rFonts w:hint="eastAsia" w:ascii="黑体" w:hAnsi="黑体" w:eastAsia="黑体"/>
          <w:b w:val="0"/>
          <w:bCs/>
          <w:color w:val="auto"/>
          <w:sz w:val="32"/>
          <w:szCs w:val="32"/>
          <w:highlight w:val="none"/>
        </w:rPr>
        <w:t>（二）政府采购支出情况</w:t>
      </w:r>
      <w:bookmarkEnd w:id="74"/>
      <w:bookmarkEnd w:id="75"/>
    </w:p>
    <w:p>
      <w:pPr>
        <w:pageBreakBefore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区人社局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76" w:name="_Toc15377224"/>
      <w:bookmarkStart w:id="77" w:name="_Toc21550"/>
      <w:r>
        <w:rPr>
          <w:rFonts w:hint="eastAsia" w:ascii="黑体" w:hAnsi="黑体" w:eastAsia="黑体"/>
          <w:b w:val="0"/>
          <w:bCs/>
          <w:color w:val="auto"/>
          <w:sz w:val="32"/>
          <w:szCs w:val="32"/>
          <w:highlight w:val="none"/>
        </w:rPr>
        <w:t>（三）国有资产占有使用情况</w:t>
      </w:r>
      <w:bookmarkEnd w:id="76"/>
      <w:bookmarkEnd w:id="77"/>
    </w:p>
    <w:p>
      <w:pPr>
        <w:autoSpaceDE w:val="0"/>
        <w:autoSpaceDN w:val="0"/>
        <w:adjustRightInd w:val="0"/>
        <w:spacing w:line="60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截至</w:t>
      </w:r>
      <w:r>
        <w:rPr>
          <w:rFonts w:hint="eastAsia" w:ascii="仿宋_GB2312" w:eastAsia="仿宋_GB2312"/>
          <w:color w:val="000000"/>
          <w:sz w:val="32"/>
          <w:szCs w:val="32"/>
          <w:highlight w:val="none"/>
          <w:lang w:eastAsia="zh-CN"/>
        </w:rPr>
        <w:t>2022年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区人社局</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辆，其中：主要领导干部用车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辆、其他用车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单价</w:t>
      </w:r>
      <w:r>
        <w:rPr>
          <w:rFonts w:ascii="仿宋_GB2312" w:eastAsia="仿宋_GB2312"/>
          <w:color w:val="000000"/>
          <w:sz w:val="32"/>
          <w:szCs w:val="32"/>
          <w:highlight w:val="none"/>
        </w:rPr>
        <w:t>50</w:t>
      </w:r>
      <w:r>
        <w:rPr>
          <w:rFonts w:hint="eastAsia" w:ascii="仿宋_GB2312" w:eastAsia="仿宋_GB2312"/>
          <w:color w:val="000000"/>
          <w:sz w:val="32"/>
          <w:szCs w:val="32"/>
          <w:highlight w:val="none"/>
        </w:rPr>
        <w:t>万元以上通用设备</w:t>
      </w:r>
      <w:r>
        <w:rPr>
          <w:rFonts w:hint="eastAsia" w:ascii="仿宋_GB2312" w:hAnsi="Times New Roman" w:eastAsia="仿宋_GB2312" w:cs="Times New Roman"/>
          <w:color w:val="000000"/>
          <w:sz w:val="32"/>
          <w:szCs w:val="32"/>
          <w:highlight w:val="none"/>
          <w:lang w:val="en-US" w:eastAsia="zh-CN"/>
        </w:rPr>
        <w:t>0</w:t>
      </w:r>
      <w:r>
        <w:rPr>
          <w:rFonts w:hint="eastAsia" w:ascii="仿宋_GB2312" w:hAnsi="Times New Roman" w:eastAsia="仿宋_GB2312" w:cs="Times New Roman"/>
          <w:color w:val="000000"/>
          <w:sz w:val="32"/>
          <w:szCs w:val="32"/>
          <w:highlight w:val="none"/>
        </w:rPr>
        <w:t>台（套），</w:t>
      </w:r>
      <w:r>
        <w:rPr>
          <w:rFonts w:hint="eastAsia" w:ascii="仿宋_GB2312" w:eastAsia="仿宋_GB2312"/>
          <w:color w:val="000000"/>
          <w:sz w:val="32"/>
          <w:szCs w:val="32"/>
          <w:highlight w:val="none"/>
        </w:rPr>
        <w:t>单价</w:t>
      </w:r>
      <w:r>
        <w:rPr>
          <w:rFonts w:ascii="仿宋_GB2312" w:eastAsia="仿宋_GB2312"/>
          <w:color w:val="000000"/>
          <w:sz w:val="32"/>
          <w:szCs w:val="32"/>
          <w:highlight w:val="none"/>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p>
    <w:p>
      <w:pPr>
        <w:pageBreakBefore w:val="0"/>
        <w:kinsoku/>
        <w:wordWrap/>
        <w:overflowPunct/>
        <w:topLinePunct w:val="0"/>
        <w:bidi w:val="0"/>
        <w:spacing w:line="576" w:lineRule="exact"/>
        <w:ind w:firstLine="640" w:firstLineChars="200"/>
        <w:textAlignment w:val="auto"/>
        <w:outlineLvl w:val="1"/>
        <w:rPr>
          <w:rFonts w:hint="eastAsia" w:ascii="黑体" w:hAnsi="黑体" w:eastAsia="黑体"/>
          <w:b w:val="0"/>
          <w:bCs/>
          <w:color w:val="auto"/>
          <w:sz w:val="32"/>
          <w:szCs w:val="32"/>
          <w:highlight w:val="none"/>
        </w:rPr>
      </w:pPr>
      <w:bookmarkStart w:id="78" w:name="_Toc5276"/>
      <w:r>
        <w:rPr>
          <w:rFonts w:hint="eastAsia" w:ascii="黑体" w:hAnsi="黑体" w:eastAsia="黑体"/>
          <w:b w:val="0"/>
          <w:bCs/>
          <w:color w:val="auto"/>
          <w:sz w:val="32"/>
          <w:szCs w:val="32"/>
          <w:highlight w:val="none"/>
        </w:rPr>
        <w:t>（四）预算绩效管理情况</w:t>
      </w:r>
      <w:bookmarkEnd w:id="78"/>
    </w:p>
    <w:p>
      <w:pPr>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就业创业资金</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个项目开展绩效监控。</w:t>
      </w:r>
    </w:p>
    <w:p>
      <w:pPr>
        <w:pageBreakBefore w:val="0"/>
        <w:widowControl/>
        <w:kinsoku/>
        <w:wordWrap/>
        <w:overflowPunct/>
        <w:topLinePunct w:val="0"/>
        <w:bidi w:val="0"/>
        <w:spacing w:line="576" w:lineRule="exact"/>
        <w:ind w:firstLine="640" w:firstLineChars="200"/>
        <w:jc w:val="left"/>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组织对2022年度一般公共预算形成</w:t>
      </w:r>
      <w:r>
        <w:rPr>
          <w:rFonts w:hint="eastAsia" w:ascii="仿宋_GB2312" w:hAnsi="仿宋_GB2312" w:eastAsia="仿宋_GB2312" w:cs="仿宋_GB2312"/>
          <w:color w:val="auto"/>
          <w:sz w:val="32"/>
          <w:szCs w:val="32"/>
          <w:highlight w:val="none"/>
          <w:lang w:eastAsia="zh-CN"/>
        </w:rPr>
        <w:t>区人社局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就业创业资金</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区人社局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区人社局</w:t>
      </w:r>
      <w:r>
        <w:rPr>
          <w:rFonts w:hint="eastAsia" w:ascii="仿宋_GB2312" w:hAnsi="仿宋_GB2312" w:eastAsia="仿宋_GB2312" w:cs="仿宋_GB2312"/>
          <w:color w:val="auto"/>
          <w:sz w:val="32"/>
          <w:szCs w:val="32"/>
          <w:highlight w:val="none"/>
        </w:rPr>
        <w:t>在各项目实施过程中，建立健全相关制度、机制，严格执行，推进各专项工作的落实。项目资金管理实行专项管理，严格审批制度，真正做到了专款专用，确保项目资金有效的利用。总体来说项目审核严格，管理到位，完成及时，社会效果良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pPr>
        <w:pageBreakBefore w:val="0"/>
        <w:numPr>
          <w:ilvl w:val="0"/>
          <w:numId w:val="4"/>
        </w:numPr>
        <w:kinsoku/>
        <w:wordWrap/>
        <w:overflowPunct/>
        <w:topLinePunct w:val="0"/>
        <w:bidi w:val="0"/>
        <w:spacing w:line="576" w:lineRule="exact"/>
        <w:ind w:firstLine="660" w:firstLineChars="150"/>
        <w:jc w:val="center"/>
        <w:textAlignment w:val="auto"/>
        <w:outlineLvl w:val="0"/>
        <w:rPr>
          <w:rStyle w:val="28"/>
          <w:rFonts w:ascii="黑体" w:hAnsi="黑体" w:eastAsia="黑体"/>
          <w:b w:val="0"/>
          <w:color w:val="auto"/>
          <w:highlight w:val="none"/>
        </w:rPr>
      </w:pPr>
      <w:bookmarkStart w:id="79" w:name="_Toc15377225"/>
      <w:bookmarkStart w:id="80" w:name="_Toc15396613"/>
      <w:bookmarkStart w:id="81" w:name="_Toc11074"/>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79"/>
      <w:bookmarkEnd w:id="80"/>
      <w:bookmarkEnd w:id="81"/>
    </w:p>
    <w:p>
      <w:pPr>
        <w:pageBreakBefore w:val="0"/>
        <w:kinsoku/>
        <w:wordWrap/>
        <w:overflowPunct/>
        <w:topLinePunct w:val="0"/>
        <w:bidi w:val="0"/>
        <w:spacing w:line="576" w:lineRule="exact"/>
        <w:jc w:val="left"/>
        <w:textAlignment w:val="auto"/>
        <w:rPr>
          <w:rFonts w:ascii="宋体"/>
          <w:b/>
          <w:color w:val="auto"/>
          <w:sz w:val="44"/>
          <w:szCs w:val="44"/>
          <w:highlight w:val="none"/>
        </w:rPr>
      </w:pPr>
    </w:p>
    <w:p>
      <w:pPr>
        <w:autoSpaceDE w:val="0"/>
        <w:autoSpaceDN w:val="0"/>
        <w:adjustRightInd w:val="0"/>
        <w:spacing w:line="576" w:lineRule="exact"/>
        <w:ind w:firstLine="640" w:firstLineChars="200"/>
        <w:outlineLvl w:val="9"/>
        <w:rPr>
          <w:rFonts w:eastAsia="仿宋_GB2312"/>
          <w:kern w:val="0"/>
          <w:sz w:val="32"/>
          <w:szCs w:val="32"/>
          <w:highlight w:val="none"/>
        </w:rPr>
      </w:pPr>
      <w:bookmarkStart w:id="82" w:name="_Toc24647"/>
      <w:bookmarkStart w:id="83" w:name="_Toc15377226"/>
      <w:r>
        <w:rPr>
          <w:rFonts w:eastAsia="仿宋_GB2312"/>
          <w:kern w:val="0"/>
          <w:sz w:val="32"/>
          <w:szCs w:val="32"/>
          <w:highlight w:val="none"/>
        </w:rPr>
        <w:t>1.财政拨款收入：指单位从同级财政部门取得的财政预算资金。</w:t>
      </w:r>
      <w:bookmarkEnd w:id="82"/>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 xml:space="preserve">2.年初结转和结余：指以前年度尚未完成、结转到本年按有关规定继续使用的资金。 </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3</w:t>
      </w:r>
      <w:r>
        <w:rPr>
          <w:rFonts w:hint="eastAsia" w:eastAsia="仿宋_GB2312"/>
          <w:kern w:val="0"/>
          <w:sz w:val="32"/>
          <w:szCs w:val="32"/>
          <w:highlight w:val="none"/>
          <w:lang w:val="en-US" w:eastAsia="zh-CN"/>
        </w:rPr>
        <w:t>.</w:t>
      </w:r>
      <w:r>
        <w:rPr>
          <w:rFonts w:eastAsia="仿宋_GB2312"/>
          <w:kern w:val="0"/>
          <w:sz w:val="32"/>
          <w:szCs w:val="32"/>
          <w:highlight w:val="none"/>
        </w:rPr>
        <w:t>年末结转和结余：指单位按有关规定结转到下年或以后年度继续使用的资金。</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4.社会保障和就业支出（类）-人力资源和社会保障管理事务（款）-行政运行（项）：指局机关及二级经办机构用于保障机构正常运行、开展日常工作的基本支出。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5.社会保障和就业支出（类）-人力资源和社会保障管理事务（款）-机关服务（项）：指局机关开展人事人才工作等方面的基本支出。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6.社会保障和就业支出（类）-人力资源和社会保障管理事务（款）-劳动保障监察（项）：指二级经办机构劳动保障监察大队开展劳动保障监察业务等工作的基本支出和仲裁院开展劳动人事争议仲裁业务等方面的基本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7.社会保障和就业支出（类）-人力资源和社会保障管理事务（款）-就业管理事务（项）：指二级经办机构就业服务中心开展就业创业、就业扶贫、返乡创业培训等工作的项目支出。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8.社会保障和就业支出（类）-人力资源和社会保障管理事务（款）-信息化建设（项）：指二级经办机构用于金保网运行维护等方面的基本支出。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9.社会保障和就业支出（类）-人力资源和社会保障管理事务（款）-社会保险经办机构（项）：指二级经办机构社保服务中心、机保服务中心、居保服务中心开展社会保险业务、劳务派遣等方面的基本支出。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10.社会保障和就业支出（类）-人力资源和社会保障管理事务（款）-其他人力资源和社会保障管理事务支出（项）：指人社局除上述项目外，开展其他人力资源和社会保障管理事务方面专门性工作任务的支出，如退休干部适当补贴、建国初期退休干部困难补助和企业军转干部困难补助及慰问基本支出和定向财力转移支付项目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11.社会保障和就业支出（类）-行政事业单位离退休（款）-归口管理的行政单位离退休（项）：指局机关离退休人员的支出。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12</w:t>
      </w:r>
      <w:r>
        <w:rPr>
          <w:rFonts w:hint="eastAsia" w:eastAsia="仿宋_GB2312"/>
          <w:kern w:val="0"/>
          <w:sz w:val="32"/>
          <w:szCs w:val="32"/>
          <w:highlight w:val="none"/>
          <w:lang w:val="en-US" w:eastAsia="zh-CN"/>
        </w:rPr>
        <w:t>.</w:t>
      </w:r>
      <w:r>
        <w:rPr>
          <w:rFonts w:eastAsia="仿宋_GB2312"/>
          <w:kern w:val="0"/>
          <w:sz w:val="32"/>
          <w:szCs w:val="32"/>
          <w:highlight w:val="none"/>
        </w:rPr>
        <w:t>社会保障和就业支出（类）-行政事业单位离退休（款）-机关事业单位基本养老保险缴费支出（项）：指单位按规定为职工缴纳的养老保险费。</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13</w:t>
      </w:r>
      <w:r>
        <w:rPr>
          <w:rFonts w:hint="eastAsia" w:eastAsia="仿宋_GB2312"/>
          <w:kern w:val="0"/>
          <w:sz w:val="32"/>
          <w:szCs w:val="32"/>
          <w:highlight w:val="none"/>
          <w:lang w:val="en-US" w:eastAsia="zh-CN"/>
        </w:rPr>
        <w:t>.</w:t>
      </w:r>
      <w:r>
        <w:rPr>
          <w:rFonts w:eastAsia="仿宋_GB2312"/>
          <w:kern w:val="0"/>
          <w:sz w:val="32"/>
          <w:szCs w:val="32"/>
          <w:highlight w:val="none"/>
        </w:rPr>
        <w:t>社会保障和就业支出（类）-行政事业单位离退休（款）-机关事业单位职业年金缴费支出（项）：指单位按规定为职工缴纳的职业年金。</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14.医疗卫生与计划生育支出（类）-行政事业单位医疗（款）-行政单位医疗（项）：指局单位按规定为公务员缴纳的基本医疗保险。</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15.医疗卫生与计划生育支出（类）-行政事业单位医疗（款）-事业单位医疗（项）：指局单位按规定为事业人员缴纳的基本医疗保险。</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16.农林水支出（类）-扶贫（款）-其他扶贫支出（项）：指</w:t>
      </w:r>
      <w:r>
        <w:rPr>
          <w:rFonts w:eastAsia="仿宋_GB2312"/>
          <w:sz w:val="32"/>
          <w:szCs w:val="32"/>
          <w:highlight w:val="none"/>
        </w:rPr>
        <w:t>东西部协作帮扶（劳务协作）和东西部协作人才交流（专家咨询服务活动）专项</w:t>
      </w:r>
      <w:r>
        <w:rPr>
          <w:rFonts w:eastAsia="仿宋_GB2312"/>
          <w:kern w:val="0"/>
          <w:sz w:val="32"/>
          <w:szCs w:val="32"/>
          <w:highlight w:val="none"/>
        </w:rPr>
        <w:t>工作的项目支出。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17.农林水支出（类）-普惠金融发展支出（款）-创业担保贷款贴息（项）：指创业担保贷款贴息和创业担保贷款贴息财政奖补专项工作的项目支出。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18.住房保障支出（类）-住房改革支出（款）-住房公积金（项）：指单位按规定为职工缴纳的住房公积金。</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19.基本支出：指为保障机构正常运转、完成日常工作任务而发生的人员支出和公用支出。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 xml:space="preserve">20.项目支出：指在基本支出之外为完成特定行政任务和事业发展目标所发生的支出。 </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576" w:lineRule="exact"/>
        <w:ind w:firstLine="640" w:firstLineChars="200"/>
        <w:rPr>
          <w:rFonts w:eastAsia="仿宋_GB2312"/>
          <w:kern w:val="0"/>
          <w:sz w:val="32"/>
          <w:szCs w:val="32"/>
          <w:highlight w:val="none"/>
        </w:rPr>
      </w:pPr>
      <w:r>
        <w:rPr>
          <w:rFonts w:eastAsia="仿宋_GB2312"/>
          <w:kern w:val="0"/>
          <w:sz w:val="32"/>
          <w:szCs w:val="32"/>
          <w:highlight w:val="none"/>
        </w:rPr>
        <w:t>22</w:t>
      </w:r>
      <w:r>
        <w:rPr>
          <w:rFonts w:hint="eastAsia" w:eastAsia="仿宋_GB2312"/>
          <w:kern w:val="0"/>
          <w:sz w:val="32"/>
          <w:szCs w:val="32"/>
          <w:highlight w:val="none"/>
          <w:lang w:val="en-US" w:eastAsia="zh-CN"/>
        </w:rPr>
        <w:t>.</w:t>
      </w:r>
      <w:r>
        <w:rPr>
          <w:rFonts w:eastAsia="仿宋_GB2312"/>
          <w:kern w:val="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jc w:val="center"/>
        <w:textAlignment w:val="auto"/>
        <w:outlineLvl w:val="0"/>
        <w:rPr>
          <w:rStyle w:val="28"/>
          <w:rFonts w:hint="eastAsia" w:ascii="黑体" w:hAnsi="黑体" w:eastAsia="黑体"/>
          <w:b w:val="0"/>
          <w:color w:val="auto"/>
          <w:highlight w:val="none"/>
          <w:lang w:eastAsia="zh-CN"/>
        </w:rPr>
      </w:pPr>
      <w:r>
        <w:rPr>
          <w:rFonts w:ascii="宋体"/>
          <w:b/>
          <w:color w:val="auto"/>
          <w:sz w:val="44"/>
          <w:szCs w:val="44"/>
          <w:highlight w:val="none"/>
        </w:rPr>
        <w:br w:type="page"/>
      </w:r>
      <w:bookmarkStart w:id="84" w:name="_Toc15396614"/>
      <w:bookmarkStart w:id="85" w:name="_Toc21426"/>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84"/>
      <w:bookmarkEnd w:id="85"/>
    </w:p>
    <w:p>
      <w:pPr>
        <w:keepNext w:val="0"/>
        <w:keepLines w:val="0"/>
        <w:pageBreakBefore w:val="0"/>
        <w:widowControl/>
        <w:kinsoku/>
        <w:wordWrap/>
        <w:overflowPunct/>
        <w:topLinePunct w:val="0"/>
        <w:autoSpaceDE/>
        <w:autoSpaceDN/>
        <w:bidi w:val="0"/>
        <w:adjustRightInd w:val="0"/>
        <w:snapToGrid w:val="0"/>
        <w:spacing w:line="576" w:lineRule="exact"/>
        <w:contextualSpacing/>
        <w:jc w:val="both"/>
        <w:textAlignment w:val="auto"/>
        <w:outlineLvl w:val="1"/>
        <w:rPr>
          <w:rFonts w:hint="eastAsia" w:ascii="宋体" w:hAnsi="宋体"/>
          <w:b/>
          <w:color w:val="auto"/>
          <w:sz w:val="44"/>
          <w:szCs w:val="44"/>
          <w:highlight w:val="none"/>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eastAsia" w:ascii="黑体" w:hAnsi="黑体" w:eastAsia="黑体" w:cs="黑体"/>
          <w:b w:val="0"/>
          <w:bCs/>
          <w:color w:val="auto"/>
          <w:sz w:val="32"/>
          <w:szCs w:val="32"/>
          <w:highlight w:val="none"/>
          <w:shd w:val="clear" w:color="auto" w:fill="FFFFFF"/>
          <w:lang w:val="en-US" w:eastAsia="zh-CN"/>
        </w:rPr>
      </w:pPr>
      <w:bookmarkStart w:id="86" w:name="_Toc30892"/>
      <w:r>
        <w:rPr>
          <w:rFonts w:hint="eastAsia" w:ascii="黑体" w:hAnsi="黑体" w:eastAsia="黑体" w:cs="黑体"/>
          <w:b w:val="0"/>
          <w:bCs/>
          <w:color w:val="auto"/>
          <w:sz w:val="32"/>
          <w:szCs w:val="32"/>
          <w:highlight w:val="none"/>
          <w:shd w:val="clear" w:color="auto" w:fill="FFFFFF"/>
          <w:lang w:val="en-US" w:eastAsia="zh-CN"/>
        </w:rPr>
        <w:t>附件1</w:t>
      </w:r>
      <w:bookmarkEnd w:id="86"/>
    </w:p>
    <w:p>
      <w:pPr>
        <w:keepNext w:val="0"/>
        <w:keepLines w:val="0"/>
        <w:pageBreakBefore w:val="0"/>
        <w:widowControl/>
        <w:kinsoku/>
        <w:wordWrap/>
        <w:overflowPunct/>
        <w:topLinePunct w:val="0"/>
        <w:autoSpaceDE/>
        <w:autoSpaceDN/>
        <w:bidi w:val="0"/>
        <w:adjustRightInd w:val="0"/>
        <w:snapToGrid w:val="0"/>
        <w:spacing w:line="576" w:lineRule="exact"/>
        <w:contextualSpacing/>
        <w:jc w:val="center"/>
        <w:textAlignment w:val="auto"/>
        <w:outlineLvl w:val="1"/>
        <w:rPr>
          <w:rFonts w:hint="eastAsia" w:ascii="方正小标宋简体" w:hAnsi="方正小标宋简体" w:eastAsia="方正小标宋简体" w:cs="方正小标宋简体"/>
          <w:b w:val="0"/>
          <w:bCs/>
          <w:color w:val="auto"/>
          <w:sz w:val="44"/>
          <w:szCs w:val="44"/>
          <w:highlight w:val="none"/>
          <w:shd w:val="clear" w:color="auto" w:fill="FFFFFF"/>
        </w:rPr>
      </w:pPr>
      <w:bookmarkStart w:id="87" w:name="_Toc17552"/>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广元市昭化区人力资源和社会保障局</w:t>
      </w:r>
      <w:r>
        <w:rPr>
          <w:rFonts w:hint="eastAsia" w:ascii="方正小标宋简体" w:hAnsi="方正小标宋简体" w:eastAsia="方正小标宋简体" w:cs="方正小标宋简体"/>
          <w:b w:val="0"/>
          <w:bCs/>
          <w:color w:val="auto"/>
          <w:sz w:val="44"/>
          <w:szCs w:val="44"/>
          <w:highlight w:val="none"/>
          <w:shd w:val="clear" w:color="auto" w:fill="FFFFFF"/>
        </w:rPr>
        <w:t>部门整体绩效评价报告</w:t>
      </w:r>
      <w:bookmarkEnd w:id="87"/>
    </w:p>
    <w:p>
      <w:pPr>
        <w:pStyle w:val="5"/>
        <w:rPr>
          <w:highlight w:val="none"/>
        </w:rPr>
      </w:pP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黑体" w:hAnsi="宋体" w:eastAsia="黑体" w:cs="宋体"/>
          <w:color w:val="auto"/>
          <w:kern w:val="0"/>
          <w:sz w:val="32"/>
          <w:szCs w:val="32"/>
          <w:highlight w:val="none"/>
          <w:shd w:val="clear" w:color="auto" w:fill="FFFFFF"/>
          <w:lang w:val="zh-CN"/>
        </w:rPr>
      </w:pPr>
      <w:bookmarkStart w:id="88" w:name="_Toc22447"/>
      <w:r>
        <w:rPr>
          <w:rFonts w:hint="eastAsia" w:ascii="黑体" w:hAnsi="宋体" w:eastAsia="黑体" w:cs="宋体"/>
          <w:color w:val="auto"/>
          <w:kern w:val="0"/>
          <w:sz w:val="32"/>
          <w:szCs w:val="32"/>
          <w:highlight w:val="none"/>
          <w:shd w:val="clear" w:color="auto" w:fill="FFFFFF"/>
          <w:lang w:val="zh-CN"/>
        </w:rPr>
        <w:t>部门（单位）基本情况</w:t>
      </w:r>
      <w:bookmarkEnd w:id="88"/>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spacing w:line="576" w:lineRule="exact"/>
        <w:ind w:firstLine="640" w:firstLineChars="200"/>
        <w:rPr>
          <w:rFonts w:hint="eastAsia" w:ascii="楷体_GB2312" w:hAnsi="楷体_GB2312" w:eastAsia="楷体_GB2312" w:cs="楷体_GB2312"/>
          <w:b/>
          <w:bCs/>
          <w:color w:val="auto"/>
          <w:kern w:val="0"/>
          <w:sz w:val="32"/>
          <w:szCs w:val="32"/>
          <w:highlight w:val="none"/>
          <w:shd w:val="clear" w:color="auto" w:fill="FFFFFF"/>
          <w:lang w:val="zh-CN"/>
        </w:rPr>
      </w:pPr>
      <w:r>
        <w:rPr>
          <w:rFonts w:eastAsia="仿宋_GB2312"/>
          <w:sz w:val="32"/>
          <w:szCs w:val="32"/>
          <w:highlight w:val="none"/>
        </w:rPr>
        <w:t>广元市昭化区人力资源和社会保障局</w:t>
      </w:r>
      <w:r>
        <w:rPr>
          <w:rFonts w:hint="eastAsia" w:eastAsia="仿宋_GB2312"/>
          <w:sz w:val="32"/>
          <w:szCs w:val="32"/>
          <w:highlight w:val="none"/>
          <w:lang w:eastAsia="zh-CN"/>
        </w:rPr>
        <w:t>为正科级行政机构，内设</w:t>
      </w:r>
      <w:r>
        <w:rPr>
          <w:rFonts w:hint="eastAsia" w:eastAsia="仿宋_GB2312"/>
          <w:sz w:val="32"/>
          <w:szCs w:val="32"/>
          <w:highlight w:val="none"/>
          <w:lang w:val="en-US" w:eastAsia="zh-CN"/>
        </w:rPr>
        <w:t>7个行政股室，下设区就业服务中心、区社保事务中心、区劳动监察综合行政执法大队3个参公事业单位，区劳动人事争议仲裁院、区农民工服务中心、区人才交流中心、区就业培训中心4个事业单位。</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eastAsia="仿宋_GB2312"/>
          <w:sz w:val="32"/>
          <w:szCs w:val="32"/>
          <w:highlight w:val="none"/>
        </w:rPr>
        <w:t>贯彻执行国家、省、市人力资源和社会保障工作的相关法律、法规、规章和政策，拟订全区人力资源和社会保障事业发展规划、政策并组织实施和监督检查。统筹城乡的就业发展规划和政策，完善公共就业创业服务体系</w:t>
      </w:r>
      <w:r>
        <w:rPr>
          <w:rFonts w:hint="eastAsia" w:eastAsia="仿宋_GB2312"/>
          <w:sz w:val="32"/>
          <w:szCs w:val="32"/>
          <w:highlight w:val="none"/>
          <w:lang w:eastAsia="zh-CN"/>
        </w:rPr>
        <w:t>，</w:t>
      </w:r>
      <w:r>
        <w:rPr>
          <w:rFonts w:eastAsia="仿宋_GB2312"/>
          <w:sz w:val="32"/>
          <w:szCs w:val="32"/>
          <w:highlight w:val="none"/>
        </w:rPr>
        <w:t>统筹建立覆盖城乡的多层次社会保障体系</w:t>
      </w:r>
      <w:r>
        <w:rPr>
          <w:rFonts w:hint="eastAsia" w:eastAsia="仿宋_GB2312"/>
          <w:sz w:val="32"/>
          <w:szCs w:val="32"/>
          <w:highlight w:val="none"/>
          <w:lang w:eastAsia="zh-CN"/>
        </w:rPr>
        <w:t>，</w:t>
      </w:r>
      <w:r>
        <w:rPr>
          <w:rFonts w:eastAsia="仿宋_GB2312"/>
          <w:sz w:val="32"/>
          <w:szCs w:val="32"/>
          <w:highlight w:val="none"/>
        </w:rPr>
        <w:t>完善劳动关系协调机制，贯彻落实职工工作时间、休息休假和假期制度，拟订消除非法使用童工政策和女工、未成年工的特殊劳动保护政策</w:t>
      </w:r>
      <w:r>
        <w:rPr>
          <w:rFonts w:hint="eastAsia" w:eastAsia="仿宋_GB2312"/>
          <w:sz w:val="32"/>
          <w:szCs w:val="32"/>
          <w:highlight w:val="none"/>
          <w:lang w:eastAsia="zh-CN"/>
        </w:rPr>
        <w:t>，</w:t>
      </w:r>
      <w:r>
        <w:rPr>
          <w:rFonts w:eastAsia="仿宋_GB2312"/>
          <w:sz w:val="32"/>
          <w:szCs w:val="32"/>
          <w:highlight w:val="none"/>
        </w:rPr>
        <w:t>会同有关部门指导事业单位人事制度改革</w:t>
      </w:r>
      <w:r>
        <w:rPr>
          <w:rFonts w:hint="eastAsia" w:eastAsia="仿宋_GB2312"/>
          <w:sz w:val="32"/>
          <w:szCs w:val="32"/>
          <w:highlight w:val="none"/>
          <w:lang w:eastAsia="zh-CN"/>
        </w:rPr>
        <w:t>。人员概况：</w:t>
      </w:r>
      <w:r>
        <w:rPr>
          <w:rFonts w:hint="default" w:ascii="Times New Roman" w:hAnsi="Times New Roman" w:eastAsia="仿宋_GB2312" w:cs="Times New Roman"/>
          <w:sz w:val="32"/>
          <w:szCs w:val="32"/>
          <w:highlight w:val="none"/>
          <w:lang w:eastAsia="zh-CN"/>
        </w:rPr>
        <w:t>总</w:t>
      </w:r>
      <w:r>
        <w:rPr>
          <w:rFonts w:hint="default" w:ascii="Times New Roman" w:hAnsi="Times New Roman" w:eastAsia="仿宋_GB2312" w:cs="Times New Roman"/>
          <w:sz w:val="32"/>
          <w:szCs w:val="32"/>
          <w:highlight w:val="none"/>
        </w:rPr>
        <w:t>编制</w:t>
      </w:r>
      <w:r>
        <w:rPr>
          <w:rFonts w:hint="eastAsia" w:ascii="Times New Roman" w:hAnsi="Times New Roman" w:eastAsia="仿宋_GB2312" w:cs="Times New Roman"/>
          <w:sz w:val="32"/>
          <w:szCs w:val="32"/>
          <w:highlight w:val="none"/>
          <w:lang w:val="en-US" w:eastAsia="zh-CN"/>
        </w:rPr>
        <w:t>53</w:t>
      </w:r>
      <w:r>
        <w:rPr>
          <w:rFonts w:hint="eastAsia" w:ascii="Times New Roman" w:hAnsi="Times New Roman" w:eastAsia="仿宋_GB2312" w:cs="Times New Roman"/>
          <w:sz w:val="32"/>
          <w:szCs w:val="32"/>
          <w:highlight w:val="none"/>
          <w:lang w:eastAsia="zh-CN"/>
        </w:rPr>
        <w:t>名</w:t>
      </w:r>
      <w:r>
        <w:rPr>
          <w:rFonts w:hint="default" w:ascii="Times New Roman" w:hAnsi="Times New Roman" w:eastAsia="仿宋_GB2312" w:cs="Times New Roman"/>
          <w:sz w:val="32"/>
          <w:szCs w:val="32"/>
          <w:highlight w:val="none"/>
        </w:rPr>
        <w:t>，其中：行政编制</w:t>
      </w:r>
      <w:r>
        <w:rPr>
          <w:rFonts w:hint="default"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lang w:eastAsia="zh-CN"/>
        </w:rPr>
        <w:t>名</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机关</w:t>
      </w:r>
      <w:r>
        <w:rPr>
          <w:rFonts w:hint="default" w:ascii="Times New Roman" w:hAnsi="Times New Roman" w:eastAsia="仿宋_GB2312" w:cs="Times New Roman"/>
          <w:sz w:val="32"/>
          <w:szCs w:val="32"/>
          <w:highlight w:val="none"/>
        </w:rPr>
        <w:t>工勤</w:t>
      </w:r>
      <w:r>
        <w:rPr>
          <w:rFonts w:hint="default" w:ascii="Times New Roman" w:hAnsi="Times New Roman" w:eastAsia="仿宋_GB2312" w:cs="Times New Roman"/>
          <w:sz w:val="32"/>
          <w:szCs w:val="32"/>
          <w:highlight w:val="none"/>
          <w:lang w:eastAsia="zh-CN"/>
        </w:rPr>
        <w:t>编制</w:t>
      </w: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名</w:t>
      </w:r>
      <w:r>
        <w:rPr>
          <w:rFonts w:hint="default" w:ascii="Times New Roman" w:hAnsi="Times New Roman" w:eastAsia="仿宋_GB2312" w:cs="Times New Roman"/>
          <w:sz w:val="32"/>
          <w:szCs w:val="32"/>
          <w:highlight w:val="none"/>
        </w:rPr>
        <w:t>，参照公务员法管理的事业编制</w:t>
      </w:r>
      <w:r>
        <w:rPr>
          <w:rFonts w:hint="eastAsia" w:ascii="Times New Roman" w:hAnsi="Times New Roman" w:eastAsia="仿宋_GB2312" w:cs="Times New Roman"/>
          <w:sz w:val="32"/>
          <w:szCs w:val="32"/>
          <w:highlight w:val="none"/>
          <w:lang w:val="en-US" w:eastAsia="zh-CN"/>
        </w:rPr>
        <w:t>18</w:t>
      </w:r>
      <w:r>
        <w:rPr>
          <w:rFonts w:hint="eastAsia" w:ascii="Times New Roman" w:hAnsi="Times New Roman" w:eastAsia="仿宋_GB2312" w:cs="Times New Roman"/>
          <w:sz w:val="32"/>
          <w:szCs w:val="32"/>
          <w:highlight w:val="none"/>
          <w:lang w:eastAsia="zh-CN"/>
        </w:rPr>
        <w:t>名</w:t>
      </w:r>
      <w:r>
        <w:rPr>
          <w:rFonts w:hint="default" w:ascii="Times New Roman" w:hAnsi="Times New Roman" w:eastAsia="仿宋_GB2312" w:cs="Times New Roman"/>
          <w:sz w:val="32"/>
          <w:szCs w:val="32"/>
          <w:highlight w:val="none"/>
        </w:rPr>
        <w:t>，事业编制</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lang w:eastAsia="zh-CN"/>
        </w:rPr>
        <w:t>名</w:t>
      </w:r>
      <w:r>
        <w:rPr>
          <w:rFonts w:hint="default" w:ascii="Times New Roman" w:hAnsi="Times New Roman" w:eastAsia="仿宋_GB2312" w:cs="Times New Roman"/>
          <w:sz w:val="32"/>
          <w:szCs w:val="32"/>
          <w:highlight w:val="none"/>
        </w:rPr>
        <w:t>。在编在职人员</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62</w:t>
      </w:r>
      <w:r>
        <w:rPr>
          <w:rFonts w:hint="default" w:ascii="Times New Roman" w:hAnsi="Times New Roman" w:eastAsia="仿宋_GB2312" w:cs="Times New Roman"/>
          <w:sz w:val="32"/>
          <w:szCs w:val="32"/>
          <w:highlight w:val="none"/>
        </w:rPr>
        <w:t>人，其中:公务员（含参公人员）</w:t>
      </w:r>
      <w:r>
        <w:rPr>
          <w:rFonts w:hint="eastAsia"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事业人员</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lang w:eastAsia="zh-CN"/>
        </w:rPr>
        <w:t>（含拣银岩划转</w:t>
      </w:r>
      <w:r>
        <w:rPr>
          <w:rFonts w:hint="eastAsia" w:ascii="Times New Roman" w:hAnsi="Times New Roman" w:eastAsia="仿宋_GB2312" w:cs="Times New Roman"/>
          <w:sz w:val="32"/>
          <w:szCs w:val="32"/>
          <w:highlight w:val="none"/>
          <w:lang w:val="en-US" w:eastAsia="zh-CN"/>
        </w:rPr>
        <w:t>3人</w:t>
      </w:r>
      <w:r>
        <w:rPr>
          <w:rFonts w:hint="eastAsia" w:ascii="Times New Roman" w:hAnsi="Times New Roman" w:eastAsia="仿宋_GB2312" w:cs="Times New Roman"/>
          <w:sz w:val="32"/>
          <w:szCs w:val="32"/>
          <w:highlight w:val="none"/>
          <w:lang w:eastAsia="zh-CN"/>
        </w:rPr>
        <w:t>），机关工勤</w:t>
      </w:r>
      <w:r>
        <w:rPr>
          <w:rFonts w:hint="eastAsia" w:ascii="Times New Roman" w:hAnsi="Times New Roman" w:eastAsia="仿宋_GB2312" w:cs="Times New Roman"/>
          <w:sz w:val="32"/>
          <w:szCs w:val="32"/>
          <w:highlight w:val="none"/>
          <w:lang w:val="en-US" w:eastAsia="zh-CN"/>
        </w:rPr>
        <w:t>1人</w:t>
      </w:r>
      <w:r>
        <w:rPr>
          <w:rFonts w:hint="default" w:ascii="Times New Roman" w:hAnsi="Times New Roman" w:eastAsia="仿宋_GB2312" w:cs="Times New Roman"/>
          <w:sz w:val="32"/>
          <w:szCs w:val="32"/>
          <w:highlight w:val="none"/>
        </w:rPr>
        <w:t>。退休人员</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人。</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zh-CN"/>
        </w:rPr>
        <w:t>（一）聚焦最大民生，全力稳住就业基本盘。一是全力稳就业保就业。突出高校毕业生、脱贫人口、农民工等重点群体就业，多途径开发岗位。二是切实保障企业用工。建立“企业吹哨、部门报到、区镇联动”机制。三是强化农民工服务保障。持续推行“一站直达”模式，“点对点”输送农民工返岗复工。四是加强专合社运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zh-CN"/>
        </w:rPr>
      </w:pPr>
      <w:r>
        <w:rPr>
          <w:rFonts w:hint="eastAsia" w:ascii="Times New Roman" w:hAnsi="Times New Roman" w:eastAsia="仿宋_GB2312" w:cs="Times New Roman"/>
          <w:sz w:val="32"/>
          <w:szCs w:val="32"/>
          <w:highlight w:val="none"/>
          <w:lang w:eastAsia="zh-CN"/>
        </w:rPr>
        <w:t>（二）</w:t>
      </w:r>
      <w:r>
        <w:rPr>
          <w:rFonts w:ascii="Times New Roman" w:hAnsi="Times New Roman" w:eastAsia="仿宋_GB2312" w:cs="Times New Roman"/>
          <w:sz w:val="32"/>
          <w:szCs w:val="32"/>
          <w:highlight w:val="none"/>
        </w:rPr>
        <w:t>织密保障网络，不断增进民生福祉。一是抓精准扩面参保。二是重点工作提效能。代缴困难群体城居保，帮助企业缓缴社保，大力推推动建筑项目参加工伤保险，接尘企业工伤保险参保率到100%。三是加强基金风险防控。健全政策、经办、信息、监督“四位一体”基金风险防控体系。四是加大公益性岗位开发。优化调整过渡期内公益性岗位政策，健全公岗进出管理机制，统筹开发公益性岗位。</w:t>
      </w:r>
      <w:r>
        <w:rPr>
          <w:rFonts w:ascii="Times New Roman" w:hAnsi="Times New Roman" w:eastAsia="仿宋_GB2312" w:cs="Times New Roman"/>
          <w:sz w:val="32"/>
          <w:szCs w:val="32"/>
          <w:highlight w:val="none"/>
        </w:rPr>
        <w:br w:type="textWrapping"/>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三）突出改革创新，提升人才队伍活力。一是安全实施人事考试。坚持“三零”目标，安全组织各类人事考试。二是强化专技队伍建设。推动职称评审等政策向基层一线倾斜，推荐申报专业技术职称。三是规范事业单位人事管理。提出临聘人员使用方案，修订完善管理办法。高校毕业生高定工资政策全面落实。</w:t>
      </w:r>
      <w:r>
        <w:rPr>
          <w:rFonts w:ascii="Times New Roman" w:hAnsi="Times New Roman" w:eastAsia="仿宋_GB2312" w:cs="Times New Roman"/>
          <w:sz w:val="32"/>
          <w:szCs w:val="32"/>
          <w:highlight w:val="none"/>
        </w:rPr>
        <w:br w:type="textWrapping"/>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四）坚持共建共治，劳动关系和谐稳定。一是健全工作机制。坚持“月排查、季会商、半年评估、年度考核”，全面开展欠薪隐患排查，台账管理，对重大欠薪案件实行“一案一策”。二是强化项目监管。严格落实保障农民工工资支付制度，强化欠薪风险防控。三是加大欠薪处置。建立“快查、快处、快调”机制，受理信访及现场投诉。</w:t>
      </w:r>
      <w:r>
        <w:rPr>
          <w:rFonts w:ascii="Times New Roman" w:hAnsi="Times New Roman" w:eastAsia="仿宋_GB2312" w:cs="Times New Roman"/>
          <w:sz w:val="32"/>
          <w:szCs w:val="32"/>
          <w:highlight w:val="none"/>
        </w:rPr>
        <w:br w:type="textWrapping"/>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五）建设温暖人社，公共服务提质增效。一是推进公共服务标准化。开展人社领域两项试点，构建区、镇、站、点、员五级服务体系，按照“12+17+N”模式下放镇村服务事项，实现人社业务就近办。二是持续优化营商环境。开展“人社助企”服务活动，开设助企专员“一对一”联系企业。三是加强人社区域合作。主动融入双城经济圈，推动养老保险待遇资格“就地认”、招聘求职“一点通”、人才流动档案办理“零跑路”，办理川渝通办事项。四是加强人员队伍建设。全员参加练兵比武活动，开展“局长、副局长、中心主任走流程”和行风明察暗访活动，及时整改行风建设突出问题。</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ascii="Times New Roman" w:hAnsi="Times New Roman" w:eastAsia="仿宋_GB2312" w:cs="Times New Roman"/>
          <w:sz w:val="32"/>
          <w:szCs w:val="32"/>
          <w:highlight w:val="none"/>
        </w:rPr>
        <w:t>紧扣保障民生和服务发展两大主线，统筹抓好疫情防控和人社主责主业，保障各项工作有序有效有力推进。做好城镇新增就业，登记实业率控制在4%以内，培育返乡农民工创业，实现脱贫人口创办领办创业实体，多渠道开发就业岗位，促进劳动者实现更加充分、更高质量就业。深入推进社会保障制度改革，完成全区养老保险参保覆盖人数增长，保险待遇发放100%。组织事业单位工作人员招聘考试，招募“三支一扶”考试。做好事业单位管理人员的职级改革，充分激发人才队伍活力。宣传、检查国家劳动保障法律、法规和规章，及时受理对违反劳动保障法律、法规或者规章的行为的举报、投诉，聘请法律顾问，以抓好农民工工资支付为核心，控制集访事件，构建和谐劳动关系。通过优化温暖人社服务质量供给，打响温暖人社服务品牌。</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bookmarkStart w:id="89" w:name="_Toc21517"/>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9"/>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spacing w:line="600" w:lineRule="exact"/>
        <w:ind w:firstLine="640" w:firstLineChars="200"/>
        <w:outlineLvl w:val="9"/>
        <w:rPr>
          <w:rFonts w:hint="eastAsia"/>
          <w:highlight w:val="none"/>
          <w:lang w:val="en-US" w:eastAsia="zh-CN"/>
        </w:rPr>
      </w:pPr>
      <w:bookmarkStart w:id="90" w:name="_Toc29026"/>
      <w:r>
        <w:rPr>
          <w:rFonts w:hint="eastAsia" w:ascii="仿宋" w:hAnsi="仿宋" w:eastAsia="仿宋"/>
          <w:color w:val="000000"/>
          <w:sz w:val="32"/>
          <w:szCs w:val="32"/>
          <w:highlight w:val="none"/>
          <w:lang w:eastAsia="zh-CN"/>
        </w:rPr>
        <w:t>2022年区人力资源和社会保障局</w:t>
      </w:r>
      <w:r>
        <w:rPr>
          <w:rFonts w:hint="eastAsia" w:ascii="仿宋" w:hAnsi="仿宋" w:eastAsia="仿宋"/>
          <w:color w:val="000000"/>
          <w:sz w:val="32"/>
          <w:szCs w:val="32"/>
          <w:highlight w:val="none"/>
        </w:rPr>
        <w:t>收入合计</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bookmarkEnd w:id="90"/>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pStyle w:val="7"/>
        <w:numPr>
          <w:ilvl w:val="0"/>
          <w:numId w:val="0"/>
        </w:numPr>
        <w:tabs>
          <w:tab w:val="left" w:pos="879"/>
        </w:tabs>
        <w:rPr>
          <w:rFonts w:hint="default"/>
          <w:highlight w:val="none"/>
          <w:lang w:val="en-US" w:eastAsia="zh-CN"/>
        </w:rPr>
      </w:pPr>
      <w:r>
        <w:rPr>
          <w:rFonts w:hint="eastAsia"/>
          <w:highlight w:val="none"/>
          <w:lang w:val="en-US" w:eastAsia="zh-CN"/>
        </w:rPr>
        <w:t xml:space="preserve">      </w:t>
      </w:r>
      <w:r>
        <w:rPr>
          <w:rFonts w:hint="eastAsia" w:ascii="仿宋" w:hAnsi="仿宋" w:eastAsia="仿宋"/>
          <w:color w:val="000000"/>
          <w:sz w:val="32"/>
          <w:szCs w:val="32"/>
          <w:highlight w:val="none"/>
          <w:lang w:eastAsia="zh-CN"/>
        </w:rPr>
        <w:t>2022年区人力资源和社会保障局</w:t>
      </w:r>
      <w:r>
        <w:rPr>
          <w:rFonts w:hint="eastAsia" w:ascii="仿宋" w:hAnsi="仿宋" w:eastAsia="仿宋"/>
          <w:color w:val="000000"/>
          <w:sz w:val="32"/>
          <w:szCs w:val="32"/>
          <w:highlight w:val="none"/>
        </w:rPr>
        <w:t>支出合计</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1016.40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24.03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3212.48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75.97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5"/>
        <w:ind w:firstLine="600" w:firstLineChars="200"/>
        <w:rPr>
          <w:rFonts w:hint="eastAsia"/>
          <w:highlight w:val="none"/>
          <w:lang w:val="en-US" w:eastAsia="zh-CN"/>
        </w:rPr>
      </w:pPr>
      <w:r>
        <w:rPr>
          <w:rFonts w:hint="eastAsia"/>
          <w:highlight w:val="none"/>
          <w:lang w:val="en-US" w:eastAsia="zh-CN"/>
        </w:rPr>
        <w:t>无。</w:t>
      </w:r>
    </w:p>
    <w:p>
      <w:pPr>
        <w:pStyle w:val="5"/>
        <w:ind w:firstLine="643" w:firstLineChars="200"/>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spacing w:line="600" w:lineRule="exact"/>
        <w:ind w:firstLine="640" w:firstLineChars="200"/>
        <w:outlineLvl w:val="9"/>
        <w:rPr>
          <w:rFonts w:hint="default"/>
          <w:highlight w:val="none"/>
          <w:lang w:val="en-US" w:eastAsia="zh-CN"/>
        </w:rPr>
      </w:pPr>
      <w:bookmarkStart w:id="91" w:name="_Toc3335"/>
      <w:r>
        <w:rPr>
          <w:rFonts w:hint="eastAsia" w:ascii="仿宋" w:hAnsi="仿宋" w:eastAsia="仿宋"/>
          <w:color w:val="000000"/>
          <w:sz w:val="32"/>
          <w:szCs w:val="32"/>
          <w:highlight w:val="none"/>
          <w:lang w:eastAsia="zh-CN"/>
        </w:rPr>
        <w:t>2022年区人力资源和社会保障局财政拨款</w:t>
      </w:r>
      <w:r>
        <w:rPr>
          <w:rFonts w:hint="eastAsia" w:ascii="仿宋" w:hAnsi="仿宋" w:eastAsia="仿宋"/>
          <w:color w:val="000000"/>
          <w:sz w:val="32"/>
          <w:szCs w:val="32"/>
          <w:highlight w:val="none"/>
        </w:rPr>
        <w:t>收入合计</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bookmarkEnd w:id="91"/>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7"/>
        <w:numPr>
          <w:ilvl w:val="0"/>
          <w:numId w:val="0"/>
        </w:numPr>
        <w:tabs>
          <w:tab w:val="left" w:pos="879"/>
        </w:tabs>
        <w:rPr>
          <w:rFonts w:hint="eastAsia" w:ascii="仿宋" w:hAnsi="仿宋" w:eastAsia="仿宋"/>
          <w:color w:val="000000"/>
          <w:sz w:val="32"/>
          <w:szCs w:val="32"/>
          <w:highlight w:val="none"/>
          <w:lang w:val="en-US" w:eastAsia="zh-CN"/>
        </w:rPr>
      </w:pPr>
      <w:r>
        <w:rPr>
          <w:rFonts w:hint="eastAsia"/>
          <w:highlight w:val="none"/>
          <w:lang w:val="en-US" w:eastAsia="zh-CN"/>
        </w:rPr>
        <w:t xml:space="preserve">      </w:t>
      </w:r>
      <w:r>
        <w:rPr>
          <w:rFonts w:hint="eastAsia" w:ascii="仿宋" w:hAnsi="仿宋" w:eastAsia="仿宋"/>
          <w:color w:val="000000"/>
          <w:sz w:val="32"/>
          <w:szCs w:val="32"/>
          <w:highlight w:val="none"/>
          <w:lang w:eastAsia="zh-CN"/>
        </w:rPr>
        <w:t>2022年区人力资源和社会保障局</w:t>
      </w:r>
      <w:r>
        <w:rPr>
          <w:rFonts w:hint="eastAsia" w:ascii="仿宋" w:hAnsi="仿宋" w:eastAsia="仿宋"/>
          <w:color w:val="000000"/>
          <w:sz w:val="32"/>
          <w:szCs w:val="32"/>
          <w:highlight w:val="none"/>
        </w:rPr>
        <w:t>支出合计</w:t>
      </w:r>
      <w:r>
        <w:rPr>
          <w:rFonts w:hint="eastAsia" w:ascii="仿宋" w:hAnsi="仿宋" w:eastAsia="仿宋"/>
          <w:color w:val="000000"/>
          <w:sz w:val="32"/>
          <w:szCs w:val="32"/>
          <w:highlight w:val="none"/>
          <w:lang w:val="en-US" w:eastAsia="zh-CN"/>
        </w:rPr>
        <w:t>4228.88</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其中：</w:t>
      </w:r>
      <w:r>
        <w:rPr>
          <w:rFonts w:hint="eastAsia" w:ascii="仿宋" w:hAnsi="仿宋" w:eastAsia="仿宋"/>
          <w:color w:val="000000"/>
          <w:sz w:val="32"/>
          <w:szCs w:val="32"/>
          <w:highlight w:val="none"/>
          <w:lang w:eastAsia="zh-CN"/>
        </w:rPr>
        <w:t>一般公共预算财政拨款支出</w:t>
      </w:r>
      <w:r>
        <w:rPr>
          <w:rFonts w:hint="eastAsia" w:ascii="仿宋" w:hAnsi="仿宋" w:eastAsia="仿宋"/>
          <w:color w:val="000000"/>
          <w:sz w:val="32"/>
          <w:szCs w:val="32"/>
          <w:highlight w:val="none"/>
          <w:lang w:val="en-US" w:eastAsia="zh-CN"/>
        </w:rPr>
        <w:t>4228.88万元，占100%。</w:t>
      </w:r>
    </w:p>
    <w:p>
      <w:pPr>
        <w:pStyle w:val="7"/>
        <w:numPr>
          <w:ilvl w:val="0"/>
          <w:numId w:val="0"/>
        </w:numPr>
        <w:tabs>
          <w:tab w:val="left" w:pos="879"/>
        </w:tabs>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5"/>
        <w:numPr>
          <w:ilvl w:val="0"/>
          <w:numId w:val="0"/>
        </w:numPr>
        <w:ind w:firstLine="600" w:firstLineChars="200"/>
        <w:rPr>
          <w:rFonts w:hint="default"/>
          <w:highlight w:val="none"/>
          <w:lang w:val="en-US" w:eastAsia="zh-CN"/>
        </w:rPr>
      </w:pPr>
      <w:r>
        <w:rPr>
          <w:rFonts w:hint="eastAsia"/>
          <w:highlight w:val="none"/>
          <w:lang w:val="en-US" w:eastAsia="zh-CN"/>
        </w:rPr>
        <w:t>无。</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bookmarkStart w:id="92" w:name="_Toc7766"/>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92"/>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val="en-US" w:eastAsia="zh-CN"/>
        </w:rPr>
        <w:t>预算包括在职人员基本工资、津贴补贴、绩效工资、基础目标奖、五险一金、职业年金，退休人员基础目标奖等。按照预算人数、职级对应测算，成本可控、职工满意等绩效目标要求及财政总体安排，我单位按月打卡发放工资、向社保部门缴纳养老、医疗等各项保险，向公积金中心缴纳住房公积金。截止2022年底，我单位严格控制人员经费成本，不多不漏，及时足额发放人员经费，单位职工满意度100%，圆满完成了人员经费的绩效目标任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val="en-US" w:eastAsia="zh-CN"/>
        </w:rPr>
        <w:t>预算包括社保工作经费、劳动监察及仲裁工作经费、农民工服务中心工作经费、人事招考、职改、调资等经费、社保就业大厅运行经费、金保工程运行维护费、技能人才建设资金、劳务派遣费、人才交流中心工作经费、流动人员档案管理经费，单位定额公用经费。主要用于保障单位各二级经办机构、社保就业大厅日常工作运转所需的办公费、邮电费、印刷费、劳务费、差旅费、水电费、维修（护）费、其他工资福利、培训费、公务接待费、其他交通费、物业管理费等，通过分项目制定绩效目标，严格把控成本、及时合理的支付各项费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val="en-US" w:eastAsia="zh-CN"/>
        </w:rPr>
        <w:t>预算包括就业创业补助资金、争取资金工作经费、招商引资工作经费、农民工工作站经费、东西部协作促进本级配套、公开引进高层次人才和招聘急需紧缺专业人才工作经费、公开引进高层次人才和招聘急需紧缺专业人才安家补助、2022年中央财政衔接推进乡村振兴补助资金、普惠经费发展资金、就业创业资金等项目，通过分项目制定绩效目标，从严控制经费，经差各项目支出的办公费、印刷费、水费、电费、物业费、物业管理等费用支出与预算相符，及时足额支付相关费用。</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局在各项目实施过程中，建立健全相关制度、机制，严格执行，推进各专项工作的落实。项目资金管理实行专项管理，严格审批制度，真正做到了专款专用，确保项目资金有效的利用。总体来说项目审核严格，管理到位，完成及时，社会效果良好。我单位按照《广元市昭化区人民政府办公室关于印发&lt;广元市昭化区财政预算绩效管理实施细则&gt;的通知》(昭府办函〔2018〕118号)绩效评价指标体系开展绩效评价。自评得分为95分。</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sz w:val="32"/>
          <w:szCs w:val="32"/>
          <w:highlight w:val="none"/>
          <w:lang w:val="en-US" w:eastAsia="zh-CN"/>
        </w:rPr>
        <w:t>本单位严格执行预决算公开制度。在内部应用方面，将内设机构和下属单位绩效自评纳入考核体系，建立对内设机构和下属单位预算与绩效挂钩机制</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z w:val="32"/>
          <w:szCs w:val="32"/>
          <w:highlight w:val="none"/>
          <w:lang w:eastAsia="zh-CN"/>
        </w:rPr>
        <w:t>按要求将相关绩效信息随同决算公开的。</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eastAsia="zh-CN"/>
        </w:rPr>
        <w:t>部门针对绩效管理过程中（包括绩效目标核查、绩效监控核查、重点自评抽查和重点绩效评价）提出的问题整改问题、完善政策、改进管理。</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eastAsia="zh-CN"/>
        </w:rPr>
        <w:t>应用反馈</w:t>
      </w:r>
      <w:r>
        <w:rPr>
          <w:rFonts w:hint="eastAsia" w:ascii="仿宋_GB2312" w:hAnsi="仿宋_GB2312" w:eastAsia="仿宋_GB2312" w:cs="仿宋_GB2312"/>
          <w:sz w:val="32"/>
          <w:szCs w:val="32"/>
          <w:highlight w:val="none"/>
          <w:lang w:val="en-US" w:eastAsia="zh-CN"/>
        </w:rPr>
        <w:t>方面，本</w:t>
      </w:r>
      <w:r>
        <w:rPr>
          <w:rFonts w:hint="eastAsia" w:ascii="仿宋_GB2312" w:hAnsi="仿宋_GB2312" w:eastAsia="仿宋_GB2312" w:cs="仿宋_GB2312"/>
          <w:sz w:val="32"/>
          <w:szCs w:val="32"/>
          <w:highlight w:val="none"/>
          <w:lang w:eastAsia="zh-CN"/>
        </w:rPr>
        <w:t>部门在规定时间内向财政部门反馈应用绩效结果报告。</w:t>
      </w:r>
    </w:p>
    <w:p>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本单位严格按照预算绩效管理办法开展绩效自评，健全财政预算绩效管理机制，强化绩效目标管理，使整体支出绩效准确率100%，自评质量高。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bookmarkStart w:id="93" w:name="_Toc16415"/>
      <w:r>
        <w:rPr>
          <w:rFonts w:hint="eastAsia" w:ascii="黑体" w:hAnsi="宋体" w:eastAsia="黑体" w:cs="宋体"/>
          <w:color w:val="auto"/>
          <w:kern w:val="0"/>
          <w:sz w:val="32"/>
          <w:szCs w:val="32"/>
          <w:highlight w:val="none"/>
          <w:shd w:val="clear" w:color="auto" w:fill="FFFFFF"/>
        </w:rPr>
        <w:t>四、评价结论及建议</w:t>
      </w:r>
      <w:bookmarkEnd w:id="93"/>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highlight w:val="none"/>
          <w:lang w:val="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局在各项目实施过程中，建立健全相关制度、机制，严格执行，推进各专项工作的落实。项目资金管理实行专项管理，严格审批制度，真正做到了专款专用，确保项目资金有效的利用。总体来说项目审核严格，管理到位，完成及时，社会效果良好。我单位按照《广元市昭化区人民政府办公室关于印发&lt;广元市昭化区财政预算绩效管理实施细则&gt;的通知》(昭府办函〔2018〕118号)绩效评价指标体系开展绩效评价。自评得分为95分。</w:t>
      </w:r>
    </w:p>
    <w:p>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绩效工作配合存在不足，财务和业务股室责任分工不明确。</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细化内部财务和业务部门的责任分工，明确自评应由相应资金对应业务部门具体实施，财务部门负责牵头推动、督促协调。</w:t>
      </w:r>
    </w:p>
    <w:p>
      <w:pPr>
        <w:pStyle w:val="7"/>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w:t>
      </w:r>
      <w:r>
        <w:rPr>
          <w:rFonts w:hint="eastAsia" w:hAnsi="仿宋_GB2312" w:eastAsia="仿宋_GB2312" w:cs="仿宋_GB2312"/>
          <w:color w:val="auto"/>
          <w:sz w:val="32"/>
          <w:szCs w:val="32"/>
          <w:highlight w:val="none"/>
          <w:lang w:val="zh-CN" w:eastAsia="zh-CN"/>
        </w:rPr>
        <w:t>件</w:t>
      </w:r>
      <w:r>
        <w:rPr>
          <w:rFonts w:hint="eastAsia" w:ascii="仿宋_GB2312" w:hAnsi="仿宋_GB2312" w:eastAsia="仿宋_GB2312" w:cs="仿宋_GB2312"/>
          <w:color w:val="auto"/>
          <w:sz w:val="32"/>
          <w:szCs w:val="32"/>
          <w:highlight w:val="none"/>
          <w:lang w:val="zh-CN" w:eastAsia="zh-CN"/>
        </w:rPr>
        <w:t>：</w:t>
      </w:r>
      <w:r>
        <w:rPr>
          <w:rFonts w:hint="eastAsia" w:hAnsi="仿宋_GB2312" w:eastAsia="仿宋_GB2312" w:cs="仿宋_GB2312"/>
          <w:color w:val="auto"/>
          <w:sz w:val="32"/>
          <w:szCs w:val="32"/>
          <w:highlight w:val="none"/>
          <w:lang w:val="zh-CN" w:eastAsia="zh-CN"/>
        </w:rPr>
        <w:t>广元市昭化区人力资源和社会保障局</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整体</w:t>
      </w:r>
      <w:r>
        <w:rPr>
          <w:rFonts w:hint="eastAsia" w:ascii="仿宋_GB2312" w:hAnsi="仿宋_GB2312" w:eastAsia="仿宋_GB2312" w:cs="仿宋_GB2312"/>
          <w:color w:val="auto"/>
          <w:sz w:val="32"/>
          <w:szCs w:val="32"/>
          <w:highlight w:val="none"/>
          <w:lang w:val="en-US" w:eastAsia="zh-CN"/>
        </w:rPr>
        <w:t>支出绩效自评表（2022年度）</w:t>
      </w: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jc w:val="center"/>
        <w:rPr>
          <w:rFonts w:hint="eastAsia" w:ascii="微软雅黑" w:hAnsi="微软雅黑" w:eastAsia="微软雅黑" w:cs="微软雅黑"/>
          <w:color w:val="auto"/>
          <w:sz w:val="40"/>
          <w:szCs w:val="40"/>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both"/>
        <w:textAlignment w:val="auto"/>
        <w:outlineLvl w:val="1"/>
        <w:rPr>
          <w:rFonts w:hint="eastAsia" w:ascii="方正小标宋简体" w:hAnsi="方正小标宋简体" w:eastAsia="方正小标宋简体" w:cs="方正小标宋简体"/>
          <w:color w:val="auto"/>
          <w:sz w:val="28"/>
          <w:szCs w:val="28"/>
          <w:highlight w:val="none"/>
          <w:lang w:val="en-US" w:eastAsia="zh-CN"/>
        </w:rPr>
      </w:pPr>
      <w:bookmarkStart w:id="94" w:name="_Toc12123"/>
      <w:r>
        <w:rPr>
          <w:rFonts w:hint="eastAsia" w:ascii="方正小标宋简体" w:hAnsi="方正小标宋简体" w:eastAsia="方正小标宋简体" w:cs="方正小标宋简体"/>
          <w:color w:val="auto"/>
          <w:sz w:val="28"/>
          <w:szCs w:val="28"/>
          <w:highlight w:val="none"/>
          <w:lang w:val="en-US" w:eastAsia="zh-CN"/>
        </w:rPr>
        <w:t>附件</w:t>
      </w:r>
    </w:p>
    <w:p>
      <w:pPr>
        <w:keepNext w:val="0"/>
        <w:keepLines w:val="0"/>
        <w:pageBreakBefore w:val="0"/>
        <w:widowControl/>
        <w:kinsoku/>
        <w:wordWrap/>
        <w:overflowPunct/>
        <w:topLinePunct w:val="0"/>
        <w:autoSpaceDE/>
        <w:autoSpaceDN/>
        <w:bidi w:val="0"/>
        <w:adjustRightInd w:val="0"/>
        <w:snapToGrid w:val="0"/>
        <w:spacing w:line="576" w:lineRule="exact"/>
        <w:contextualSpacing/>
        <w:jc w:val="center"/>
        <w:textAlignment w:val="auto"/>
        <w:outlineLvl w:val="1"/>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广元市昭化区人力资源和社会保障局部门整体</w:t>
      </w:r>
      <w:bookmarkEnd w:id="94"/>
    </w:p>
    <w:p>
      <w:pPr>
        <w:keepNext w:val="0"/>
        <w:keepLines w:val="0"/>
        <w:pageBreakBefore w:val="0"/>
        <w:widowControl/>
        <w:kinsoku/>
        <w:wordWrap/>
        <w:overflowPunct/>
        <w:topLinePunct w:val="0"/>
        <w:autoSpaceDE/>
        <w:autoSpaceDN/>
        <w:bidi w:val="0"/>
        <w:adjustRightInd w:val="0"/>
        <w:snapToGrid w:val="0"/>
        <w:spacing w:line="576" w:lineRule="exact"/>
        <w:contextualSpacing/>
        <w:jc w:val="center"/>
        <w:textAlignment w:val="auto"/>
        <w:outlineLvl w:val="1"/>
        <w:rPr>
          <w:rFonts w:hint="eastAsia" w:ascii="方正小标宋简体" w:hAnsi="方正小标宋简体" w:eastAsia="方正小标宋简体" w:cs="方正小标宋简体"/>
          <w:color w:val="auto"/>
          <w:sz w:val="40"/>
          <w:szCs w:val="40"/>
          <w:highlight w:val="none"/>
          <w:lang w:val="en-US" w:eastAsia="zh-CN"/>
        </w:rPr>
      </w:pPr>
      <w:bookmarkStart w:id="95" w:name="_Toc18118"/>
      <w:r>
        <w:rPr>
          <w:rFonts w:hint="eastAsia" w:ascii="方正小标宋简体" w:hAnsi="方正小标宋简体" w:eastAsia="方正小标宋简体" w:cs="方正小标宋简体"/>
          <w:color w:val="auto"/>
          <w:sz w:val="40"/>
          <w:szCs w:val="40"/>
          <w:highlight w:val="none"/>
          <w:lang w:val="en-US" w:eastAsia="zh-CN"/>
        </w:rPr>
        <w:t>支出绩效目标自评表</w:t>
      </w:r>
      <w:bookmarkEnd w:id="95"/>
    </w:p>
    <w:p>
      <w:pPr>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（2022年度）</w:t>
      </w:r>
    </w:p>
    <w:tbl>
      <w:tblPr>
        <w:tblStyle w:val="15"/>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779"/>
        <w:gridCol w:w="1041"/>
        <w:gridCol w:w="1042"/>
        <w:gridCol w:w="1619"/>
        <w:gridCol w:w="1289"/>
        <w:gridCol w:w="1289"/>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广元市昭化区人力资源和社会保障局</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项目（政策）资金（万元）</w:t>
            </w:r>
          </w:p>
        </w:tc>
        <w:tc>
          <w:tcPr>
            <w:tcW w:w="2083"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1501.56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（一）财政拨款小计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1501.56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1.一般公共预算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1501.56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4228.88</w:t>
            </w:r>
          </w:p>
        </w:tc>
        <w:tc>
          <w:tcPr>
            <w:tcW w:w="1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2.政府性基金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3.国有资本经营预算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4.社保基金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0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8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（二）其他资金</w:t>
            </w:r>
          </w:p>
        </w:tc>
        <w:tc>
          <w:tcPr>
            <w:tcW w:w="161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8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w:t>
            </w: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w:t>
            </w:r>
          </w:p>
        </w:tc>
        <w:tc>
          <w:tcPr>
            <w:tcW w:w="381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扣保障民生和服务发展两大主线，统筹抓好疫情防控和人社主责主业，保障各项工作有序有效有力推进。完成城镇新增就业1300人，登记实业率控制在4%以内，培育返乡农民工创业20个，脱贫人口创办领办创业实体10个，多渠道开发就业岗位，促进劳动者实现更加充分、更高质量就业。深入推进社会保障制度改革，完成全区养老保险参保覆盖人数14.79万人，保险待遇发放100%。组织事业单位工作人员招聘考试6次，招募“三支一扶”考试1次。完成650名事业单位管理人员的职级改革，充分激发人才队伍活力。宣传、检查国家劳动保障法律、法规和规章全年不少于24次，及时受理对违反劳动保障法律、法规或者规章的行为的举报、投诉，聘请法律顾问，以抓好农民工工资支付为核心，控制集访事件，构建和谐劳动关系。通过优化温暖人社服务质量供给，打响温暖人社服务品牌。</w:t>
            </w:r>
          </w:p>
        </w:tc>
        <w:tc>
          <w:tcPr>
            <w:tcW w:w="381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扣保障民生和服务发展两大主线，统筹抓好疫情防控和人社主责主业，保障各项工作有序有效有力推进。完成城镇新增就业1600人，登记实业率控制在4%以内，培育返乡农民工创业27个，脱贫人口创办领办创业实体70个，多渠道开发就业岗位，促进劳动者实现更加充分、更高质量就业。深入推进社会保障制度改革，完成全区养老保险参保覆盖人数15.52万人，保险待遇发放100%。组织事业单位工作人员招聘考试6次，招募“三支一扶”考试1次。完成325名事业单位管理人员的职级改革，充分激发人才队伍活力。宣传、检查国家劳动保障法律、法规和规章全年于24次，及时受理对违反劳动保障法律、法规或者规章的行为的举报、投诉，聘请法律顾问，以抓好农民工工资支付为核心，控制集访事件，构建和谐劳动关系。通过优化温暖人社服务质量供给，打响温暖人社服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部门整体绩效指标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236"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参保人数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≥14.79万人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156247人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参加招商引资推介会次数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3次</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城镇新增就业人数（人）</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单位发放职工工资及缴纳各类保险人数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检查用人单位遵守劳动保障法律、法规和规章的执行情况次数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24次</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累计洽谈项目个数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4个</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纳入管理范畴的人事档案数量</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≥1000册卷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1200测卷</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年度毕业人员新进档案管理增加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设置标准化服务窗口</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20个</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脱贫人口创办领办创业实体个数（个）</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70个</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完成事业单位管理人员职级改革人数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325人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仅325人符合条件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为全区低保对象、特困人员等困难群体代缴城乡居民基本养老保险</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23653人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据实统计，加大社保宣传力度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向上争取资金</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7888.06万元</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转移农民工外出务工人数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8.9万人</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开展了专业农民工专班行动，扩大宣传力度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组织事业单位招聘考试次数</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8次</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城镇登记失业率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劳动保障监察举报投诉案件结案率及劳动人事争议仲裁结案率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落实政策，精准惠民</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企业劳动合同签订率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提升全区人才队伍建设</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完成2022年区政府下达的招商引资目标任务</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养老金领取资格认证率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流动人员人事档案信息化及事业干部人事档案数字化扫描工作完成率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档案转入、转出、查询的及时率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完成年限</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1年</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养老保险待遇按时足额发放及时率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保障社保、就业等工作运转支出</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335万元</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人员经费及日常运转经费</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≤900.95万元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1016.39万元</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人员增加，预算调整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农民工劳务经济收入稳定增长</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增加税收收入</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企业劳动合同签订率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群众获得感、幸福感不断增强</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增加了就业机会，拓宽了就业渠道</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高校毕业生就业率稳步提升</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266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社保、就业等服务对象满意度</w:t>
            </w:r>
          </w:p>
        </w:tc>
        <w:tc>
          <w:tcPr>
            <w:tcW w:w="12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36"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ageBreakBefore w:val="0"/>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rPr>
      </w:pPr>
      <w:bookmarkStart w:id="96" w:name="_Toc15396618"/>
    </w:p>
    <w:p>
      <w:pPr>
        <w:pageBreakBefore w:val="0"/>
        <w:kinsoku/>
        <w:wordWrap/>
        <w:overflowPunct/>
        <w:topLinePunct w:val="0"/>
        <w:bidi w:val="0"/>
        <w:spacing w:line="576" w:lineRule="exact"/>
        <w:jc w:val="center"/>
        <w:textAlignment w:val="auto"/>
        <w:outlineLvl w:val="0"/>
        <w:rPr>
          <w:rFonts w:hint="eastAsia" w:ascii="黑体" w:hAnsi="黑体" w:eastAsia="黑体"/>
          <w:color w:val="auto"/>
          <w:sz w:val="44"/>
          <w:szCs w:val="44"/>
          <w:highlight w:val="none"/>
        </w:rPr>
        <w:sectPr>
          <w:footerReference r:id="rId6" w:type="first"/>
          <w:footerReference r:id="rId5" w:type="default"/>
          <w:pgSz w:w="11906" w:h="16838"/>
          <w:pgMar w:top="1984" w:right="1474" w:bottom="1871" w:left="1587" w:header="851" w:footer="992" w:gutter="0"/>
          <w:pgNumType w:fmt="decimal" w:start="1"/>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default" w:ascii="黑体" w:hAnsi="黑体" w:eastAsia="黑体" w:cs="黑体"/>
          <w:b w:val="0"/>
          <w:bCs/>
          <w:color w:val="auto"/>
          <w:sz w:val="32"/>
          <w:szCs w:val="32"/>
          <w:highlight w:val="none"/>
          <w:shd w:val="clear" w:color="auto" w:fill="FFFFFF"/>
          <w:lang w:val="en-US" w:eastAsia="zh-CN"/>
        </w:rPr>
      </w:pPr>
      <w:bookmarkStart w:id="97" w:name="_Toc28562"/>
      <w:r>
        <w:rPr>
          <w:rFonts w:hint="eastAsia" w:ascii="黑体" w:hAnsi="黑体" w:eastAsia="黑体" w:cs="黑体"/>
          <w:b w:val="0"/>
          <w:bCs/>
          <w:color w:val="auto"/>
          <w:sz w:val="32"/>
          <w:szCs w:val="32"/>
          <w:highlight w:val="none"/>
          <w:shd w:val="clear" w:color="auto" w:fill="FFFFFF"/>
          <w:lang w:val="en-US" w:eastAsia="zh-CN"/>
        </w:rPr>
        <w:t>附件2</w:t>
      </w:r>
      <w:bookmarkEnd w:id="97"/>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1"/>
        <w:rPr>
          <w:rFonts w:hint="eastAsia" w:ascii="微软雅黑" w:hAnsi="微软雅黑" w:eastAsia="微软雅黑" w:cs="微软雅黑"/>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1"/>
        <w:rPr>
          <w:rFonts w:hint="eastAsia" w:ascii="方正粗黑宋简体" w:hAnsi="方正粗黑宋简体" w:eastAsia="方正粗黑宋简体" w:cs="方正粗黑宋简体"/>
          <w:sz w:val="32"/>
          <w:szCs w:val="32"/>
          <w:highlight w:val="none"/>
          <w:lang w:val="en-US" w:eastAsia="zh-CN"/>
        </w:rPr>
      </w:pPr>
      <w:bookmarkStart w:id="98" w:name="_Toc1200"/>
      <w:r>
        <w:rPr>
          <w:rFonts w:hint="eastAsia" w:ascii="方正小标宋简体" w:hAnsi="方正小标宋简体" w:eastAsia="方正小标宋简体" w:cs="方正小标宋简体"/>
          <w:sz w:val="44"/>
          <w:szCs w:val="44"/>
          <w:highlight w:val="none"/>
          <w:lang w:val="en-US" w:eastAsia="zh-CN"/>
        </w:rPr>
        <w:t>广元市昭化区人力资源和社会保障局东西部协作稳岗就业促进项目支出自评报告（自评表）</w:t>
      </w:r>
      <w:bookmarkEnd w:id="98"/>
      <w:r>
        <w:rPr>
          <w:rFonts w:hint="eastAsia" w:ascii="方正粗黑宋简体" w:hAnsi="方正粗黑宋简体" w:eastAsia="方正粗黑宋简体" w:cs="方正粗黑宋简体"/>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440" w:lineRule="exact"/>
        <w:ind w:left="0" w:leftChars="0" w:right="0" w:rightChars="0" w:firstLine="0" w:firstLineChars="0"/>
        <w:jc w:val="center"/>
        <w:textAlignment w:val="auto"/>
        <w:outlineLvl w:val="9"/>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kern w:val="2"/>
          <w:sz w:val="32"/>
          <w:szCs w:val="32"/>
          <w:highlight w:val="none"/>
          <w:lang w:val="zh-CN" w:eastAsia="zh-CN" w:bidi="ar-SA"/>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cs="Times New Roman"/>
          <w:highlight w:val="none"/>
          <w:lang w:val="zh-CN" w:eastAsia="zh-CN"/>
        </w:rPr>
      </w:pPr>
      <w:r>
        <w:rPr>
          <w:rFonts w:hint="eastAsia" w:ascii="Times New Roman" w:hAnsi="Times New Roman" w:eastAsia="楷体_GB2312" w:cs="Times New Roman"/>
          <w:b/>
          <w:sz w:val="32"/>
          <w:szCs w:val="32"/>
          <w:highlight w:val="none"/>
          <w:lang w:val="zh-CN"/>
        </w:rPr>
        <w:t>（一）</w:t>
      </w:r>
      <w:r>
        <w:rPr>
          <w:rFonts w:hint="default" w:ascii="Times New Roman" w:hAnsi="Times New Roman" w:eastAsia="楷体_GB2312" w:cs="Times New Roman"/>
          <w:b/>
          <w:sz w:val="32"/>
          <w:szCs w:val="32"/>
          <w:highlight w:val="none"/>
          <w:lang w:val="zh-CN"/>
        </w:rPr>
        <w:t>项目</w:t>
      </w:r>
      <w:r>
        <w:rPr>
          <w:rFonts w:hint="eastAsia" w:eastAsia="楷体_GB2312" w:cs="Times New Roman"/>
          <w:b/>
          <w:sz w:val="32"/>
          <w:szCs w:val="32"/>
          <w:highlight w:val="none"/>
          <w:lang w:val="zh-CN"/>
        </w:rPr>
        <w:t>资金申报及批复情况。</w:t>
      </w:r>
      <w:r>
        <w:rPr>
          <w:rFonts w:hint="eastAsia" w:cs="Times New Roman"/>
          <w:sz w:val="32"/>
          <w:szCs w:val="32"/>
          <w:highlight w:val="none"/>
          <w:lang w:val="zh-CN"/>
        </w:rPr>
        <w:t>东西部协作稳岗就业促进项目本级配套</w:t>
      </w:r>
      <w:r>
        <w:rPr>
          <w:rFonts w:hint="eastAsia" w:ascii="Times New Roman" w:hAnsi="Times New Roman" w:cs="Times New Roman"/>
          <w:sz w:val="32"/>
          <w:szCs w:val="32"/>
          <w:highlight w:val="none"/>
          <w:lang w:val="zh-CN"/>
        </w:rPr>
        <w:t>是</w:t>
      </w:r>
      <w:r>
        <w:rPr>
          <w:rFonts w:hint="eastAsia" w:cs="Times New Roman"/>
          <w:sz w:val="32"/>
          <w:szCs w:val="32"/>
          <w:highlight w:val="none"/>
          <w:lang w:val="zh-CN"/>
        </w:rPr>
        <w:t>为</w:t>
      </w:r>
      <w:r>
        <w:rPr>
          <w:rFonts w:hint="eastAsia" w:ascii="Times New Roman" w:hAnsi="Times New Roman" w:eastAsia="仿宋_GB2312" w:cs="仿宋_GB2312"/>
          <w:sz w:val="32"/>
          <w:szCs w:val="32"/>
          <w:highlight w:val="none"/>
        </w:rPr>
        <w:t>实施东西部稳岗就业促进项目，通过提升劳动力技能，促进劳动力转移，鼓励车间、企业吸纳就业</w:t>
      </w:r>
      <w:r>
        <w:rPr>
          <w:rFonts w:hint="eastAsia" w:cs="仿宋_GB2312"/>
          <w:sz w:val="32"/>
          <w:szCs w:val="32"/>
          <w:highlight w:val="none"/>
          <w:lang w:eastAsia="zh-CN"/>
        </w:rPr>
        <w:t>，属于</w:t>
      </w:r>
      <w:r>
        <w:rPr>
          <w:rFonts w:hint="eastAsia" w:cs="仿宋_GB2312"/>
          <w:sz w:val="32"/>
          <w:szCs w:val="32"/>
          <w:highlight w:val="none"/>
          <w:lang w:val="en-US" w:eastAsia="zh-CN"/>
        </w:rPr>
        <w:t>2022年年度追加项目，项目批复173万元。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Times New Roman" w:hAnsi="Times New Roman" w:cs="Times New Roman"/>
          <w:sz w:val="32"/>
          <w:szCs w:val="32"/>
          <w:highlight w:val="none"/>
          <w:lang w:val="zh-CN" w:eastAsia="zh-CN"/>
        </w:rPr>
      </w:pPr>
      <w:r>
        <w:rPr>
          <w:rFonts w:hint="eastAsia" w:ascii="Times New Roman" w:hAnsi="Times New Roman" w:eastAsia="楷体_GB2312" w:cs="Times New Roman"/>
          <w:b/>
          <w:sz w:val="32"/>
          <w:szCs w:val="32"/>
          <w:highlight w:val="none"/>
          <w:lang w:val="zh-CN"/>
        </w:rPr>
        <w:t>（二）</w:t>
      </w:r>
      <w:r>
        <w:rPr>
          <w:rFonts w:hint="default" w:ascii="Times New Roman" w:hAnsi="Times New Roman" w:eastAsia="楷体_GB2312" w:cs="Times New Roman"/>
          <w:b/>
          <w:sz w:val="32"/>
          <w:szCs w:val="32"/>
          <w:highlight w:val="none"/>
          <w:lang w:val="zh-CN"/>
        </w:rPr>
        <w:t>项目绩效目标。</w:t>
      </w:r>
      <w:r>
        <w:rPr>
          <w:rFonts w:hint="eastAsia" w:ascii="Times New Roman" w:hAnsi="Times New Roman" w:eastAsia="仿宋_GB2312" w:cs="仿宋_GB2312"/>
          <w:sz w:val="32"/>
          <w:szCs w:val="32"/>
          <w:highlight w:val="none"/>
          <w:lang w:val="zh-CN" w:eastAsia="zh-CN"/>
        </w:rPr>
        <w:t>该项目主要内容是</w:t>
      </w:r>
      <w:r>
        <w:rPr>
          <w:rFonts w:hint="eastAsia" w:ascii="Times New Roman" w:hAnsi="Times New Roman" w:eastAsia="仿宋_GB2312" w:cs="仿宋_GB2312"/>
          <w:sz w:val="32"/>
          <w:szCs w:val="32"/>
          <w:highlight w:val="none"/>
          <w:lang w:val="zh-CN"/>
        </w:rPr>
        <w:t>促进劳动力转移就业，鼓励车间、企业吸纳就业，预计覆盖500人以上，促进年度人均增收5400元以上</w:t>
      </w:r>
      <w:r>
        <w:rPr>
          <w:rFonts w:hint="eastAsia" w:ascii="Times New Roman" w:hAnsi="Times New Roman" w:eastAsia="仿宋_GB2312" w:cs="仿宋_GB2312"/>
          <w:sz w:val="32"/>
          <w:szCs w:val="32"/>
          <w:highlight w:val="none"/>
          <w:lang w:val="zh-CN" w:eastAsia="zh-CN"/>
        </w:rPr>
        <w:t>，脱贫人口转移</w:t>
      </w:r>
      <w:r>
        <w:rPr>
          <w:rFonts w:hint="eastAsia" w:ascii="Times New Roman" w:hAnsi="Times New Roman" w:eastAsia="仿宋_GB2312" w:cs="仿宋_GB2312"/>
          <w:sz w:val="32"/>
          <w:szCs w:val="32"/>
          <w:highlight w:val="none"/>
          <w:lang w:val="en-US" w:eastAsia="zh-CN"/>
        </w:rPr>
        <w:t>40人以上，脱贫人口通过技能培训实现就业大于50人，昭化区劳动力通过招聘会实现就业大于100人，浙江企业吸纳脱贫劳动力稳定就业大于60人，政策宣传及执行率≥95%，享受政策劳动力满意度≥95%。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cs="Times New Roman"/>
          <w:sz w:val="32"/>
          <w:szCs w:val="32"/>
          <w:highlight w:val="none"/>
          <w:lang w:val="zh-CN" w:eastAsia="zh-CN"/>
        </w:rPr>
      </w:pPr>
      <w:r>
        <w:rPr>
          <w:rFonts w:hint="default" w:ascii="Times New Roman" w:hAnsi="Times New Roman" w:eastAsia="楷体_GB2312" w:cs="Times New Roman"/>
          <w:b/>
          <w:sz w:val="32"/>
          <w:szCs w:val="32"/>
          <w:highlight w:val="none"/>
          <w:lang w:val="zh-CN"/>
        </w:rPr>
        <w:t>（三）项目资金申报相符性。</w:t>
      </w:r>
      <w:r>
        <w:rPr>
          <w:rFonts w:hint="eastAsia" w:ascii="Times New Roman" w:hAnsi="Times New Roman" w:eastAsia="仿宋_GB2312" w:cs="仿宋_GB2312"/>
          <w:sz w:val="32"/>
          <w:szCs w:val="32"/>
          <w:highlight w:val="none"/>
          <w:lang w:val="zh-CN" w:eastAsia="zh-CN"/>
        </w:rPr>
        <w:t>东西部协作稳岗就业促进项目本级配套</w:t>
      </w:r>
      <w:r>
        <w:rPr>
          <w:rFonts w:hint="default" w:ascii="Times New Roman" w:hAnsi="Times New Roman" w:eastAsia="仿宋_GB2312" w:cs="仿宋_GB2312"/>
          <w:sz w:val="32"/>
          <w:szCs w:val="32"/>
          <w:highlight w:val="none"/>
          <w:lang w:val="zh-CN" w:eastAsia="zh-CN"/>
        </w:rPr>
        <w:t>项目申报内容与具体实施内容相符、申报目标</w:t>
      </w:r>
      <w:r>
        <w:rPr>
          <w:rFonts w:hint="eastAsia" w:ascii="Times New Roman" w:hAnsi="Times New Roman" w:eastAsia="仿宋_GB2312" w:cs="仿宋_GB2312"/>
          <w:sz w:val="32"/>
          <w:szCs w:val="32"/>
          <w:highlight w:val="none"/>
          <w:lang w:val="zh-CN" w:eastAsia="zh-CN"/>
        </w:rPr>
        <w:t>合</w:t>
      </w:r>
      <w:r>
        <w:rPr>
          <w:rFonts w:hint="default" w:ascii="Times New Roman" w:hAnsi="Times New Roman" w:eastAsia="仿宋_GB2312" w:cs="仿宋_GB2312"/>
          <w:sz w:val="32"/>
          <w:szCs w:val="32"/>
          <w:highlight w:val="none"/>
          <w:lang w:val="zh-CN" w:eastAsia="zh-CN"/>
        </w:rPr>
        <w:t>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highlight w:val="none"/>
          <w:lang w:val="zh-CN"/>
        </w:rPr>
      </w:pPr>
      <w:r>
        <w:rPr>
          <w:rFonts w:hint="eastAsia" w:ascii="Times New Roman" w:hAnsi="Times New Roman" w:eastAsia="楷体_GB2312" w:cs="Times New Roman"/>
          <w:b/>
          <w:sz w:val="32"/>
          <w:szCs w:val="32"/>
          <w:highlight w:val="none"/>
          <w:lang w:val="zh-CN"/>
        </w:rPr>
        <w:t>（四）自评步骤及方法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仿宋_GB2312"/>
          <w:sz w:val="32"/>
          <w:szCs w:val="32"/>
          <w:highlight w:val="none"/>
          <w:lang w:val="zh-CN" w:eastAsia="zh-CN"/>
        </w:rPr>
      </w:pPr>
      <w:r>
        <w:rPr>
          <w:rFonts w:hint="eastAsia" w:ascii="Times New Roman" w:hAnsi="Times New Roman" w:eastAsia="仿宋_GB2312" w:cs="仿宋_GB2312"/>
          <w:sz w:val="32"/>
          <w:szCs w:val="32"/>
          <w:highlight w:val="none"/>
          <w:lang w:val="zh-CN" w:eastAsia="zh-CN"/>
        </w:rPr>
        <w:t>项目绩效自评采用因素分析法，通过收集项目资料，会议讨论，考评打分进行自评。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zh-CN" w:eastAsia="zh-CN"/>
        </w:rPr>
        <w:t>1.资金计划及到位。</w:t>
      </w:r>
      <w:r>
        <w:rPr>
          <w:rFonts w:hint="eastAsia" w:ascii="Times New Roman" w:hAnsi="Times New Roman" w:eastAsia="仿宋_GB2312" w:cs="仿宋_GB2312"/>
          <w:sz w:val="32"/>
          <w:szCs w:val="32"/>
          <w:highlight w:val="none"/>
          <w:lang w:val="zh-CN" w:eastAsia="zh-CN"/>
        </w:rPr>
        <w:t>该项目年度追加</w:t>
      </w:r>
      <w:r>
        <w:rPr>
          <w:rFonts w:hint="eastAsia" w:ascii="Times New Roman" w:hAnsi="Times New Roman" w:eastAsia="仿宋_GB2312" w:cs="仿宋_GB2312"/>
          <w:sz w:val="32"/>
          <w:szCs w:val="32"/>
          <w:highlight w:val="none"/>
          <w:lang w:val="en-US" w:eastAsia="zh-CN"/>
        </w:rPr>
        <w:t>173万元，实际到位173万元，到位率100%.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zh-CN" w:eastAsia="zh-CN"/>
        </w:rPr>
        <w:t>2.资金使用。</w:t>
      </w:r>
      <w:r>
        <w:rPr>
          <w:rFonts w:hint="eastAsia" w:ascii="Times New Roman" w:hAnsi="Times New Roman" w:eastAsia="仿宋_GB2312" w:cs="仿宋_GB2312"/>
          <w:sz w:val="32"/>
          <w:szCs w:val="32"/>
          <w:highlight w:val="none"/>
          <w:lang w:val="en-US" w:eastAsia="zh-CN"/>
        </w:rPr>
        <w:t>主要用于</w:t>
      </w:r>
      <w:r>
        <w:rPr>
          <w:rFonts w:hint="eastAsia" w:ascii="Times New Roman" w:hAnsi="Times New Roman" w:eastAsia="仿宋_GB2312" w:cs="仿宋_GB2312"/>
          <w:sz w:val="32"/>
          <w:szCs w:val="32"/>
          <w:highlight w:val="none"/>
          <w:lang w:val="zh-CN" w:eastAsia="zh-CN"/>
        </w:rPr>
        <w:t>为实施东西部稳岗就业促进项目，提升劳动力技能，促进劳动力转移，鼓励车间、企业吸纳就业的补助。资金使用</w:t>
      </w:r>
      <w:r>
        <w:rPr>
          <w:rFonts w:hint="eastAsia" w:ascii="Times New Roman" w:hAnsi="Times New Roman" w:eastAsia="仿宋_GB2312" w:cs="仿宋_GB2312"/>
          <w:sz w:val="32"/>
          <w:szCs w:val="32"/>
          <w:highlight w:val="none"/>
          <w:lang w:val="en-US" w:eastAsia="zh-CN"/>
        </w:rPr>
        <w:t>173万元，使用率100%。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zh-CN" w:eastAsia="zh-CN"/>
        </w:rPr>
        <w:t>为有效落实项目资金的财务管理，我单位印发了《项目支出预算管理办法》，严格按照项目支出综合预算、科学论证、合理排序、追踪问效的原则实施项目。项目资金的使用由各股室、下属事业单位、规划财务股按照职责分工进行财务管理。项目资金的会计核算和账务处理由各股室提供相关资金资料，报规划财务股审核后按照会计处理法规进行账务处理。按照项目资金的管理办法，该项目资金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（三）项目组织实施</w:t>
      </w:r>
      <w:r>
        <w:rPr>
          <w:rFonts w:hint="eastAsia" w:eastAsia="楷体_GB2312" w:cs="Times New Roman"/>
          <w:b/>
          <w:sz w:val="32"/>
          <w:szCs w:val="32"/>
          <w:highlight w:val="none"/>
          <w:lang w:val="zh-CN"/>
        </w:rPr>
        <w:t>及管理</w:t>
      </w:r>
      <w:r>
        <w:rPr>
          <w:rFonts w:hint="default" w:ascii="Times New Roman" w:hAnsi="Times New Roman" w:eastAsia="楷体_GB2312" w:cs="Times New Roman"/>
          <w:b/>
          <w:sz w:val="32"/>
          <w:szCs w:val="32"/>
          <w:highlight w:val="none"/>
          <w:lang w:val="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仿宋_GB2312" w:cs="仿宋_GB2312"/>
          <w:sz w:val="32"/>
          <w:szCs w:val="32"/>
          <w:highlight w:val="none"/>
          <w:lang w:val="zh-CN" w:eastAsia="zh-CN"/>
        </w:rPr>
      </w:pPr>
      <w:r>
        <w:rPr>
          <w:rFonts w:hint="eastAsia" w:ascii="Times New Roman" w:hAnsi="Times New Roman" w:eastAsia="仿宋_GB2312" w:cs="仿宋_GB2312"/>
          <w:sz w:val="32"/>
          <w:szCs w:val="32"/>
          <w:highlight w:val="none"/>
          <w:lang w:val="en-US" w:eastAsia="zh-CN"/>
        </w:rPr>
        <w:t>该项目组织框架主要包括就业服务中心和规划财务股组成。</w:t>
      </w:r>
      <w:r>
        <w:rPr>
          <w:rFonts w:hint="eastAsia" w:ascii="Times New Roman" w:hAnsi="Times New Roman" w:eastAsia="仿宋_GB2312" w:cs="仿宋_GB2312"/>
          <w:sz w:val="32"/>
          <w:szCs w:val="32"/>
          <w:highlight w:val="none"/>
          <w:lang w:val="zh-CN" w:eastAsia="zh-CN"/>
        </w:rPr>
        <w:t>规划财务股对项目支出的执行过程和完成结果进行监督、检查，并开展内审对项目支出进行重点审查。对违反有关法律、行政法规和财务规章制度的，依法进行处理，并通告处理结果。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320" w:firstLineChars="100"/>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项目绩效情况</w:t>
      </w:r>
    </w:p>
    <w:p>
      <w:pPr>
        <w:pStyle w:val="5"/>
        <w:spacing w:before="108" w:after="15"/>
        <w:ind w:firstLine="640" w:firstLineChars="200"/>
        <w:rPr>
          <w:rFonts w:hint="eastAsia" w:ascii="Times New Roman" w:hAnsi="Times New Roman" w:eastAsia="仿宋_GB2312" w:cs="仿宋_GB2312"/>
          <w:kern w:val="2"/>
          <w:sz w:val="32"/>
          <w:szCs w:val="32"/>
          <w:highlight w:val="none"/>
          <w:lang w:val="zh-CN" w:eastAsia="zh-CN" w:bidi="ar-SA"/>
        </w:rPr>
      </w:pPr>
      <w:r>
        <w:rPr>
          <w:rFonts w:hint="eastAsia" w:ascii="Times New Roman" w:hAnsi="Times New Roman" w:eastAsia="仿宋_GB2312" w:cs="仿宋_GB2312"/>
          <w:kern w:val="2"/>
          <w:sz w:val="32"/>
          <w:szCs w:val="32"/>
          <w:highlight w:val="none"/>
          <w:lang w:val="zh-CN" w:eastAsia="zh-CN" w:bidi="ar-SA"/>
        </w:rPr>
        <w:t>该项目绩效目标完成情况见下表：</w:t>
      </w:r>
    </w:p>
    <w:tbl>
      <w:tblPr>
        <w:tblStyle w:val="15"/>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690"/>
        <w:gridCol w:w="1462"/>
        <w:gridCol w:w="1866"/>
        <w:gridCol w:w="429"/>
        <w:gridCol w:w="1382"/>
        <w:gridCol w:w="432"/>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1.36</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174.36</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1.36</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174.36</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脱贫人口转移（人）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78</w:t>
            </w:r>
            <w:r>
              <w:rPr>
                <w:rFonts w:hint="eastAsia" w:ascii="宋体" w:hAnsi="宋体" w:cs="宋体"/>
                <w:i w:val="0"/>
                <w:iCs w:val="0"/>
                <w:color w:val="000000"/>
                <w:kern w:val="0"/>
                <w:sz w:val="18"/>
                <w:szCs w:val="18"/>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脱贫人口通过技能培训实现就业</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285</w:t>
            </w:r>
            <w:r>
              <w:rPr>
                <w:rFonts w:hint="eastAsia" w:ascii="宋体" w:hAnsi="宋体" w:cs="宋体"/>
                <w:i w:val="0"/>
                <w:iCs w:val="0"/>
                <w:color w:val="000000"/>
                <w:kern w:val="0"/>
                <w:sz w:val="18"/>
                <w:szCs w:val="18"/>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昭化区劳动力通过招聘会实现就业（人）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188</w:t>
            </w:r>
            <w:r>
              <w:rPr>
                <w:rFonts w:hint="eastAsia" w:ascii="宋体" w:hAnsi="宋体" w:cs="宋体"/>
                <w:i w:val="0"/>
                <w:iCs w:val="0"/>
                <w:color w:val="000000"/>
                <w:kern w:val="0"/>
                <w:sz w:val="18"/>
                <w:szCs w:val="18"/>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东西部稳岗就业促进项目在预算批复之内</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173</w:t>
            </w:r>
            <w:r>
              <w:rPr>
                <w:rFonts w:hint="eastAsia" w:ascii="宋体" w:hAnsi="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浙江企业吸纳脱贫劳动力稳定就业（人）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89</w:t>
            </w:r>
            <w:r>
              <w:rPr>
                <w:rFonts w:hint="eastAsia" w:ascii="宋体" w:hAnsi="宋体" w:cs="宋体"/>
                <w:i w:val="0"/>
                <w:iCs w:val="0"/>
                <w:color w:val="000000"/>
                <w:kern w:val="0"/>
                <w:sz w:val="18"/>
                <w:szCs w:val="18"/>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可持续影响指标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政策宣传及执行率（%）</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97</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享受政策劳动力满意度</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98</w:t>
            </w:r>
            <w:r>
              <w:rPr>
                <w:rFonts w:hint="eastAsia" w:ascii="宋体" w:hAnsi="宋体" w:cs="宋体"/>
                <w:i w:val="0"/>
                <w:iCs w:val="0"/>
                <w:color w:val="000000"/>
                <w:kern w:val="0"/>
                <w:sz w:val="18"/>
                <w:szCs w:val="18"/>
                <w:highlight w:val="none"/>
                <w:u w:val="none"/>
                <w:lang w:val="en-US" w:eastAsia="zh-CN" w:bidi="ar"/>
              </w:rPr>
              <w:t>%</w:t>
            </w:r>
          </w:p>
        </w:tc>
      </w:tr>
    </w:tbl>
    <w:p>
      <w:pPr>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eastAsia" w:eastAsia="黑体" w:cs="Times New Roman"/>
          <w:sz w:val="32"/>
          <w:szCs w:val="32"/>
          <w:highlight w:val="none"/>
          <w:lang w:eastAsia="zh-CN"/>
        </w:rPr>
        <w:t>自评结论及</w:t>
      </w:r>
      <w:r>
        <w:rPr>
          <w:rFonts w:hint="default" w:ascii="Times New Roman" w:hAnsi="Times New Roman" w:eastAsia="黑体" w:cs="Times New Roman"/>
          <w:sz w:val="32"/>
          <w:szCs w:val="32"/>
          <w:highlight w:val="none"/>
        </w:rPr>
        <w:t>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Times New Roman"/>
          <w:b/>
          <w:sz w:val="32"/>
          <w:szCs w:val="32"/>
          <w:highlight w:val="none"/>
          <w:lang w:val="zh-CN" w:eastAsia="zh-CN"/>
        </w:rPr>
        <w:t>（一）评价结论。</w:t>
      </w:r>
      <w:r>
        <w:rPr>
          <w:rFonts w:hint="eastAsia" w:ascii="Times New Roman" w:hAnsi="Times New Roman" w:eastAsia="仿宋_GB2312" w:cs="仿宋_GB2312"/>
          <w:sz w:val="32"/>
          <w:szCs w:val="32"/>
          <w:highlight w:val="none"/>
          <w:lang w:val="zh-CN" w:eastAsia="zh-CN"/>
        </w:rPr>
        <w:t>通过项目实施，较好完成了各项指标，自评得分情况如下：</w:t>
      </w:r>
      <w:r>
        <w:rPr>
          <w:rFonts w:hint="eastAsia" w:ascii="Times New Roman" w:hAnsi="Times New Roman" w:eastAsia="仿宋_GB2312" w:cs="仿宋_GB2312"/>
          <w:sz w:val="32"/>
          <w:szCs w:val="32"/>
          <w:highlight w:val="none"/>
          <w:lang w:val="en-US" w:eastAsia="zh-CN"/>
        </w:rPr>
        <w:t xml:space="preserve"> </w:t>
      </w:r>
    </w:p>
    <w:tbl>
      <w:tblPr>
        <w:tblStyle w:val="15"/>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67"/>
        <w:gridCol w:w="1277"/>
        <w:gridCol w:w="1632"/>
        <w:gridCol w:w="398"/>
        <w:gridCol w:w="1200"/>
        <w:gridCol w:w="399"/>
        <w:gridCol w:w="824"/>
        <w:gridCol w:w="48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174.36</w:t>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99.97%</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174.36</w:t>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174.32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99.97%</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脱贫人口转移（人）</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r>
              <w:rPr>
                <w:rFonts w:hint="eastAsia" w:ascii="宋体" w:hAnsi="宋体" w:cs="宋体"/>
                <w:i w:val="0"/>
                <w:iCs w:val="0"/>
                <w:color w:val="000000"/>
                <w:kern w:val="0"/>
                <w:sz w:val="18"/>
                <w:szCs w:val="18"/>
                <w:highlight w:val="none"/>
                <w:u w:val="none"/>
                <w:lang w:val="en-US" w:eastAsia="zh-CN" w:bidi="ar"/>
              </w:rPr>
              <w:t>人</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脱贫人口通过技能培训实现就业</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285</w:t>
            </w:r>
            <w:r>
              <w:rPr>
                <w:rFonts w:hint="eastAsia" w:ascii="宋体" w:hAnsi="宋体" w:cs="宋体"/>
                <w:i w:val="0"/>
                <w:iCs w:val="0"/>
                <w:color w:val="000000"/>
                <w:kern w:val="0"/>
                <w:sz w:val="18"/>
                <w:szCs w:val="18"/>
                <w:highlight w:val="none"/>
                <w:u w:val="none"/>
                <w:lang w:val="en-US" w:eastAsia="zh-CN" w:bidi="ar"/>
              </w:rPr>
              <w:t>人</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昭化区劳动力通过招聘会实现就业（人）</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188</w:t>
            </w:r>
            <w:r>
              <w:rPr>
                <w:rFonts w:hint="eastAsia" w:ascii="宋体" w:hAnsi="宋体" w:cs="宋体"/>
                <w:i w:val="0"/>
                <w:iCs w:val="0"/>
                <w:color w:val="000000"/>
                <w:kern w:val="0"/>
                <w:sz w:val="18"/>
                <w:szCs w:val="18"/>
                <w:highlight w:val="none"/>
                <w:u w:val="none"/>
                <w:lang w:val="en-US" w:eastAsia="zh-CN" w:bidi="ar"/>
              </w:rPr>
              <w:t>人</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东西部稳岗就业促进项目在预算批复之内</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173</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r>
              <w:rPr>
                <w:rFonts w:hint="eastAsia" w:ascii="宋体" w:hAnsi="宋体" w:cs="宋体"/>
                <w:i w:val="0"/>
                <w:iCs w:val="0"/>
                <w:color w:val="000000"/>
                <w:kern w:val="0"/>
                <w:sz w:val="18"/>
                <w:szCs w:val="18"/>
                <w:highlight w:val="none"/>
                <w:u w:val="none"/>
                <w:lang w:val="en-US" w:eastAsia="zh-CN" w:bidi="ar"/>
              </w:rPr>
              <w:t>万元</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浙江企业吸纳脱贫劳动力稳定就业（人）</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r>
              <w:rPr>
                <w:rFonts w:hint="eastAsia" w:ascii="宋体" w:hAnsi="宋体" w:cs="宋体"/>
                <w:i w:val="0"/>
                <w:iCs w:val="0"/>
                <w:color w:val="000000"/>
                <w:kern w:val="0"/>
                <w:sz w:val="18"/>
                <w:szCs w:val="18"/>
                <w:highlight w:val="none"/>
                <w:u w:val="none"/>
                <w:lang w:val="en-US" w:eastAsia="zh-CN" w:bidi="ar"/>
              </w:rPr>
              <w:t>人</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可持续影响指标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政策宣传及执行率（%）</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97</w:t>
            </w:r>
            <w:r>
              <w:rPr>
                <w:rFonts w:hint="eastAsia" w:ascii="宋体" w:hAnsi="宋体" w:cs="宋体"/>
                <w:i w:val="0"/>
                <w:iCs w:val="0"/>
                <w:color w:val="000000"/>
                <w:kern w:val="0"/>
                <w:sz w:val="18"/>
                <w:szCs w:val="18"/>
                <w:highlight w:val="none"/>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享受政策劳动力满意度</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iCs/>
                <w:color w:val="000000"/>
                <w:sz w:val="16"/>
                <w:szCs w:val="16"/>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98</w:t>
            </w:r>
            <w:r>
              <w:rPr>
                <w:rFonts w:hint="eastAsia" w:ascii="宋体" w:hAnsi="宋体" w:cs="宋体"/>
                <w:i w:val="0"/>
                <w:iCs w:val="0"/>
                <w:color w:val="000000"/>
                <w:kern w:val="0"/>
                <w:sz w:val="18"/>
                <w:szCs w:val="18"/>
                <w:highlight w:val="none"/>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9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99.7</w:t>
            </w:r>
          </w:p>
        </w:tc>
      </w:tr>
    </w:tbl>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cs="Times New Roman"/>
          <w:sz w:val="32"/>
          <w:szCs w:val="32"/>
          <w:highlight w:val="none"/>
          <w:lang w:val="zh-CN"/>
        </w:rPr>
      </w:pPr>
      <w:r>
        <w:rPr>
          <w:rFonts w:hint="eastAsia" w:ascii="Times New Roman" w:hAnsi="Times New Roman" w:eastAsia="楷体_GB2312" w:cs="Times New Roman"/>
          <w:b/>
          <w:sz w:val="32"/>
          <w:szCs w:val="32"/>
          <w:highlight w:val="none"/>
          <w:lang w:val="zh-CN"/>
        </w:rPr>
        <w:t>（二）存在的问题。</w:t>
      </w:r>
      <w:r>
        <w:rPr>
          <w:rFonts w:hint="eastAsia" w:cs="Times New Roman"/>
          <w:sz w:val="32"/>
          <w:szCs w:val="32"/>
          <w:highlight w:val="none"/>
          <w:lang w:val="zh-CN"/>
        </w:rPr>
        <w:t>无。</w:t>
      </w:r>
    </w:p>
    <w:p>
      <w:pPr>
        <w:pageBreakBefore w:val="0"/>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rPr>
      </w:pPr>
      <w:r>
        <w:rPr>
          <w:rFonts w:hint="eastAsia" w:ascii="Times New Roman" w:hAnsi="Times New Roman" w:eastAsia="楷体_GB2312" w:cs="Times New Roman"/>
          <w:b/>
          <w:sz w:val="32"/>
          <w:szCs w:val="32"/>
          <w:highlight w:val="none"/>
          <w:lang w:val="zh-CN"/>
        </w:rPr>
        <w:t>（三）相关建议。</w:t>
      </w:r>
      <w:r>
        <w:rPr>
          <w:rFonts w:hint="eastAsia" w:cs="Times New Roman"/>
          <w:sz w:val="32"/>
          <w:szCs w:val="32"/>
          <w:highlight w:val="none"/>
          <w:lang w:val="zh-CN"/>
        </w:rPr>
        <w:t>无。</w:t>
      </w: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附件：广元市昭化区人力资源和社会保障局</w:t>
      </w:r>
      <w:r>
        <w:rPr>
          <w:rFonts w:hint="eastAsia" w:ascii="仿宋_GB2312" w:hAnsi="仿宋_GB2312" w:eastAsia="仿宋_GB2312" w:cs="仿宋_GB2312"/>
          <w:color w:val="auto"/>
          <w:sz w:val="32"/>
          <w:szCs w:val="32"/>
          <w:highlight w:val="none"/>
          <w:lang w:val="en-US" w:eastAsia="zh-CN"/>
        </w:rPr>
        <w:t>2022年财政项目支出绩效自评表</w:t>
      </w: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sectPr>
          <w:footerReference r:id="rId8" w:type="first"/>
          <w:footerReference r:id="rId7" w:type="default"/>
          <w:pgSz w:w="11906" w:h="16838"/>
          <w:pgMar w:top="1984" w:right="1474" w:bottom="1871" w:left="1587" w:header="851" w:footer="992" w:gutter="0"/>
          <w:pgNumType w:fmt="decimal"/>
          <w:cols w:space="0" w:num="1"/>
          <w:titlePg/>
          <w:rtlGutter w:val="0"/>
          <w:docGrid w:type="lines" w:linePitch="312" w:charSpace="0"/>
        </w:sectPr>
      </w:pPr>
    </w:p>
    <w:tbl>
      <w:tblPr>
        <w:tblStyle w:val="15"/>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721"/>
        <w:gridCol w:w="971"/>
        <w:gridCol w:w="945"/>
        <w:gridCol w:w="1096"/>
        <w:gridCol w:w="1509"/>
        <w:gridCol w:w="1399"/>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874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both"/>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附件：</w:t>
            </w:r>
            <w:r>
              <w:rPr>
                <w:rFonts w:hint="eastAsia" w:ascii="微软雅黑" w:hAnsi="微软雅黑" w:eastAsia="微软雅黑" w:cs="微软雅黑"/>
                <w:i w:val="0"/>
                <w:iCs w:val="0"/>
                <w:color w:val="000000"/>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800" w:firstLineChars="200"/>
              <w:jc w:val="both"/>
              <w:textAlignment w:val="center"/>
              <w:rPr>
                <w:rFonts w:ascii="微软雅黑" w:hAnsi="微软雅黑" w:eastAsia="微软雅黑" w:cs="微软雅黑"/>
                <w:i w:val="0"/>
                <w:iCs w:val="0"/>
                <w:color w:val="000000"/>
                <w:sz w:val="40"/>
                <w:szCs w:val="40"/>
                <w:u w:val="none"/>
              </w:rPr>
            </w:pPr>
            <w:r>
              <w:rPr>
                <w:rFonts w:hint="eastAsia" w:ascii="方正小标宋简体" w:hAnsi="方正小标宋简体" w:eastAsia="方正小标宋简体" w:cs="方正小标宋简体"/>
                <w:color w:val="auto"/>
                <w:sz w:val="40"/>
                <w:szCs w:val="40"/>
                <w:highlight w:val="none"/>
                <w:lang w:val="en-US" w:eastAsia="zh-CN"/>
              </w:rPr>
              <w:t>广元市昭化区财政项目支出绩效自评表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740"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东西部协作稳岗就业促进项目本级配套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66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1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6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实施东西部稳岗就业促进项目，通过提升劳动力技能， 促进劳动力转移就业，鼓励车间、企业吸纳就业，预计覆盖500人以上，促进年度人均增收5400元以上。</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实施东西部稳岗就业促进项目，通过提升劳动力技能， 促进劳动力转移就业，鼓励车间、企业吸纳就业，预计覆盖898人以上，促进年度人均增收5500元。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exact"/>
        </w:trPr>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脱贫人口转移（人）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脱贫人口通过技能培训实现就业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昭化区劳动力通过招聘会实现就业（人）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东西部稳岗就业促进项目在预算批复之内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浙江企业吸纳脱贫劳动力稳定就业（人）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0" w:type="auto"/>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4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政策宣传及执行率（%）</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享受政策劳动力满意度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19"/>
        <w:rPr>
          <w:rFonts w:hint="eastAsia"/>
        </w:rPr>
        <w:sectPr>
          <w:pgSz w:w="11906" w:h="16838"/>
          <w:pgMar w:top="1984" w:right="1474" w:bottom="1871" w:left="1587" w:header="851" w:footer="992"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default" w:ascii="黑体" w:hAnsi="黑体" w:eastAsia="黑体" w:cs="黑体"/>
          <w:b w:val="0"/>
          <w:bCs/>
          <w:color w:val="auto"/>
          <w:sz w:val="32"/>
          <w:szCs w:val="32"/>
          <w:highlight w:val="none"/>
          <w:shd w:val="clear" w:color="auto" w:fill="FFFFFF"/>
          <w:lang w:val="en-US" w:eastAsia="zh-CN"/>
        </w:rPr>
      </w:pPr>
      <w:bookmarkStart w:id="99" w:name="_Toc16578"/>
      <w:r>
        <w:rPr>
          <w:rFonts w:hint="eastAsia" w:ascii="黑体" w:hAnsi="黑体" w:eastAsia="黑体" w:cs="黑体"/>
          <w:b w:val="0"/>
          <w:bCs/>
          <w:color w:val="auto"/>
          <w:sz w:val="32"/>
          <w:szCs w:val="32"/>
          <w:highlight w:val="none"/>
          <w:shd w:val="clear" w:color="auto" w:fill="FFFFFF"/>
          <w:lang w:val="en-US" w:eastAsia="zh-CN"/>
        </w:rPr>
        <w:t>附件3</w:t>
      </w:r>
      <w:bookmarkEnd w:id="99"/>
    </w:p>
    <w:p>
      <w:pPr>
        <w:tabs>
          <w:tab w:val="left" w:pos="3069"/>
        </w:tabs>
        <w:bidi w:val="0"/>
        <w:jc w:val="center"/>
        <w:rPr>
          <w:rFonts w:hint="eastAsia" w:ascii="微软雅黑" w:hAnsi="微软雅黑" w:eastAsia="微软雅黑" w:cs="微软雅黑"/>
          <w:sz w:val="44"/>
          <w:szCs w:val="44"/>
          <w:highlight w:val="none"/>
          <w:lang w:val="en-US" w:eastAsia="zh-CN"/>
        </w:rPr>
      </w:pPr>
    </w:p>
    <w:p>
      <w:pPr>
        <w:tabs>
          <w:tab w:val="left" w:pos="3069"/>
        </w:tabs>
        <w:bidi w:val="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广元市昭化区人力资源和社会保障局就业创业资金项目支出自评报告（自评表）</w:t>
      </w: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440" w:lineRule="exact"/>
        <w:ind w:left="0" w:leftChars="0" w:right="0" w:rightChars="0" w:firstLine="0" w:firstLineChars="0"/>
        <w:jc w:val="center"/>
        <w:textAlignment w:val="auto"/>
        <w:outlineLvl w:val="9"/>
        <w:rPr>
          <w:rFonts w:hint="default" w:ascii="Times New Roman" w:hAnsi="Times New Roman" w:eastAsia="宋体" w:cs="Times New Roman"/>
          <w:sz w:val="30"/>
          <w:szCs w:val="30"/>
          <w:highlight w:val="none"/>
          <w:lang w:val="en-US" w:eastAsia="zh-CN"/>
        </w:rPr>
      </w:pPr>
      <w:r>
        <w:rPr>
          <w:rFonts w:hint="default" w:ascii="Times New Roman" w:hAnsi="Times New Roman" w:eastAsia="宋体" w:cs="Times New Roman"/>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楷体_GB2312" w:cs="Times New Roman"/>
          <w:b/>
          <w:sz w:val="32"/>
          <w:szCs w:val="32"/>
          <w:highlight w:val="none"/>
          <w:lang w:val="zh-CN"/>
        </w:rPr>
        <w:t>项目</w:t>
      </w:r>
      <w:r>
        <w:rPr>
          <w:rFonts w:hint="eastAsia" w:eastAsia="楷体_GB2312" w:cs="Times New Roman"/>
          <w:b/>
          <w:sz w:val="32"/>
          <w:szCs w:val="32"/>
          <w:highlight w:val="none"/>
          <w:lang w:val="zh-CN"/>
        </w:rPr>
        <w:t>资金申报及批复情况。</w:t>
      </w:r>
      <w:r>
        <w:rPr>
          <w:rFonts w:hint="eastAsia" w:ascii="Times New Roman" w:hAnsi="Times New Roman" w:eastAsia="仿宋_GB2312" w:cs="仿宋_GB2312"/>
          <w:sz w:val="32"/>
          <w:szCs w:val="32"/>
          <w:highlight w:val="none"/>
          <w:lang w:val="zh-CN" w:eastAsia="zh-CN"/>
        </w:rPr>
        <w:t>就业创业资金是为保障就业服务中心在组织、实施各项就业、创业、培训业务中的日常运转。</w:t>
      </w:r>
      <w:r>
        <w:rPr>
          <w:rFonts w:hint="eastAsia" w:ascii="Times New Roman" w:hAnsi="Times New Roman" w:eastAsia="仿宋_GB2312" w:cs="仿宋_GB2312"/>
          <w:sz w:val="32"/>
          <w:szCs w:val="32"/>
          <w:highlight w:val="none"/>
          <w:lang w:val="en-US" w:eastAsia="zh-CN"/>
        </w:rPr>
        <w:t>2022年年初预算</w:t>
      </w:r>
      <w:r>
        <w:rPr>
          <w:rFonts w:hint="eastAsia" w:ascii="Times New Roman" w:hAnsi="Times New Roman" w:eastAsia="仿宋_GB2312" w:cs="仿宋_GB2312"/>
          <w:sz w:val="32"/>
          <w:szCs w:val="32"/>
          <w:highlight w:val="none"/>
          <w:lang w:val="zh-CN" w:eastAsia="zh-CN"/>
        </w:rPr>
        <w:t>项目资金申报</w:t>
      </w:r>
      <w:r>
        <w:rPr>
          <w:rFonts w:hint="eastAsia" w:ascii="Times New Roman" w:hAnsi="Times New Roman" w:eastAsia="仿宋_GB2312" w:cs="仿宋_GB2312"/>
          <w:sz w:val="32"/>
          <w:szCs w:val="32"/>
          <w:highlight w:val="none"/>
          <w:lang w:val="en-US" w:eastAsia="zh-CN"/>
        </w:rPr>
        <w:t>50万元，预算批复50万元。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仿宋_GB2312"/>
          <w:sz w:val="32"/>
          <w:szCs w:val="32"/>
          <w:highlight w:val="none"/>
          <w:lang w:val="zh-CN" w:eastAsia="zh-CN"/>
        </w:rPr>
      </w:pPr>
      <w:r>
        <w:rPr>
          <w:rFonts w:hint="default" w:ascii="Times New Roman" w:hAnsi="Times New Roman" w:eastAsia="楷体_GB2312" w:cs="Times New Roman"/>
          <w:b/>
          <w:sz w:val="32"/>
          <w:szCs w:val="32"/>
          <w:highlight w:val="none"/>
          <w:lang w:val="zh-CN"/>
        </w:rPr>
        <w:t>（二）项目绩效目标。</w:t>
      </w:r>
      <w:r>
        <w:rPr>
          <w:rFonts w:hint="default" w:ascii="Times New Roman" w:hAnsi="Times New Roman" w:eastAsia="仿宋_GB2312" w:cs="仿宋_GB2312"/>
          <w:sz w:val="32"/>
          <w:szCs w:val="32"/>
          <w:highlight w:val="none"/>
          <w:lang w:val="zh-CN" w:eastAsia="zh-CN"/>
        </w:rPr>
        <w:t>城镇新增就业1300人，登记实业率控制在4%以内，培育返乡农民工创业20个，脱贫人口创办领办创业实体10个，社会保险补贴、高校毕业生就业见习补贴发放率100%，公益性岗位补贴按时足额发放。</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仿宋_GB2312"/>
          <w:sz w:val="32"/>
          <w:szCs w:val="32"/>
          <w:highlight w:val="none"/>
          <w:lang w:val="zh-CN" w:eastAsia="zh-CN"/>
        </w:rPr>
      </w:pPr>
      <w:r>
        <w:rPr>
          <w:rFonts w:hint="default" w:ascii="Times New Roman" w:hAnsi="Times New Roman" w:eastAsia="楷体_GB2312" w:cs="Times New Roman"/>
          <w:b/>
          <w:sz w:val="32"/>
          <w:szCs w:val="32"/>
          <w:highlight w:val="none"/>
          <w:lang w:val="zh-CN"/>
        </w:rPr>
        <w:t>（三）项目资金申报相符性。</w:t>
      </w:r>
      <w:r>
        <w:rPr>
          <w:rFonts w:hint="default" w:ascii="Times New Roman" w:hAnsi="Times New Roman" w:eastAsia="仿宋_GB2312" w:cs="仿宋_GB2312"/>
          <w:sz w:val="32"/>
          <w:szCs w:val="32"/>
          <w:highlight w:val="none"/>
          <w:lang w:val="zh-CN" w:eastAsia="zh-CN"/>
        </w:rPr>
        <w:t>就业创业资金</w:t>
      </w:r>
      <w:r>
        <w:rPr>
          <w:rFonts w:hint="eastAsia" w:ascii="Times New Roman" w:hAnsi="Times New Roman" w:eastAsia="仿宋_GB2312" w:cs="仿宋_GB2312"/>
          <w:sz w:val="32"/>
          <w:szCs w:val="32"/>
          <w:highlight w:val="none"/>
          <w:lang w:val="zh-CN" w:eastAsia="zh-CN"/>
        </w:rPr>
        <w:t>有效保障了区就业服务中心的日常运转，具体实施</w:t>
      </w:r>
      <w:r>
        <w:rPr>
          <w:rFonts w:hint="default" w:ascii="Times New Roman" w:hAnsi="Times New Roman" w:eastAsia="仿宋_GB2312" w:cs="仿宋_GB2312"/>
          <w:sz w:val="32"/>
          <w:szCs w:val="32"/>
          <w:highlight w:val="none"/>
          <w:lang w:val="zh-CN" w:eastAsia="zh-CN"/>
        </w:rPr>
        <w:t>用于促进就业创业</w:t>
      </w:r>
      <w:r>
        <w:rPr>
          <w:rFonts w:hint="eastAsia" w:ascii="Times New Roman" w:hAnsi="Times New Roman" w:eastAsia="仿宋_GB2312" w:cs="仿宋_GB2312"/>
          <w:sz w:val="32"/>
          <w:szCs w:val="32"/>
          <w:highlight w:val="none"/>
          <w:lang w:val="zh-CN" w:eastAsia="zh-CN"/>
        </w:rPr>
        <w:t>活动，资金申报与项目相符。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highlight w:val="none"/>
          <w:lang w:val="zh-CN"/>
        </w:rPr>
      </w:pPr>
      <w:r>
        <w:rPr>
          <w:rFonts w:hint="eastAsia" w:ascii="Times New Roman" w:hAnsi="Times New Roman" w:eastAsia="楷体_GB2312" w:cs="Times New Roman"/>
          <w:b/>
          <w:sz w:val="32"/>
          <w:szCs w:val="32"/>
          <w:highlight w:val="none"/>
          <w:lang w:val="zh-CN"/>
        </w:rPr>
        <w:t>（四）自评步骤及方法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宋体" w:cs="Times New Roman"/>
          <w:sz w:val="32"/>
          <w:szCs w:val="32"/>
          <w:highlight w:val="none"/>
          <w:lang w:val="en-US" w:eastAsia="zh-CN"/>
        </w:rPr>
      </w:pPr>
      <w:r>
        <w:rPr>
          <w:rFonts w:hint="eastAsia" w:ascii="Times New Roman" w:hAnsi="Times New Roman" w:eastAsia="仿宋_GB2312" w:cs="仿宋_GB2312"/>
          <w:sz w:val="32"/>
          <w:szCs w:val="32"/>
          <w:highlight w:val="none"/>
          <w:lang w:val="en-US" w:eastAsia="zh-CN"/>
        </w:rPr>
        <w:t>采用了因素分析法综合自评，通过收集资料、会议讨论、考评打分进行 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（一）资金计划、到位及使用情况</w:t>
      </w:r>
      <w:r>
        <w:rPr>
          <w:rFonts w:hint="eastAsia" w:eastAsia="楷体_GB2312" w:cs="Times New Roman"/>
          <w:b/>
          <w:sz w:val="32"/>
          <w:szCs w:val="32"/>
          <w:highlight w:val="none"/>
          <w:lang w:val="zh-CN"/>
        </w:rPr>
        <w:t>（可用表格形式反映）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仿宋_GB2312"/>
          <w:sz w:val="32"/>
          <w:szCs w:val="32"/>
          <w:highlight w:val="none"/>
          <w:lang w:val="zh-CN" w:eastAsia="zh-CN"/>
        </w:rPr>
      </w:pPr>
      <w:r>
        <w:rPr>
          <w:rFonts w:hint="default" w:ascii="Times New Roman" w:hAnsi="Times New Roman" w:eastAsia="仿宋_GB2312" w:cs="仿宋_GB2312"/>
          <w:sz w:val="32"/>
          <w:szCs w:val="32"/>
          <w:highlight w:val="none"/>
          <w:lang w:val="zh-CN" w:eastAsia="zh-CN"/>
        </w:rPr>
        <w:t>1</w:t>
      </w:r>
      <w:r>
        <w:rPr>
          <w:rFonts w:hint="default" w:ascii="Times New Roman" w:hAnsi="Times New Roman" w:eastAsia="仿宋_GB2312" w:cs="仿宋_GB2312"/>
          <w:sz w:val="32"/>
          <w:szCs w:val="32"/>
          <w:highlight w:val="none"/>
          <w:lang w:val="en-US" w:eastAsia="zh-CN"/>
        </w:rPr>
        <w:t>.</w:t>
      </w:r>
      <w:r>
        <w:rPr>
          <w:rFonts w:hint="default" w:ascii="Times New Roman" w:hAnsi="Times New Roman" w:eastAsia="仿宋_GB2312" w:cs="仿宋_GB2312"/>
          <w:sz w:val="32"/>
          <w:szCs w:val="32"/>
          <w:highlight w:val="none"/>
          <w:lang w:val="zh-CN" w:eastAsia="zh-CN"/>
        </w:rPr>
        <w:t>资金计划及到位。</w:t>
      </w:r>
      <w:r>
        <w:rPr>
          <w:rFonts w:hint="eastAsia" w:ascii="Times New Roman" w:hAnsi="Times New Roman" w:eastAsia="仿宋_GB2312" w:cs="仿宋_GB2312"/>
          <w:sz w:val="32"/>
          <w:szCs w:val="32"/>
          <w:highlight w:val="none"/>
          <w:lang w:val="zh-CN" w:eastAsia="zh-CN"/>
        </w:rPr>
        <w:t>就业创业资金属于年初预算项目，随年初预算下达计划，资金到位及时。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zh-CN" w:eastAsia="zh-CN"/>
        </w:rPr>
        <w:t>2.资金使用。</w:t>
      </w:r>
      <w:r>
        <w:rPr>
          <w:rFonts w:hint="eastAsia" w:ascii="Times New Roman" w:hAnsi="Times New Roman" w:eastAsia="仿宋_GB2312" w:cs="仿宋_GB2312"/>
          <w:sz w:val="32"/>
          <w:szCs w:val="32"/>
          <w:highlight w:val="none"/>
          <w:lang w:val="zh-CN" w:eastAsia="zh-CN"/>
        </w:rPr>
        <w:t>就业创业资金主要用于就业服务中心日常运转，具体资金使用包括办公费</w:t>
      </w:r>
      <w:r>
        <w:rPr>
          <w:rFonts w:hint="eastAsia" w:ascii="Times New Roman" w:hAnsi="Times New Roman" w:eastAsia="仿宋_GB2312" w:cs="仿宋_GB2312"/>
          <w:sz w:val="32"/>
          <w:szCs w:val="32"/>
          <w:highlight w:val="none"/>
          <w:lang w:val="en-US" w:eastAsia="zh-CN"/>
        </w:rPr>
        <w:t>4万元、邮电费1万元、其他交通费用10万元、租赁费0.4万、培训费1万元、公务接待费1万元（年内压减0.5万元）、印刷费4万元、差旅费20万元、会议费2万元、其他商品和服务支出6.6万元。均已完成支付，支付率100%。</w:t>
      </w:r>
    </w:p>
    <w:p>
      <w:pPr>
        <w:pStyle w:val="5"/>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b/>
          <w:bCs/>
          <w:sz w:val="40"/>
          <w:szCs w:val="22"/>
          <w:highlight w:val="none"/>
          <w:lang w:val="zh-CN"/>
        </w:rPr>
      </w:pPr>
      <w:r>
        <w:rPr>
          <w:rFonts w:hint="default"/>
          <w:b/>
          <w:bCs/>
          <w:sz w:val="40"/>
          <w:szCs w:val="22"/>
          <w:highlight w:val="none"/>
          <w:lang w:val="zh-CN"/>
        </w:rPr>
        <w:t>可执行指标执行情况表</w:t>
      </w:r>
    </w:p>
    <w:tbl>
      <w:tblPr>
        <w:tblStyle w:val="15"/>
        <w:tblW w:w="9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833"/>
        <w:gridCol w:w="992"/>
        <w:gridCol w:w="682"/>
        <w:gridCol w:w="915"/>
        <w:gridCol w:w="808"/>
        <w:gridCol w:w="759"/>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1646" w:type="dxa"/>
            <w:vMerge w:val="restart"/>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预算项目</w:t>
            </w:r>
          </w:p>
        </w:tc>
        <w:tc>
          <w:tcPr>
            <w:tcW w:w="2833" w:type="dxa"/>
            <w:vMerge w:val="restart"/>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部门预算支出经济分类</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批复数</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调整数</w:t>
            </w:r>
          </w:p>
        </w:tc>
        <w:tc>
          <w:tcPr>
            <w:tcW w:w="915"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调剂数</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预算数</w:t>
            </w:r>
          </w:p>
        </w:tc>
        <w:tc>
          <w:tcPr>
            <w:tcW w:w="1900"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完成数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46" w:type="dxa"/>
            <w:vMerge w:val="continue"/>
            <w:tcBorders>
              <w:top w:val="single" w:color="000000" w:sz="4" w:space="0"/>
              <w:left w:val="single" w:color="000000" w:sz="4" w:space="0"/>
              <w:bottom w:val="single" w:color="000000" w:sz="4" w:space="0"/>
              <w:right w:val="single" w:color="000000" w:sz="4" w:space="0"/>
            </w:tcBorders>
            <w:shd w:val="clear" w:color="EFF2F7" w:fill="auto"/>
            <w:noWrap/>
            <w:vAlign w:val="center"/>
          </w:tcPr>
          <w:p>
            <w:pPr>
              <w:jc w:val="center"/>
              <w:rPr>
                <w:rFonts w:hint="eastAsia" w:ascii="宋体" w:hAnsi="宋体" w:eastAsia="宋体" w:cs="宋体"/>
                <w:b/>
                <w:bCs/>
                <w:i w:val="0"/>
                <w:iCs w:val="0"/>
                <w:color w:val="000000"/>
                <w:sz w:val="22"/>
                <w:szCs w:val="22"/>
                <w:highlight w:val="none"/>
                <w:u w:val="none"/>
              </w:rPr>
            </w:pPr>
          </w:p>
        </w:tc>
        <w:tc>
          <w:tcPr>
            <w:tcW w:w="2833" w:type="dxa"/>
            <w:vMerge w:val="continue"/>
            <w:tcBorders>
              <w:top w:val="single" w:color="000000" w:sz="4" w:space="0"/>
              <w:left w:val="single" w:color="000000" w:sz="4" w:space="0"/>
              <w:bottom w:val="single" w:color="000000" w:sz="4" w:space="0"/>
              <w:right w:val="single" w:color="000000" w:sz="4" w:space="0"/>
            </w:tcBorders>
            <w:shd w:val="clear" w:color="EFF2F7" w:fill="auto"/>
            <w:noWrap/>
            <w:vAlign w:val="center"/>
          </w:tcPr>
          <w:p>
            <w:pPr>
              <w:jc w:val="center"/>
              <w:rPr>
                <w:rFonts w:hint="eastAsia" w:ascii="宋体" w:hAnsi="宋体" w:eastAsia="宋体" w:cs="宋体"/>
                <w:b/>
                <w:bCs/>
                <w:i w:val="0"/>
                <w:iCs w:val="0"/>
                <w:color w:val="000000"/>
                <w:sz w:val="22"/>
                <w:szCs w:val="22"/>
                <w:highlight w:val="none"/>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EFF2F7" w:fill="auto"/>
            <w:noWrap/>
            <w:vAlign w:val="center"/>
          </w:tcPr>
          <w:p>
            <w:pPr>
              <w:jc w:val="center"/>
              <w:rPr>
                <w:rFonts w:hint="eastAsia" w:ascii="宋体" w:hAnsi="宋体" w:eastAsia="宋体" w:cs="宋体"/>
                <w:b/>
                <w:bCs/>
                <w:i w:val="0"/>
                <w:iCs w:val="0"/>
                <w:color w:val="000000"/>
                <w:sz w:val="22"/>
                <w:szCs w:val="22"/>
                <w:highlight w:val="none"/>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EFF2F7" w:fill="auto"/>
            <w:noWrap/>
            <w:vAlign w:val="center"/>
          </w:tcPr>
          <w:p>
            <w:pPr>
              <w:jc w:val="center"/>
              <w:rPr>
                <w:rFonts w:hint="eastAsia" w:ascii="宋体" w:hAnsi="宋体" w:eastAsia="宋体" w:cs="宋体"/>
                <w:b/>
                <w:bCs/>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EFF2F7"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其中：收回数</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EFF2F7" w:fill="auto"/>
            <w:noWrap/>
            <w:vAlign w:val="center"/>
          </w:tcPr>
          <w:p>
            <w:pPr>
              <w:jc w:val="center"/>
              <w:rPr>
                <w:rFonts w:hint="eastAsia" w:ascii="宋体" w:hAnsi="宋体" w:eastAsia="宋体" w:cs="宋体"/>
                <w:b/>
                <w:bCs/>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141" w:type="dxa"/>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highlight w:val="none"/>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50.00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-0.50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49.50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49.50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30207-邮电费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3023909-其他交通费用（公用）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30201-办公费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30214-租赁费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30216-培训费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30217-公务接待费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30299-其他商品和服务支出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30202-印刷费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30211-差旅费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就业创业资金</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30215-会议费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r>
    </w:tbl>
    <w:p>
      <w:pPr>
        <w:rPr>
          <w:rFonts w:hint="default"/>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（二）项目财务管理情况</w:t>
      </w:r>
    </w:p>
    <w:p>
      <w:pPr>
        <w:pStyle w:val="14"/>
        <w:spacing w:beforeAutospacing="0" w:afterAutospacing="0" w:line="576" w:lineRule="exact"/>
        <w:ind w:firstLine="640" w:firstLineChars="200"/>
        <w:jc w:val="both"/>
        <w:rPr>
          <w:rFonts w:hint="eastAsia" w:ascii="Times New Roman" w:hAnsi="Times New Roman" w:eastAsia="仿宋_GB2312"/>
          <w:color w:val="000000"/>
          <w:sz w:val="32"/>
          <w:szCs w:val="32"/>
          <w:highlight w:val="none"/>
          <w:shd w:val="clear" w:color="auto" w:fill="FFFFFF"/>
          <w:lang w:val="zh-CN"/>
        </w:rPr>
      </w:pPr>
      <w:r>
        <w:rPr>
          <w:rFonts w:hint="eastAsia" w:ascii="Times New Roman" w:hAnsi="Times New Roman" w:eastAsia="仿宋_GB2312"/>
          <w:color w:val="000000"/>
          <w:sz w:val="32"/>
          <w:szCs w:val="32"/>
          <w:highlight w:val="none"/>
          <w:shd w:val="clear" w:color="auto" w:fill="FFFFFF"/>
          <w:lang w:val="zh-CN"/>
        </w:rPr>
        <w:t>该项目资金由区</w:t>
      </w:r>
      <w:r>
        <w:rPr>
          <w:rFonts w:hint="eastAsia" w:ascii="Times New Roman" w:hAnsi="Times New Roman"/>
          <w:color w:val="000000"/>
          <w:sz w:val="32"/>
          <w:szCs w:val="32"/>
          <w:highlight w:val="none"/>
          <w:shd w:val="clear" w:color="auto" w:fill="FFFFFF"/>
          <w:lang w:val="zh-CN"/>
        </w:rPr>
        <w:t>就业服务中心</w:t>
      </w:r>
      <w:r>
        <w:rPr>
          <w:rFonts w:hint="eastAsia" w:ascii="Times New Roman" w:hAnsi="Times New Roman" w:eastAsia="仿宋_GB2312"/>
          <w:color w:val="000000"/>
          <w:sz w:val="32"/>
          <w:szCs w:val="32"/>
          <w:highlight w:val="none"/>
          <w:shd w:val="clear" w:color="auto" w:fill="FFFFFF"/>
          <w:lang w:val="zh-CN"/>
        </w:rPr>
        <w:t>负责使用安排，就项目的具体实施、监控负责；局规划财务股按照财政局项目资金使用拨付要求，审核项目资料，负责资金的申报、支付，及时账务处理。</w:t>
      </w:r>
      <w:r>
        <w:rPr>
          <w:rFonts w:ascii="Times New Roman" w:hAnsi="Times New Roman" w:eastAsia="仿宋_GB2312"/>
          <w:color w:val="000000"/>
          <w:sz w:val="32"/>
          <w:szCs w:val="32"/>
          <w:highlight w:val="none"/>
          <w:shd w:val="clear" w:color="auto" w:fill="FFFFFF"/>
        </w:rPr>
        <w:t>从查阅档案、审核财务资料等情况来看，</w:t>
      </w:r>
      <w:r>
        <w:rPr>
          <w:rFonts w:hint="eastAsia" w:ascii="Times New Roman" w:hAnsi="Times New Roman"/>
          <w:color w:val="000000"/>
          <w:sz w:val="32"/>
          <w:szCs w:val="32"/>
          <w:highlight w:val="none"/>
          <w:shd w:val="clear" w:color="auto" w:fill="FFFFFF"/>
          <w:lang w:val="en-US" w:eastAsia="zh-CN"/>
        </w:rPr>
        <w:t>2022</w:t>
      </w:r>
      <w:r>
        <w:rPr>
          <w:rFonts w:ascii="Times New Roman" w:hAnsi="Times New Roman" w:eastAsia="仿宋_GB2312"/>
          <w:color w:val="000000"/>
          <w:sz w:val="32"/>
          <w:szCs w:val="32"/>
          <w:highlight w:val="none"/>
          <w:shd w:val="clear" w:color="auto" w:fill="FFFFFF"/>
        </w:rPr>
        <w:t>年度该项资金</w:t>
      </w:r>
      <w:r>
        <w:rPr>
          <w:rFonts w:hint="eastAsia" w:ascii="Times New Roman" w:hAnsi="Times New Roman" w:eastAsia="仿宋_GB2312"/>
          <w:color w:val="000000"/>
          <w:sz w:val="32"/>
          <w:szCs w:val="32"/>
          <w:highlight w:val="none"/>
          <w:shd w:val="clear" w:color="auto" w:fill="FFFFFF"/>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（三）项目组织实施</w:t>
      </w:r>
      <w:r>
        <w:rPr>
          <w:rFonts w:hint="eastAsia" w:eastAsia="楷体_GB2312" w:cs="Times New Roman"/>
          <w:b/>
          <w:sz w:val="32"/>
          <w:szCs w:val="32"/>
          <w:highlight w:val="none"/>
          <w:lang w:val="zh-CN"/>
        </w:rPr>
        <w:t>及管理</w:t>
      </w:r>
      <w:r>
        <w:rPr>
          <w:rFonts w:hint="default" w:ascii="Times New Roman" w:hAnsi="Times New Roman" w:eastAsia="楷体_GB2312" w:cs="Times New Roman"/>
          <w:b/>
          <w:sz w:val="32"/>
          <w:szCs w:val="32"/>
          <w:highlight w:val="none"/>
          <w:lang w:val="zh-CN"/>
        </w:rPr>
        <w:t>情况</w:t>
      </w:r>
    </w:p>
    <w:p>
      <w:pPr>
        <w:pStyle w:val="14"/>
        <w:spacing w:beforeAutospacing="0" w:afterAutospacing="0" w:line="576" w:lineRule="exact"/>
        <w:ind w:firstLine="640" w:firstLineChars="200"/>
        <w:jc w:val="both"/>
        <w:rPr>
          <w:rFonts w:hint="eastAsia"/>
          <w:highlight w:val="none"/>
          <w:lang w:val="zh-CN"/>
        </w:rPr>
      </w:pPr>
      <w:r>
        <w:rPr>
          <w:rFonts w:ascii="Times New Roman" w:hAnsi="Times New Roman" w:eastAsia="仿宋_GB2312"/>
          <w:color w:val="000000"/>
          <w:sz w:val="32"/>
          <w:szCs w:val="32"/>
          <w:highlight w:val="none"/>
          <w:shd w:val="clear" w:color="auto" w:fill="FFFFFF"/>
        </w:rPr>
        <w:t>本项目资金由区财政预算安排，区就业服务中心负责就业创业服务项目的审核、把关、审批及日常业务管理，</w:t>
      </w:r>
      <w:r>
        <w:rPr>
          <w:rFonts w:ascii="Times New Roman" w:hAnsi="Times New Roman" w:eastAsia="仿宋_GB2312"/>
          <w:sz w:val="32"/>
          <w:szCs w:val="32"/>
          <w:highlight w:val="none"/>
        </w:rPr>
        <w:t>坚持“归口申报、集中办理、层层审核”的原则，由各单位部门、各镇自行上报计划，人社局根据计划安排就业</w:t>
      </w:r>
      <w:r>
        <w:rPr>
          <w:rFonts w:hint="eastAsia" w:ascii="Times New Roman" w:hAnsi="Times New Roman"/>
          <w:sz w:val="32"/>
          <w:szCs w:val="32"/>
          <w:highlight w:val="none"/>
          <w:lang w:eastAsia="zh-CN"/>
        </w:rPr>
        <w:t>创业</w:t>
      </w:r>
      <w:r>
        <w:rPr>
          <w:rFonts w:ascii="Times New Roman" w:hAnsi="Times New Roman" w:eastAsia="仿宋_GB2312"/>
          <w:sz w:val="32"/>
          <w:szCs w:val="32"/>
          <w:highlight w:val="none"/>
        </w:rPr>
        <w:t>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highlight w:val="none"/>
          <w:lang w:val="zh-CN"/>
        </w:rPr>
      </w:pPr>
      <w:r>
        <w:rPr>
          <w:rFonts w:hint="default" w:ascii="Times New Roman" w:hAnsi="Times New Roman" w:eastAsia="黑体" w:cs="Times New Roman"/>
          <w:sz w:val="32"/>
          <w:szCs w:val="32"/>
          <w:highlight w:val="none"/>
        </w:rPr>
        <w:t>三、项目绩效情况</w:t>
      </w:r>
      <w:r>
        <w:rPr>
          <w:rFonts w:hint="default" w:ascii="Times New Roman" w:hAnsi="Times New Roman" w:cs="Times New Roman"/>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highlight w:val="none"/>
          <w:lang w:val="zh-CN" w:eastAsia="zh-CN"/>
        </w:rPr>
      </w:pPr>
      <w:r>
        <w:rPr>
          <w:rFonts w:hint="eastAsia" w:ascii="Times New Roman" w:hAnsi="Times New Roman" w:eastAsia="仿宋_GB2312" w:cs="仿宋_GB2312"/>
          <w:sz w:val="32"/>
          <w:szCs w:val="32"/>
          <w:highlight w:val="none"/>
          <w:lang w:val="zh-CN" w:eastAsia="zh-CN"/>
        </w:rPr>
        <w:t>该项目绩效目标完成情况见下表：</w:t>
      </w:r>
    </w:p>
    <w:tbl>
      <w:tblPr>
        <w:tblStyle w:val="15"/>
        <w:tblW w:w="8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4"/>
        <w:gridCol w:w="1569"/>
        <w:gridCol w:w="2001"/>
        <w:gridCol w:w="461"/>
        <w:gridCol w:w="1483"/>
        <w:gridCol w:w="462"/>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返乡农民工创业个数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70</w:t>
            </w:r>
            <w:r>
              <w:rPr>
                <w:rFonts w:hint="eastAsia" w:ascii="宋体" w:hAnsi="宋体" w:cs="宋体"/>
                <w:i w:val="0"/>
                <w:iCs w:val="0"/>
                <w:color w:val="000000"/>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脱贫人口创办领办创业实体个数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r>
              <w:rPr>
                <w:rFonts w:hint="eastAsia" w:ascii="宋体" w:hAnsi="宋体" w:cs="宋体"/>
                <w:i w:val="0"/>
                <w:iCs w:val="0"/>
                <w:color w:val="000000"/>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公益性岗位补贴按时足额发放</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社会保险补贴、高校毕业生就业见习补贴发放率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完成年限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就业创业工作经费控制在预算批复之内</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“十四五”期间城镇登记失业率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“十四五”期间实现城镇新增就业人数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1600</w:t>
            </w:r>
            <w:r>
              <w:rPr>
                <w:rFonts w:hint="eastAsia" w:ascii="宋体" w:hAnsi="宋体" w:cs="宋体"/>
                <w:i w:val="0"/>
                <w:iCs w:val="0"/>
                <w:color w:val="000000"/>
                <w:kern w:val="0"/>
                <w:sz w:val="18"/>
                <w:szCs w:val="18"/>
                <w:highlight w:val="none"/>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促进更加充分和高质量就业</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各类就业服务对象满意度</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95%</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eastAsia" w:eastAsia="黑体" w:cs="Times New Roman"/>
          <w:sz w:val="32"/>
          <w:szCs w:val="32"/>
          <w:highlight w:val="none"/>
          <w:lang w:eastAsia="zh-CN"/>
        </w:rPr>
        <w:t>自评结论及</w:t>
      </w:r>
      <w:r>
        <w:rPr>
          <w:rFonts w:hint="default" w:ascii="Times New Roman" w:hAnsi="Times New Roman" w:eastAsia="黑体" w:cs="Times New Roman"/>
          <w:sz w:val="32"/>
          <w:szCs w:val="32"/>
          <w:highlight w:val="none"/>
        </w:rPr>
        <w:t>建议</w:t>
      </w:r>
    </w:p>
    <w:p>
      <w:pPr>
        <w:pStyle w:val="5"/>
        <w:spacing w:before="111" w:line="304" w:lineRule="auto"/>
        <w:ind w:left="231" w:right="276" w:firstLine="640"/>
        <w:jc w:val="both"/>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eastAsia="zh-CN"/>
        </w:rPr>
        <w:t>（一）评价结论。</w:t>
      </w:r>
      <w:r>
        <w:rPr>
          <w:rFonts w:hint="eastAsia" w:ascii="Times New Roman" w:hAnsi="Times New Roman" w:eastAsia="仿宋_GB2312" w:cs="Times New Roman"/>
          <w:kern w:val="0"/>
          <w:sz w:val="32"/>
          <w:szCs w:val="32"/>
          <w:highlight w:val="none"/>
          <w:lang w:val="zh-CN" w:eastAsia="zh-CN" w:bidi="ar-SA"/>
        </w:rPr>
        <w:t>通过项目实施，较好完成了各项指标，自评得分情况如下：</w:t>
      </w:r>
    </w:p>
    <w:tbl>
      <w:tblPr>
        <w:tblStyle w:val="15"/>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44"/>
        <w:gridCol w:w="1272"/>
        <w:gridCol w:w="1598"/>
        <w:gridCol w:w="404"/>
        <w:gridCol w:w="1194"/>
        <w:gridCol w:w="405"/>
        <w:gridCol w:w="862"/>
        <w:gridCol w:w="495"/>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49.50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返乡农民工创业个数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r>
              <w:rPr>
                <w:rFonts w:hint="eastAsia" w:ascii="宋体" w:hAnsi="宋体" w:cs="宋体"/>
                <w:i w:val="0"/>
                <w:iCs w:val="0"/>
                <w:color w:val="000000"/>
                <w:kern w:val="0"/>
                <w:sz w:val="18"/>
                <w:szCs w:val="18"/>
                <w:highlight w:val="none"/>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脱贫人口创办领办创业实体个数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r>
              <w:rPr>
                <w:rFonts w:hint="eastAsia" w:ascii="宋体" w:hAnsi="宋体" w:cs="宋体"/>
                <w:i w:val="0"/>
                <w:iCs w:val="0"/>
                <w:color w:val="000000"/>
                <w:kern w:val="0"/>
                <w:sz w:val="18"/>
                <w:szCs w:val="18"/>
                <w:highlight w:val="none"/>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公益性岗位补贴按时足额发放</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社会保险补贴、高校毕业生就业见习补贴发放率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完成年限</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年</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就业创业工作经费控制在预算批复之内</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万元</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“十四五”期间城镇登记失业率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“十四五”期间实现城镇新增就业人数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r>
              <w:rPr>
                <w:rFonts w:hint="eastAsia" w:ascii="宋体" w:hAnsi="宋体" w:cs="宋体"/>
                <w:i w:val="0"/>
                <w:iCs w:val="0"/>
                <w:color w:val="000000"/>
                <w:kern w:val="0"/>
                <w:sz w:val="18"/>
                <w:szCs w:val="18"/>
                <w:highlight w:val="none"/>
                <w:u w:val="none"/>
                <w:lang w:val="en-US" w:eastAsia="zh-CN" w:bidi="ar"/>
              </w:rPr>
              <w:t>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促进更加充分和高质量就业</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各类就业服务对象满意度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99.5</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321" w:firstLineChars="100"/>
        <w:textAlignment w:val="auto"/>
        <w:rPr>
          <w:rFonts w:hint="eastAsia" w:cs="Times New Roman"/>
          <w:sz w:val="32"/>
          <w:szCs w:val="32"/>
          <w:highlight w:val="none"/>
          <w:lang w:val="zh-CN"/>
        </w:rPr>
      </w:pPr>
      <w:r>
        <w:rPr>
          <w:rFonts w:hint="eastAsia" w:ascii="Times New Roman" w:hAnsi="Times New Roman" w:eastAsia="楷体_GB2312" w:cs="Times New Roman"/>
          <w:b/>
          <w:sz w:val="32"/>
          <w:szCs w:val="32"/>
          <w:highlight w:val="none"/>
          <w:lang w:val="zh-CN"/>
        </w:rPr>
        <w:t>（二）存在的问题。</w:t>
      </w:r>
      <w:r>
        <w:rPr>
          <w:rFonts w:hint="eastAsia" w:cs="Times New Roman"/>
          <w:sz w:val="32"/>
          <w:szCs w:val="32"/>
          <w:highlight w:val="none"/>
          <w:lang w:val="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321" w:firstLineChars="100"/>
        <w:textAlignment w:val="auto"/>
        <w:rPr>
          <w:rFonts w:hint="eastAsia" w:cs="Times New Roman"/>
          <w:sz w:val="32"/>
          <w:szCs w:val="32"/>
          <w:highlight w:val="none"/>
          <w:lang w:val="zh-CN"/>
        </w:rPr>
      </w:pPr>
      <w:r>
        <w:rPr>
          <w:rFonts w:hint="eastAsia" w:ascii="Times New Roman" w:hAnsi="Times New Roman" w:eastAsia="楷体_GB2312" w:cs="Times New Roman"/>
          <w:b/>
          <w:sz w:val="32"/>
          <w:szCs w:val="32"/>
          <w:highlight w:val="none"/>
          <w:lang w:val="zh-CN"/>
        </w:rPr>
        <w:t>（三）相关建议。</w:t>
      </w:r>
      <w:r>
        <w:rPr>
          <w:rFonts w:hint="eastAsia" w:cs="Times New Roman"/>
          <w:sz w:val="32"/>
          <w:szCs w:val="32"/>
          <w:highlight w:val="none"/>
          <w:lang w:val="zh-CN"/>
        </w:rPr>
        <w:t>无</w:t>
      </w:r>
    </w:p>
    <w:p>
      <w:pPr>
        <w:bidi w:val="0"/>
        <w:rPr>
          <w:rFonts w:hint="eastAsia"/>
          <w:lang w:val="zh-CN" w:eastAsia="zh-CN"/>
        </w:rPr>
      </w:pP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附件：广元市昭化区人力资源和社会保障局</w:t>
      </w:r>
      <w:r>
        <w:rPr>
          <w:rFonts w:hint="eastAsia" w:ascii="仿宋_GB2312" w:hAnsi="仿宋_GB2312" w:eastAsia="仿宋_GB2312" w:cs="仿宋_GB2312"/>
          <w:color w:val="auto"/>
          <w:sz w:val="32"/>
          <w:szCs w:val="32"/>
          <w:highlight w:val="none"/>
          <w:lang w:val="en-US" w:eastAsia="zh-CN"/>
        </w:rPr>
        <w:t>2022年财政项目支出绩效自评表</w:t>
      </w:r>
    </w:p>
    <w:p>
      <w:pPr>
        <w:tabs>
          <w:tab w:val="left" w:pos="429"/>
        </w:tabs>
        <w:bidi w:val="0"/>
        <w:jc w:val="left"/>
        <w:rPr>
          <w:rFonts w:hint="eastAsia"/>
          <w:lang w:val="zh-CN" w:eastAsia="zh-CN"/>
        </w:rPr>
        <w:sectPr>
          <w:footerReference r:id="rId10" w:type="first"/>
          <w:footerReference r:id="rId9" w:type="default"/>
          <w:pgSz w:w="11906" w:h="16838"/>
          <w:pgMar w:top="1984" w:right="1474" w:bottom="1871" w:left="1587" w:header="851" w:footer="992" w:gutter="0"/>
          <w:pgNumType w:fmt="decimal"/>
          <w:cols w:space="0" w:num="1"/>
          <w:titlePg/>
          <w:rtlGutter w:val="0"/>
          <w:docGrid w:type="lines" w:linePitch="312" w:charSpace="0"/>
        </w:sectPr>
      </w:pPr>
    </w:p>
    <w:tbl>
      <w:tblPr>
        <w:tblStyle w:val="15"/>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732"/>
        <w:gridCol w:w="984"/>
        <w:gridCol w:w="960"/>
        <w:gridCol w:w="1105"/>
        <w:gridCol w:w="1522"/>
        <w:gridCol w:w="1413"/>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880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800" w:type="dxa"/>
            <w:gridSpan w:val="8"/>
            <w:tcBorders>
              <w:top w:val="nil"/>
              <w:left w:val="nil"/>
              <w:bottom w:val="single" w:color="auto"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1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就业创业资金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新增就业1300人，登记实业率控制在4%以内，培育返乡农民工创业20个，脱贫人口创办领办创业实体10个，社会保险补贴、高校毕业生就业见习补贴发放率100%，公益性岗位补贴按时足额发放。为促进就业、民生改善、居民增收、经济与扩大就业协调发展、社会和谐稳定以及鼓励返乡创业建设家乡，助推经济发展。</w:t>
            </w:r>
          </w:p>
        </w:tc>
        <w:tc>
          <w:tcPr>
            <w:tcW w:w="40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新增就业1600人，登记失业率控制在3.4%，培育返乡农民工创业27个，脱贫人口创办实体70个，社会保险补贴、高校毕业生见习补贴发放率100%，公益性岗位补贴按时足额发放。为促进就业、民生改善、居民增收、经济与扩大就业协调发展、社会和谐稳定以及鼓励放心创业建设家乡，助推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脱贫人口创办领办创业实体个数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Style w:val="40"/>
                <w:lang w:val="en-US" w:eastAsia="zh-CN" w:bidi="ar"/>
              </w:rPr>
              <w:t>10个</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70个</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返乡农民工创业个数</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27个</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公益性岗位补贴按时足额发放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社会保险补贴、高校毕业生就业见习补贴发放率</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Style w:val="40"/>
                <w:lang w:val="en-US" w:eastAsia="zh-CN" w:bidi="ar"/>
              </w:rPr>
              <w:t>1年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就业创业工作经费控制咋预算批复之内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促进更加充分和高质量就业</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“十四五”期间实现城镇新增就业人数</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1600人</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“十四五”期间城镇登记失业率</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Style w:val="41"/>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各类就业服务对象满意度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320" w:firstLineChars="100"/>
        <w:textAlignment w:val="auto"/>
        <w:rPr>
          <w:rFonts w:hint="eastAsia" w:cs="Times New Roman"/>
          <w:sz w:val="32"/>
          <w:szCs w:val="32"/>
          <w:highlight w:val="none"/>
          <w:lang w:val="zh-CN"/>
        </w:rPr>
        <w:sectPr>
          <w:pgSz w:w="11906" w:h="16838"/>
          <w:pgMar w:top="1984" w:right="1474" w:bottom="1871" w:left="1587" w:header="851" w:footer="992"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eastAsia" w:ascii="黑体" w:hAnsi="黑体" w:eastAsia="黑体" w:cs="黑体"/>
          <w:b w:val="0"/>
          <w:bCs/>
          <w:color w:val="auto"/>
          <w:sz w:val="32"/>
          <w:szCs w:val="32"/>
          <w:highlight w:val="none"/>
          <w:shd w:val="clear" w:color="auto" w:fill="FFFFFF"/>
          <w:lang w:val="en-US" w:eastAsia="zh-CN"/>
        </w:rPr>
      </w:pPr>
      <w:bookmarkStart w:id="100" w:name="_Toc23674"/>
      <w:r>
        <w:rPr>
          <w:rFonts w:hint="eastAsia" w:ascii="黑体" w:hAnsi="黑体" w:eastAsia="黑体" w:cs="黑体"/>
          <w:b w:val="0"/>
          <w:bCs/>
          <w:color w:val="auto"/>
          <w:sz w:val="32"/>
          <w:szCs w:val="32"/>
          <w:highlight w:val="none"/>
          <w:shd w:val="clear" w:color="auto" w:fill="FFFFFF"/>
          <w:lang w:val="en-US" w:eastAsia="zh-CN"/>
        </w:rPr>
        <w:t>附件4</w:t>
      </w:r>
      <w:bookmarkEnd w:id="100"/>
    </w:p>
    <w:p>
      <w:pPr>
        <w:pStyle w:val="19"/>
        <w:rPr>
          <w:rFonts w:hint="eastAsia" w:ascii="方正小标宋简体" w:hAnsi="方正小标宋简体" w:eastAsia="方正小标宋简体" w:cs="方正小标宋简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kern w:val="0"/>
          <w:sz w:val="44"/>
          <w:szCs w:val="44"/>
          <w:highlight w:val="none"/>
          <w:lang w:val="en-US" w:eastAsia="zh-CN" w:bidi="ar-SA"/>
        </w:rPr>
      </w:pPr>
      <w:bookmarkStart w:id="101" w:name="_Toc4852"/>
      <w:r>
        <w:rPr>
          <w:rFonts w:hint="eastAsia" w:ascii="方正小标宋简体" w:hAnsi="方正小标宋简体" w:eastAsia="方正小标宋简体" w:cs="方正小标宋简体"/>
          <w:kern w:val="0"/>
          <w:sz w:val="44"/>
          <w:szCs w:val="44"/>
          <w:highlight w:val="none"/>
          <w:lang w:val="en-US" w:eastAsia="zh-CN" w:bidi="ar-SA"/>
        </w:rPr>
        <w:t>广元市昭化区人力资源和社会保障局招商引资工作经费项目支出自评报告（自评表）</w:t>
      </w:r>
      <w:bookmarkEnd w:id="101"/>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lang w:val="zh-CN"/>
        </w:rPr>
      </w:pPr>
      <w:r>
        <w:rPr>
          <w:rFonts w:hint="eastAsia" w:ascii="Times New Roman" w:hAnsi="Times New Roman" w:eastAsia="黑体" w:cs="Times New Roman"/>
          <w:sz w:val="32"/>
          <w:szCs w:val="32"/>
          <w:highlight w:val="none"/>
          <w:lang w:val="zh-CN"/>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b/>
          <w:sz w:val="32"/>
          <w:szCs w:val="32"/>
          <w:highlight w:val="none"/>
          <w:lang w:val="zh-CN"/>
        </w:rPr>
        <w:t>项目</w:t>
      </w:r>
      <w:r>
        <w:rPr>
          <w:rFonts w:hint="eastAsia" w:eastAsia="楷体_GB2312" w:cs="Times New Roman"/>
          <w:b/>
          <w:sz w:val="32"/>
          <w:szCs w:val="32"/>
          <w:highlight w:val="none"/>
          <w:lang w:val="zh-CN"/>
        </w:rPr>
        <w:t>资金申报及批复情况。</w:t>
      </w:r>
      <w:r>
        <w:rPr>
          <w:rFonts w:hint="eastAsia" w:ascii="Times New Roman" w:hAnsi="Times New Roman" w:eastAsia="仿宋_GB2312" w:cs="Times New Roman"/>
          <w:kern w:val="0"/>
          <w:sz w:val="32"/>
          <w:szCs w:val="32"/>
          <w:highlight w:val="none"/>
          <w:lang w:val="zh-CN" w:eastAsia="zh-CN" w:bidi="ar-SA"/>
        </w:rPr>
        <w:t>招商引资工作经费是完成2022年区政府下达的招商引资目标任务，为实现经济转型和产业发展，助推我区经济发展，202</w:t>
      </w:r>
      <w:r>
        <w:rPr>
          <w:rFonts w:hint="eastAsia"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zh-CN" w:eastAsia="zh-CN" w:bidi="ar-SA"/>
        </w:rPr>
        <w:t>年区财政预算安排我单位招商引资工作经费2</w:t>
      </w:r>
      <w:r>
        <w:rPr>
          <w:rFonts w:hint="eastAsia"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zh-CN" w:eastAsia="zh-CN" w:bidi="ar-SA"/>
        </w:rPr>
        <w:t>5万元。我单位</w:t>
      </w:r>
      <w:r>
        <w:rPr>
          <w:rFonts w:hint="eastAsia" w:ascii="Times New Roman" w:hAnsi="Times New Roman" w:eastAsia="仿宋_GB2312" w:cs="Times New Roman"/>
          <w:kern w:val="0"/>
          <w:sz w:val="32"/>
          <w:szCs w:val="32"/>
          <w:highlight w:val="none"/>
          <w:lang w:val="en-US" w:eastAsia="zh-CN" w:bidi="ar-SA"/>
        </w:rPr>
        <w:t>严格按照预算要求编制、立项；资金申报按照项目支付需求，领导审批同意报请财政局审批；项目批复与2022年年初预算一同批复公开。所有资金管理流程符合相关规定。</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0"/>
          <w:sz w:val="32"/>
          <w:szCs w:val="32"/>
          <w:highlight w:val="none"/>
          <w:lang w:val="zh-CN" w:eastAsia="zh-CN" w:bidi="ar-SA"/>
        </w:rPr>
      </w:pPr>
      <w:r>
        <w:rPr>
          <w:rFonts w:hint="default" w:ascii="Times New Roman" w:hAnsi="Times New Roman" w:eastAsia="楷体_GB2312" w:cs="Times New Roman"/>
          <w:b/>
          <w:sz w:val="32"/>
          <w:szCs w:val="32"/>
          <w:highlight w:val="none"/>
          <w:lang w:val="zh-CN"/>
        </w:rPr>
        <w:t>项目绩效目标。</w:t>
      </w:r>
      <w:r>
        <w:rPr>
          <w:rFonts w:hint="eastAsia" w:ascii="Times New Roman" w:hAnsi="Times New Roman" w:eastAsia="仿宋_GB2312" w:cs="Times New Roman"/>
          <w:kern w:val="0"/>
          <w:sz w:val="32"/>
          <w:szCs w:val="32"/>
          <w:highlight w:val="none"/>
          <w:lang w:val="zh-CN" w:eastAsia="zh-CN" w:bidi="ar-SA"/>
        </w:rPr>
        <w:t>该项目主要内容是区政府下达的招商引资目标任务，具体包括：参加招商引资推介次数大于等于</w:t>
      </w:r>
      <w:r>
        <w:rPr>
          <w:rFonts w:hint="eastAsia" w:ascii="Times New Roman" w:hAnsi="Times New Roman" w:eastAsia="仿宋_GB2312" w:cs="Times New Roman"/>
          <w:kern w:val="0"/>
          <w:sz w:val="32"/>
          <w:szCs w:val="32"/>
          <w:highlight w:val="none"/>
          <w:lang w:val="en-US" w:eastAsia="zh-CN" w:bidi="ar-SA"/>
        </w:rPr>
        <w:t>2次；累计洽谈项目个数大于等于3个，增加本地就业人数和增加税收收入，企业满意度大于等于90%。</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0"/>
          <w:sz w:val="32"/>
          <w:szCs w:val="32"/>
          <w:highlight w:val="none"/>
          <w:lang w:val="zh-CN" w:eastAsia="zh-CN" w:bidi="ar-SA"/>
        </w:rPr>
      </w:pPr>
      <w:r>
        <w:rPr>
          <w:rFonts w:hint="default" w:ascii="Times New Roman" w:hAnsi="Times New Roman" w:eastAsia="楷体_GB2312" w:cs="Times New Roman"/>
          <w:b/>
          <w:sz w:val="32"/>
          <w:szCs w:val="32"/>
          <w:highlight w:val="none"/>
          <w:lang w:val="zh-CN"/>
        </w:rPr>
        <w:t>（三）项目资金申报相符性。</w:t>
      </w:r>
      <w:r>
        <w:rPr>
          <w:rFonts w:hint="eastAsia" w:ascii="Times New Roman" w:hAnsi="Times New Roman" w:eastAsia="仿宋_GB2312" w:cs="Times New Roman"/>
          <w:kern w:val="0"/>
          <w:sz w:val="32"/>
          <w:szCs w:val="32"/>
          <w:highlight w:val="none"/>
          <w:lang w:val="zh-CN" w:eastAsia="zh-CN" w:bidi="ar-SA"/>
        </w:rPr>
        <w:t>招商引资工作经费</w:t>
      </w:r>
      <w:r>
        <w:rPr>
          <w:rFonts w:hint="default" w:ascii="Times New Roman" w:hAnsi="Times New Roman" w:eastAsia="仿宋_GB2312" w:cs="Times New Roman"/>
          <w:kern w:val="0"/>
          <w:sz w:val="32"/>
          <w:szCs w:val="32"/>
          <w:highlight w:val="none"/>
          <w:lang w:val="zh-CN" w:eastAsia="zh-CN" w:bidi="ar-SA"/>
        </w:rPr>
        <w:t>项目申报内容与具体实施内容相符、申报目标</w:t>
      </w:r>
      <w:r>
        <w:rPr>
          <w:rFonts w:hint="eastAsia" w:ascii="Times New Roman" w:hAnsi="Times New Roman" w:eastAsia="仿宋_GB2312" w:cs="Times New Roman"/>
          <w:kern w:val="0"/>
          <w:sz w:val="32"/>
          <w:szCs w:val="32"/>
          <w:highlight w:val="none"/>
          <w:lang w:val="zh-CN" w:eastAsia="zh-CN" w:bidi="ar-SA"/>
        </w:rPr>
        <w:t>合</w:t>
      </w:r>
      <w:r>
        <w:rPr>
          <w:rFonts w:hint="default" w:ascii="Times New Roman" w:hAnsi="Times New Roman" w:eastAsia="仿宋_GB2312" w:cs="Times New Roman"/>
          <w:kern w:val="0"/>
          <w:sz w:val="32"/>
          <w:szCs w:val="32"/>
          <w:highlight w:val="none"/>
          <w:lang w:val="zh-CN" w:eastAsia="zh-CN" w:bidi="ar-SA"/>
        </w:rPr>
        <w:t>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highlight w:val="none"/>
          <w:lang w:val="zh-CN"/>
        </w:rPr>
      </w:pPr>
      <w:r>
        <w:rPr>
          <w:rFonts w:hint="eastAsia" w:ascii="Times New Roman" w:hAnsi="Times New Roman" w:eastAsia="楷体_GB2312" w:cs="Times New Roman"/>
          <w:b/>
          <w:sz w:val="32"/>
          <w:szCs w:val="32"/>
          <w:highlight w:val="none"/>
          <w:lang w:val="zh-CN"/>
        </w:rPr>
        <w:t>（四）自评步骤及方法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cs="Times New Roman"/>
          <w:sz w:val="32"/>
          <w:szCs w:val="32"/>
          <w:highlight w:val="none"/>
          <w:lang w:val="zh-CN"/>
        </w:rPr>
      </w:pPr>
      <w:r>
        <w:rPr>
          <w:rFonts w:hint="eastAsia" w:ascii="Times New Roman" w:hAnsi="Times New Roman" w:eastAsia="仿宋_GB2312" w:cs="Times New Roman"/>
          <w:kern w:val="0"/>
          <w:sz w:val="32"/>
          <w:szCs w:val="32"/>
          <w:highlight w:val="none"/>
          <w:lang w:val="zh-CN" w:eastAsia="zh-CN" w:bidi="ar-SA"/>
        </w:rPr>
        <w:t>项目绩效自评采用因素分析法，通过收集项目资料，会议讨论，考评打分进行自评。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（一）资金计划、到位及使用情况</w:t>
      </w:r>
      <w:r>
        <w:rPr>
          <w:rFonts w:hint="eastAsia" w:eastAsia="楷体_GB2312" w:cs="Times New Roman"/>
          <w:b/>
          <w:sz w:val="32"/>
          <w:szCs w:val="32"/>
          <w:highlight w:val="none"/>
          <w:lang w:val="zh-CN"/>
        </w:rPr>
        <w:t>（可用表格形式反映）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1.资金计划及到位。</w:t>
      </w:r>
      <w:r>
        <w:rPr>
          <w:rFonts w:hint="eastAsia" w:ascii="Times New Roman" w:hAnsi="Times New Roman" w:eastAsia="仿宋_GB2312" w:cs="Times New Roman"/>
          <w:kern w:val="0"/>
          <w:sz w:val="32"/>
          <w:szCs w:val="32"/>
          <w:highlight w:val="none"/>
          <w:lang w:val="zh-CN" w:eastAsia="zh-CN" w:bidi="ar-SA"/>
        </w:rPr>
        <w:t>该项目年初预算</w:t>
      </w:r>
      <w:r>
        <w:rPr>
          <w:rFonts w:hint="eastAsia" w:ascii="Times New Roman" w:hAnsi="Times New Roman" w:eastAsia="仿宋_GB2312" w:cs="Times New Roman"/>
          <w:kern w:val="0"/>
          <w:sz w:val="32"/>
          <w:szCs w:val="32"/>
          <w:highlight w:val="none"/>
          <w:lang w:val="en-US" w:eastAsia="zh-CN" w:bidi="ar-SA"/>
        </w:rPr>
        <w:t>2.5万元，实际到位2.5万元，到位率100%。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2.资金使用。</w:t>
      </w:r>
      <w:r>
        <w:rPr>
          <w:rFonts w:hint="eastAsia" w:ascii="Times New Roman" w:hAnsi="Times New Roman" w:eastAsia="仿宋_GB2312" w:cs="Times New Roman"/>
          <w:kern w:val="0"/>
          <w:sz w:val="32"/>
          <w:szCs w:val="32"/>
          <w:highlight w:val="none"/>
          <w:lang w:val="en-US" w:eastAsia="zh-CN" w:bidi="ar-SA"/>
        </w:rPr>
        <w:t>主要用于</w:t>
      </w:r>
      <w:r>
        <w:rPr>
          <w:rFonts w:hint="eastAsia" w:ascii="Times New Roman" w:hAnsi="Times New Roman" w:eastAsia="仿宋_GB2312" w:cs="Times New Roman"/>
          <w:kern w:val="0"/>
          <w:sz w:val="32"/>
          <w:szCs w:val="32"/>
          <w:highlight w:val="none"/>
          <w:lang w:val="zh-CN" w:eastAsia="zh-CN" w:bidi="ar-SA"/>
        </w:rPr>
        <w:t>招商引资相关公务接待费，以保证该项工作的正常开展，</w:t>
      </w:r>
      <w:r>
        <w:rPr>
          <w:rFonts w:hint="eastAsia" w:ascii="Times New Roman" w:hAnsi="Times New Roman" w:eastAsia="仿宋_GB2312" w:cs="Times New Roman"/>
          <w:kern w:val="0"/>
          <w:sz w:val="32"/>
          <w:szCs w:val="32"/>
          <w:highlight w:val="none"/>
          <w:lang w:val="en-US" w:eastAsia="zh-CN" w:bidi="ar-SA"/>
        </w:rPr>
        <w:t>2022年已使用2.5万元，资金使用率100%。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zh-CN" w:eastAsia="zh-CN" w:bidi="ar-SA"/>
        </w:rPr>
        <w:t>为有效落实项目资金的财务管理，我单位印发了《项目支出预算管理办法》，严重按照项目支出综合预算、科学论证、合理排序、追踪问效的原则实施项目。项目资金的使用各经办人员、规划财务股按照职责分工进行财务管理。项目资金的会计核算和账务处理由各经办人员提供相关资金资料，报规划财务股审核后按照会计处理法规进行账务处理。按照项目资金的管理办法，该项目资金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（三）项目组织实施</w:t>
      </w:r>
      <w:r>
        <w:rPr>
          <w:rFonts w:hint="eastAsia" w:eastAsia="楷体_GB2312" w:cs="Times New Roman"/>
          <w:b/>
          <w:sz w:val="32"/>
          <w:szCs w:val="32"/>
          <w:highlight w:val="none"/>
          <w:lang w:val="zh-CN"/>
        </w:rPr>
        <w:t>及管理</w:t>
      </w:r>
      <w:r>
        <w:rPr>
          <w:rFonts w:hint="default" w:ascii="Times New Roman" w:hAnsi="Times New Roman" w:eastAsia="楷体_GB2312" w:cs="Times New Roman"/>
          <w:b/>
          <w:sz w:val="32"/>
          <w:szCs w:val="32"/>
          <w:highlight w:val="none"/>
          <w:lang w:val="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en-US" w:eastAsia="zh-CN" w:bidi="ar-SA"/>
        </w:rPr>
        <w:t>该项目组织框架主要包括局内各股室、下属事业单位和规划财务股组成。</w:t>
      </w:r>
      <w:r>
        <w:rPr>
          <w:rFonts w:hint="eastAsia" w:ascii="Times New Roman" w:hAnsi="Times New Roman" w:eastAsia="仿宋_GB2312" w:cs="Times New Roman"/>
          <w:kern w:val="0"/>
          <w:sz w:val="32"/>
          <w:szCs w:val="32"/>
          <w:highlight w:val="none"/>
          <w:lang w:val="zh-CN" w:eastAsia="zh-CN" w:bidi="ar-SA"/>
        </w:rPr>
        <w:t>规划财务股对项目支出的执行过程和完成结果进行监督、检查，并开展内审对项目支出进行重点审查。对违反有关法律、行政法规和财务规章制度的，依法进行处理，并通告处理结果。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highlight w:val="none"/>
          <w:lang w:val="zh-CN"/>
        </w:rPr>
      </w:pPr>
      <w:r>
        <w:rPr>
          <w:rFonts w:hint="default" w:ascii="Times New Roman" w:hAnsi="Times New Roman" w:eastAsia="黑体" w:cs="Times New Roman"/>
          <w:sz w:val="32"/>
          <w:szCs w:val="32"/>
          <w:highlight w:val="none"/>
        </w:rPr>
        <w:t>三、项目绩效情况</w:t>
      </w:r>
      <w:r>
        <w:rPr>
          <w:rFonts w:hint="default" w:ascii="Times New Roman" w:hAnsi="Times New Roman" w:cs="Times New Roman"/>
          <w:sz w:val="32"/>
          <w:szCs w:val="32"/>
          <w:highlight w:val="none"/>
          <w:lang w:val="zh-CN"/>
        </w:rPr>
        <w:tab/>
      </w:r>
    </w:p>
    <w:p>
      <w:pPr>
        <w:pStyle w:val="5"/>
        <w:spacing w:before="108" w:after="15"/>
        <w:ind w:left="871"/>
        <w:rPr>
          <w:highlight w:val="none"/>
        </w:rPr>
      </w:pPr>
      <w:r>
        <w:rPr>
          <w:highlight w:val="none"/>
        </w:rPr>
        <w:t>该项目绩效目标完成情况见下表：</w:t>
      </w:r>
    </w:p>
    <w:tbl>
      <w:tblPr>
        <w:tblStyle w:val="15"/>
        <w:tblW w:w="8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4"/>
        <w:gridCol w:w="1576"/>
        <w:gridCol w:w="2011"/>
        <w:gridCol w:w="463"/>
        <w:gridCol w:w="1490"/>
        <w:gridCol w:w="465"/>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参加招商引资推介会次数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累计洽谈项目个数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完成2022年区政府下达的招商引资目标任务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完成年限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招商引资工作经费控制在预算批复之内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经济效益指标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增加税收收入</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增加本地就业人数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企业满意度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eastAsia" w:eastAsia="黑体" w:cs="Times New Roman"/>
          <w:sz w:val="32"/>
          <w:szCs w:val="32"/>
          <w:highlight w:val="none"/>
          <w:lang w:eastAsia="zh-CN"/>
        </w:rPr>
        <w:t>自评结论及</w:t>
      </w:r>
      <w:r>
        <w:rPr>
          <w:rFonts w:hint="default" w:ascii="Times New Roman" w:hAnsi="Times New Roman" w:eastAsia="黑体" w:cs="Times New Roman"/>
          <w:sz w:val="32"/>
          <w:szCs w:val="32"/>
          <w:highlight w:val="none"/>
        </w:rPr>
        <w:t>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eastAsia="zh-CN"/>
        </w:rPr>
        <w:t>（一）评价结论。</w:t>
      </w:r>
      <w:r>
        <w:rPr>
          <w:rFonts w:hint="eastAsia" w:ascii="Times New Roman" w:hAnsi="Times New Roman" w:eastAsia="仿宋_GB2312" w:cs="Times New Roman"/>
          <w:kern w:val="0"/>
          <w:sz w:val="32"/>
          <w:szCs w:val="32"/>
          <w:highlight w:val="none"/>
          <w:lang w:val="zh-CN" w:eastAsia="zh-CN" w:bidi="ar-SA"/>
        </w:rPr>
        <w:t>我局在该项目实施过程中，建立健全相关制度、机制，严格执行，推进各专项工作的落实。项目资金管理实行专项管理，严格审批制度，真正做到了专款专用，确保项目资金有效的利用。总体来说项目审核严格，管理到位，完成及时，社会效果良好，综合评价</w:t>
      </w:r>
      <w:r>
        <w:rPr>
          <w:rFonts w:hint="eastAsia" w:ascii="Times New Roman" w:hAnsi="Times New Roman" w:eastAsia="仿宋_GB2312" w:cs="Times New Roman"/>
          <w:kern w:val="0"/>
          <w:sz w:val="32"/>
          <w:szCs w:val="32"/>
          <w:highlight w:val="none"/>
          <w:lang w:val="en-US" w:eastAsia="zh-CN" w:bidi="ar-SA"/>
        </w:rPr>
        <w:t>9</w:t>
      </w:r>
      <w:r>
        <w:rPr>
          <w:rFonts w:hint="eastAsia" w:eastAsia="仿宋_GB2312" w:cs="Times New Roman"/>
          <w:kern w:val="0"/>
          <w:sz w:val="32"/>
          <w:szCs w:val="32"/>
          <w:highlight w:val="none"/>
          <w:lang w:val="en-US" w:eastAsia="zh-CN" w:bidi="ar-SA"/>
        </w:rPr>
        <w:t>9.2</w:t>
      </w:r>
      <w:r>
        <w:rPr>
          <w:rFonts w:hint="eastAsia" w:ascii="Times New Roman" w:hAnsi="Times New Roman" w:eastAsia="仿宋_GB2312" w:cs="Times New Roman"/>
          <w:kern w:val="0"/>
          <w:sz w:val="32"/>
          <w:szCs w:val="32"/>
          <w:highlight w:val="none"/>
          <w:lang w:val="en-US" w:eastAsia="zh-CN" w:bidi="ar-SA"/>
        </w:rPr>
        <w:t>分。</w:t>
      </w:r>
      <w:r>
        <w:rPr>
          <w:rFonts w:hint="eastAsia" w:ascii="Times New Roman" w:hAnsi="Times New Roman" w:eastAsia="仿宋_GB2312" w:cs="Times New Roman"/>
          <w:kern w:val="0"/>
          <w:sz w:val="32"/>
          <w:szCs w:val="32"/>
          <w:highlight w:val="none"/>
          <w:lang w:val="zh-CN" w:eastAsia="zh-CN" w:bidi="ar-SA"/>
        </w:rPr>
        <w:t>自评得分情况如下：</w:t>
      </w:r>
    </w:p>
    <w:tbl>
      <w:tblPr>
        <w:tblStyle w:val="15"/>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71"/>
        <w:gridCol w:w="1280"/>
        <w:gridCol w:w="1617"/>
        <w:gridCol w:w="400"/>
        <w:gridCol w:w="1204"/>
        <w:gridCol w:w="400"/>
        <w:gridCol w:w="846"/>
        <w:gridCol w:w="48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3.34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参加招商引资推介会次数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累计洽谈项目个数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3个</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完成2022年区政府下达的招商引资目标任务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完成年限</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招商引资工作经费控制在预算批复之内</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2.5</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2.5万元</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增加税收收入</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增加本地就业人数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优良中低差</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优</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企业满意度</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8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99.2</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rPr>
        <w:t>（二）存在的问题。</w:t>
      </w:r>
      <w:r>
        <w:rPr>
          <w:rFonts w:hint="eastAsia" w:ascii="Times New Roman" w:hAnsi="Times New Roman" w:eastAsia="仿宋_GB2312" w:cs="Times New Roman"/>
          <w:kern w:val="0"/>
          <w:sz w:val="32"/>
          <w:szCs w:val="32"/>
          <w:highlight w:val="none"/>
          <w:lang w:val="zh-CN" w:eastAsia="zh-CN" w:bidi="ar-SA"/>
        </w:rPr>
        <w:t>无。</w:t>
      </w:r>
    </w:p>
    <w:p>
      <w:pPr>
        <w:pageBreakBefore w:val="0"/>
        <w:kinsoku/>
        <w:wordWrap/>
        <w:overflowPunct/>
        <w:topLinePunct w:val="0"/>
        <w:bidi w:val="0"/>
        <w:spacing w:line="576" w:lineRule="exact"/>
        <w:ind w:firstLine="643" w:firstLineChars="200"/>
        <w:jc w:val="left"/>
        <w:textAlignment w:val="auto"/>
        <w:outlineLvl w:val="9"/>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rPr>
        <w:t>（三）相关建议。</w:t>
      </w:r>
      <w:r>
        <w:rPr>
          <w:rFonts w:hint="eastAsia" w:ascii="Times New Roman" w:hAnsi="Times New Roman" w:eastAsia="仿宋_GB2312" w:cs="Times New Roman"/>
          <w:kern w:val="0"/>
          <w:sz w:val="32"/>
          <w:szCs w:val="32"/>
          <w:highlight w:val="none"/>
          <w:lang w:val="zh-CN" w:eastAsia="zh-CN" w:bidi="ar-SA"/>
        </w:rPr>
        <w:t>无</w:t>
      </w: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附件：广元市昭化区人力资源和社会保障局</w:t>
      </w:r>
      <w:r>
        <w:rPr>
          <w:rFonts w:hint="eastAsia" w:ascii="仿宋_GB2312" w:hAnsi="仿宋_GB2312" w:eastAsia="仿宋_GB2312" w:cs="仿宋_GB2312"/>
          <w:color w:val="auto"/>
          <w:sz w:val="32"/>
          <w:szCs w:val="32"/>
          <w:highlight w:val="none"/>
          <w:lang w:val="en-US" w:eastAsia="zh-CN"/>
        </w:rPr>
        <w:t>2022年财政项目支出绩效自评表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zh-CN" w:eastAsia="zh-CN" w:bidi="ar-SA"/>
        </w:rPr>
        <w:sectPr>
          <w:footerReference r:id="rId12" w:type="first"/>
          <w:footerReference r:id="rId11" w:type="default"/>
          <w:pgSz w:w="11906" w:h="16838"/>
          <w:pgMar w:top="1984" w:right="1474" w:bottom="1871" w:left="1587" w:header="851" w:footer="992" w:gutter="0"/>
          <w:pgNumType w:fmt="decimal"/>
          <w:cols w:space="0" w:num="1"/>
          <w:titlePg/>
          <w:rtlGutter w:val="0"/>
          <w:docGrid w:type="lines" w:linePitch="312" w:charSpace="0"/>
        </w:sectPr>
      </w:pPr>
    </w:p>
    <w:tbl>
      <w:tblPr>
        <w:tblStyle w:val="15"/>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743"/>
        <w:gridCol w:w="999"/>
        <w:gridCol w:w="971"/>
        <w:gridCol w:w="1124"/>
        <w:gridCol w:w="1553"/>
        <w:gridCol w:w="1439"/>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附件：</w:t>
            </w:r>
          </w:p>
          <w:p>
            <w:pPr>
              <w:keepNext w:val="0"/>
              <w:keepLines w:val="0"/>
              <w:widowControl/>
              <w:suppressLineNumbers w:val="0"/>
              <w:jc w:val="center"/>
              <w:textAlignment w:val="center"/>
              <w:rPr>
                <w:rFonts w:ascii="微软雅黑" w:hAnsi="微软雅黑" w:eastAsia="微软雅黑" w:cs="微软雅黑"/>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0"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348"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1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8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区政府下达的招商引资目标任务，为实现经济转型和产业发展，助推我区经济发展；围绕全区“十四五”发展目标，树立“大招商、招大商、招好商”的理念，全力做好项目引进落地服务工作，使全区招商引资工作实现新提升、新突破、新发展。</w:t>
            </w:r>
          </w:p>
        </w:tc>
        <w:tc>
          <w:tcPr>
            <w:tcW w:w="42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区政府下达的招商引资目标任务，为实现经济转型和产业发展，助推我区经济发展；围绕全区“十四五”发展目标，树立“大招商、招大商、招好商”的理念，全力做好项目引进落地服务工作，使全区招商引资工作实现新提升、新突破、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参加招商引资推介会次数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累计洽谈项目个数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≧3个</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完成2022年区政府下达的招商引资目标任务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招商引资工作经费控制在预算批复之内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增加本地就业人数</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增加税收收入</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zh-CN" w:eastAsia="zh-CN" w:bidi="ar-SA"/>
        </w:rPr>
        <w:sectPr>
          <w:pgSz w:w="11906" w:h="16838"/>
          <w:pgMar w:top="1984" w:right="1474" w:bottom="1871" w:left="1587" w:header="851" w:footer="992"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default" w:ascii="黑体" w:hAnsi="黑体" w:eastAsia="黑体" w:cs="黑体"/>
          <w:b w:val="0"/>
          <w:bCs/>
          <w:color w:val="auto"/>
          <w:sz w:val="32"/>
          <w:szCs w:val="32"/>
          <w:highlight w:val="none"/>
          <w:shd w:val="clear" w:color="auto" w:fill="FFFFFF"/>
          <w:lang w:val="en-US" w:eastAsia="zh-CN"/>
        </w:rPr>
      </w:pPr>
      <w:bookmarkStart w:id="102" w:name="_Toc9811"/>
      <w:r>
        <w:rPr>
          <w:rFonts w:hint="eastAsia" w:ascii="黑体" w:hAnsi="黑体" w:eastAsia="黑体" w:cs="黑体"/>
          <w:b w:val="0"/>
          <w:bCs/>
          <w:color w:val="auto"/>
          <w:sz w:val="32"/>
          <w:szCs w:val="32"/>
          <w:highlight w:val="none"/>
          <w:shd w:val="clear" w:color="auto" w:fill="FFFFFF"/>
          <w:lang w:val="en-US" w:eastAsia="zh-CN"/>
        </w:rPr>
        <w:t>附件5</w:t>
      </w:r>
      <w:bookmarkEnd w:id="102"/>
    </w:p>
    <w:p>
      <w:pPr>
        <w:pStyle w:val="5"/>
        <w:jc w:val="center"/>
        <w:outlineLvl w:val="1"/>
        <w:rPr>
          <w:rFonts w:hint="eastAsia" w:ascii="微软雅黑" w:hAnsi="微软雅黑" w:eastAsia="微软雅黑" w:cs="微软雅黑"/>
          <w:sz w:val="44"/>
          <w:szCs w:val="4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hint="eastAsia" w:ascii="方正小标宋简体" w:hAnsi="方正小标宋简体" w:eastAsia="方正小标宋简体" w:cs="方正小标宋简体"/>
          <w:highlight w:val="none"/>
          <w:lang w:val="en-US"/>
        </w:rPr>
      </w:pPr>
      <w:bookmarkStart w:id="103" w:name="_Toc3265"/>
      <w:r>
        <w:rPr>
          <w:rFonts w:hint="eastAsia" w:ascii="方正小标宋简体" w:hAnsi="方正小标宋简体" w:eastAsia="方正小标宋简体" w:cs="方正小标宋简体"/>
          <w:sz w:val="44"/>
          <w:szCs w:val="44"/>
          <w:highlight w:val="none"/>
          <w:lang w:val="en-US" w:eastAsia="zh-CN"/>
        </w:rPr>
        <w:t>广元市昭化区人力资源和社会保障局</w:t>
      </w:r>
      <w:r>
        <w:rPr>
          <w:rFonts w:hint="eastAsia" w:ascii="方正小标宋简体" w:hAnsi="方正小标宋简体" w:eastAsia="方正小标宋简体" w:cs="方正小标宋简体"/>
          <w:sz w:val="44"/>
          <w:szCs w:val="44"/>
          <w:highlight w:val="none"/>
          <w:lang w:val="zh-CN" w:eastAsia="zh-CN"/>
        </w:rPr>
        <w:t>公开引进高层次人才和招聘急需紧缺专业人才工作经费项目支出自评报告</w:t>
      </w:r>
      <w:r>
        <w:rPr>
          <w:rFonts w:hint="eastAsia" w:ascii="方正小标宋简体" w:hAnsi="方正小标宋简体" w:eastAsia="方正小标宋简体" w:cs="方正小标宋简体"/>
          <w:sz w:val="44"/>
          <w:szCs w:val="44"/>
          <w:highlight w:val="none"/>
          <w:lang w:val="en-US" w:eastAsia="zh-CN"/>
        </w:rPr>
        <w:t>(自评表）</w:t>
      </w:r>
      <w:bookmarkEnd w:id="103"/>
    </w:p>
    <w:p>
      <w:pPr>
        <w:rPr>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kern w:val="2"/>
          <w:sz w:val="32"/>
          <w:szCs w:val="32"/>
          <w:highlight w:val="none"/>
          <w:lang w:val="zh-CN" w:eastAsia="zh-CN" w:bidi="ar-SA"/>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eastAsia="楷体_GB2312" w:cs="Times New Roman"/>
          <w:b/>
          <w:sz w:val="32"/>
          <w:szCs w:val="32"/>
          <w:highlight w:val="none"/>
          <w:lang w:val="zh-CN"/>
        </w:rPr>
      </w:pPr>
      <w:r>
        <w:rPr>
          <w:rFonts w:hint="eastAsia" w:eastAsia="楷体_GB2312" w:cs="Times New Roman"/>
          <w:b/>
          <w:sz w:val="32"/>
          <w:szCs w:val="32"/>
          <w:highlight w:val="none"/>
          <w:lang w:val="zh-CN"/>
        </w:rPr>
        <w:t>（一）</w:t>
      </w:r>
      <w:r>
        <w:rPr>
          <w:rFonts w:hint="default" w:ascii="Times New Roman" w:hAnsi="Times New Roman" w:eastAsia="楷体_GB2312" w:cs="Times New Roman"/>
          <w:b/>
          <w:sz w:val="32"/>
          <w:szCs w:val="32"/>
          <w:highlight w:val="none"/>
          <w:lang w:val="zh-CN"/>
        </w:rPr>
        <w:t>项目</w:t>
      </w:r>
      <w:r>
        <w:rPr>
          <w:rFonts w:hint="eastAsia" w:eastAsia="楷体_GB2312" w:cs="Times New Roman"/>
          <w:b/>
          <w:sz w:val="32"/>
          <w:szCs w:val="32"/>
          <w:highlight w:val="none"/>
          <w:lang w:val="zh-CN"/>
        </w:rPr>
        <w:t>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zh-CN" w:eastAsia="zh-CN" w:bidi="ar-SA"/>
        </w:rPr>
        <w:t>公开引进高层次人才和招聘急需紧缺专业人才工作经费是为深入落实区八次党代会精神，切实为“四城新区诗意昭化”建设提供坚强有力地人才智力支撑，为开展</w:t>
      </w:r>
      <w:r>
        <w:rPr>
          <w:rFonts w:hint="eastAsia" w:ascii="仿宋_GB2312" w:hAnsi="Times New Roman" w:eastAsia="仿宋_GB2312" w:cs="Times New Roman"/>
          <w:kern w:val="0"/>
          <w:sz w:val="32"/>
          <w:szCs w:val="32"/>
          <w:lang w:val="en-US" w:eastAsia="zh-CN" w:bidi="ar-SA"/>
        </w:rPr>
        <w:t>2021年招引高层次、紧缺型人才，保障考务活动、后勤保障、考察、入职体检等环节各项经费。属于当年追加项目，</w:t>
      </w:r>
      <w:r>
        <w:rPr>
          <w:rFonts w:hint="eastAsia" w:ascii="仿宋_GB2312" w:hAnsi="Times New Roman" w:eastAsia="仿宋_GB2312" w:cs="Times New Roman"/>
          <w:kern w:val="0"/>
          <w:sz w:val="32"/>
          <w:szCs w:val="32"/>
          <w:lang w:val="zh-CN" w:eastAsia="zh-CN" w:bidi="ar-SA"/>
        </w:rPr>
        <w:t>202</w:t>
      </w:r>
      <w:r>
        <w:rPr>
          <w:rFonts w:hint="eastAsia" w:ascii="仿宋_GB2312" w:hAnsi="Times New Roman" w:eastAsia="仿宋_GB2312" w:cs="Times New Roman"/>
          <w:kern w:val="0"/>
          <w:sz w:val="32"/>
          <w:szCs w:val="32"/>
          <w:lang w:val="en-US" w:eastAsia="zh-CN" w:bidi="ar-SA"/>
        </w:rPr>
        <w:t>2</w:t>
      </w:r>
      <w:r>
        <w:rPr>
          <w:rFonts w:hint="eastAsia" w:ascii="仿宋_GB2312" w:hAnsi="Times New Roman" w:eastAsia="仿宋_GB2312" w:cs="Times New Roman"/>
          <w:kern w:val="0"/>
          <w:sz w:val="32"/>
          <w:szCs w:val="32"/>
          <w:lang w:val="zh-CN" w:eastAsia="zh-CN" w:bidi="ar-SA"/>
        </w:rPr>
        <w:t>年区财政预算追加我单位公开引进高层次人才和招聘急需紧缺专业人才工作经费</w:t>
      </w:r>
      <w:r>
        <w:rPr>
          <w:rFonts w:hint="eastAsia" w:ascii="仿宋_GB2312" w:hAnsi="Times New Roman" w:eastAsia="仿宋_GB2312" w:cs="Times New Roman"/>
          <w:kern w:val="0"/>
          <w:sz w:val="32"/>
          <w:szCs w:val="32"/>
          <w:lang w:val="en-US" w:eastAsia="zh-CN" w:bidi="ar-SA"/>
        </w:rPr>
        <w:t>60</w:t>
      </w:r>
      <w:r>
        <w:rPr>
          <w:rFonts w:hint="eastAsia" w:ascii="仿宋_GB2312" w:hAnsi="Times New Roman" w:eastAsia="仿宋_GB2312" w:cs="Times New Roman"/>
          <w:kern w:val="0"/>
          <w:sz w:val="32"/>
          <w:szCs w:val="32"/>
          <w:lang w:val="zh-CN" w:eastAsia="zh-CN" w:bidi="ar-SA"/>
        </w:rPr>
        <w:t>万元。我单位</w:t>
      </w:r>
      <w:r>
        <w:rPr>
          <w:rFonts w:hint="eastAsia" w:ascii="仿宋_GB2312" w:hAnsi="Times New Roman" w:eastAsia="仿宋_GB2312" w:cs="Times New Roman"/>
          <w:kern w:val="0"/>
          <w:sz w:val="32"/>
          <w:szCs w:val="32"/>
          <w:lang w:val="en-US" w:eastAsia="zh-CN" w:bidi="ar-SA"/>
        </w:rPr>
        <w:t>严格按照预算要求编制、立项；资金申报按照项目支付需求，领导审批同意报请财政局审批；所有资金管理流程符合相关规定。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zh-CN" w:eastAsia="zh-CN" w:bidi="ar-SA"/>
        </w:rPr>
        <w:t>该项目主要内容是为解决2021年公开引进高层次人才和招聘急需专业人才工作经费。其中引进人才数量</w:t>
      </w:r>
      <w:r>
        <w:rPr>
          <w:rFonts w:hint="eastAsia" w:ascii="仿宋_GB2312" w:hAnsi="Times New Roman" w:eastAsia="仿宋_GB2312" w:cs="Times New Roman"/>
          <w:kern w:val="0"/>
          <w:sz w:val="32"/>
          <w:szCs w:val="32"/>
          <w:lang w:val="en-US" w:eastAsia="zh-CN" w:bidi="ar-SA"/>
        </w:rPr>
        <w:t>92人，引进人才到岗率大于等于95%，兑现工作经费及时率大于等于90%，有效扩充我区人才队伍，传播惜才、爱才精神，推动经济社会发展，服务对象满意度大于等于95%。</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（三）项目资金申报相符性。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Times New Roman" w:eastAsia="仿宋_GB2312" w:cs="Times New Roman"/>
          <w:kern w:val="0"/>
          <w:sz w:val="32"/>
          <w:szCs w:val="32"/>
          <w:lang w:val="zh-CN" w:eastAsia="zh-CN" w:bidi="ar-SA"/>
        </w:rPr>
      </w:pPr>
      <w:r>
        <w:rPr>
          <w:rFonts w:hint="eastAsia" w:ascii="仿宋_GB2312" w:hAnsi="Times New Roman" w:eastAsia="仿宋_GB2312" w:cs="Times New Roman"/>
          <w:kern w:val="0"/>
          <w:sz w:val="32"/>
          <w:szCs w:val="32"/>
          <w:lang w:val="zh-CN" w:eastAsia="zh-CN" w:bidi="ar-SA"/>
        </w:rPr>
        <w:t>公开引进高层次人才和招聘急需紧缺专业人才工作经费</w:t>
      </w:r>
      <w:r>
        <w:rPr>
          <w:rFonts w:hint="default" w:ascii="仿宋_GB2312" w:hAnsi="Times New Roman" w:eastAsia="仿宋_GB2312" w:cs="Times New Roman"/>
          <w:kern w:val="0"/>
          <w:sz w:val="32"/>
          <w:szCs w:val="32"/>
          <w:lang w:val="zh-CN" w:eastAsia="zh-CN" w:bidi="ar-SA"/>
        </w:rPr>
        <w:t>项目申报内容与具体实施内容相符、申报目标</w:t>
      </w:r>
      <w:r>
        <w:rPr>
          <w:rFonts w:hint="eastAsia" w:ascii="仿宋_GB2312" w:hAnsi="Times New Roman" w:eastAsia="仿宋_GB2312" w:cs="Times New Roman"/>
          <w:kern w:val="0"/>
          <w:sz w:val="32"/>
          <w:szCs w:val="32"/>
          <w:lang w:val="zh-CN" w:eastAsia="zh-CN" w:bidi="ar-SA"/>
        </w:rPr>
        <w:t>合</w:t>
      </w:r>
      <w:r>
        <w:rPr>
          <w:rFonts w:hint="default" w:ascii="仿宋_GB2312" w:hAnsi="Times New Roman" w:eastAsia="仿宋_GB2312" w:cs="Times New Roman"/>
          <w:kern w:val="0"/>
          <w:sz w:val="32"/>
          <w:szCs w:val="32"/>
          <w:lang w:val="zh-CN" w:eastAsia="zh-CN" w:bidi="ar-SA"/>
        </w:rPr>
        <w:t>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1.资金计划及到位。</w:t>
      </w:r>
      <w:r>
        <w:rPr>
          <w:rFonts w:hint="eastAsia" w:ascii="Times New Roman" w:hAnsi="Times New Roman" w:eastAsia="仿宋_GB2312" w:cs="Times New Roman"/>
          <w:kern w:val="0"/>
          <w:sz w:val="32"/>
          <w:szCs w:val="32"/>
          <w:highlight w:val="none"/>
          <w:lang w:val="zh-CN" w:eastAsia="zh-CN" w:bidi="ar-SA"/>
        </w:rPr>
        <w:t>该项目年度追加预算</w:t>
      </w:r>
      <w:r>
        <w:rPr>
          <w:rFonts w:hint="eastAsia" w:ascii="Times New Roman" w:hAnsi="Times New Roman" w:eastAsia="仿宋_GB2312" w:cs="Times New Roman"/>
          <w:kern w:val="0"/>
          <w:sz w:val="32"/>
          <w:szCs w:val="32"/>
          <w:highlight w:val="none"/>
          <w:lang w:val="en-US" w:eastAsia="zh-CN" w:bidi="ar-SA"/>
        </w:rPr>
        <w:t>60万元，实际到位60万元（分两笔下达），到位率100%。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2.资金使用。</w:t>
      </w:r>
      <w:r>
        <w:rPr>
          <w:rFonts w:hint="eastAsia" w:ascii="Times New Roman" w:hAnsi="Times New Roman" w:eastAsia="仿宋_GB2312" w:cs="Times New Roman"/>
          <w:kern w:val="0"/>
          <w:sz w:val="32"/>
          <w:szCs w:val="32"/>
          <w:highlight w:val="none"/>
          <w:lang w:val="en-US" w:eastAsia="zh-CN" w:bidi="ar-SA"/>
        </w:rPr>
        <w:t>主要用于</w:t>
      </w:r>
      <w:r>
        <w:rPr>
          <w:rFonts w:hint="eastAsia" w:ascii="Times New Roman" w:hAnsi="Times New Roman" w:eastAsia="仿宋_GB2312" w:cs="Times New Roman"/>
          <w:kern w:val="0"/>
          <w:sz w:val="32"/>
          <w:szCs w:val="32"/>
          <w:highlight w:val="none"/>
          <w:lang w:val="zh-CN" w:eastAsia="zh-CN" w:bidi="ar-SA"/>
        </w:rPr>
        <w:t>开展</w:t>
      </w:r>
      <w:r>
        <w:rPr>
          <w:rFonts w:hint="eastAsia" w:ascii="Times New Roman" w:hAnsi="Times New Roman" w:eastAsia="仿宋_GB2312" w:cs="Times New Roman"/>
          <w:kern w:val="0"/>
          <w:sz w:val="32"/>
          <w:szCs w:val="32"/>
          <w:highlight w:val="none"/>
          <w:lang w:val="en-US" w:eastAsia="zh-CN" w:bidi="ar-SA"/>
        </w:rPr>
        <w:t>2021年公开引进高层次人才和招聘急需紧缺专业人才笔试、面试、宣传、考察、体检等环节发生的办公费、公务接待费、广告宣传费、印刷费、会议费、差旅费、其他交通费、劳务费、其他商品和服务支出，共计已支付60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该项目通过报告请示，经区级领导同意，报财政局审批解决。项目资金的使用由局内事管股、人才交流中心、规划财务股按照职责分工进行财务管理。项目资金的会计核算和账务处理由事管股、人才交流中心提供相关资金资料，报规划财务股审核后按照会计处理法规进行账务处理。按照项目资金的管理办法，该项目资金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（三）项目组织实施</w:t>
      </w:r>
      <w:r>
        <w:rPr>
          <w:rFonts w:hint="eastAsia" w:eastAsia="楷体_GB2312" w:cs="Times New Roman"/>
          <w:b/>
          <w:sz w:val="32"/>
          <w:szCs w:val="32"/>
          <w:highlight w:val="none"/>
          <w:lang w:val="zh-CN"/>
        </w:rPr>
        <w:t>及管理</w:t>
      </w:r>
      <w:r>
        <w:rPr>
          <w:rFonts w:hint="default" w:ascii="Times New Roman" w:hAnsi="Times New Roman" w:eastAsia="楷体_GB2312" w:cs="Times New Roman"/>
          <w:b/>
          <w:sz w:val="32"/>
          <w:szCs w:val="32"/>
          <w:highlight w:val="none"/>
          <w:lang w:val="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该项目组织框架主要包括局内事管股、人才交流中心和规划财务股组成。规划财务股对项目支出的执行过程和完成结果进行监督、检查，并开展内审对项目支出进行重点审查。对违反有关法律、行政法规和财务规章制度的，依法进行处理，并通告处理结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highlight w:val="none"/>
          <w:lang w:val="zh-CN"/>
        </w:rPr>
      </w:pPr>
      <w:r>
        <w:rPr>
          <w:rFonts w:hint="default" w:ascii="Times New Roman" w:hAnsi="Times New Roman" w:eastAsia="黑体" w:cs="Times New Roman"/>
          <w:sz w:val="32"/>
          <w:szCs w:val="32"/>
          <w:highlight w:val="none"/>
        </w:rPr>
        <w:t>三、项目绩效情况</w:t>
      </w:r>
      <w:r>
        <w:rPr>
          <w:rFonts w:hint="default" w:ascii="Times New Roman" w:hAnsi="Times New Roman" w:cs="Times New Roman"/>
          <w:sz w:val="32"/>
          <w:szCs w:val="32"/>
          <w:highlight w:val="none"/>
          <w:lang w:val="zh-CN"/>
        </w:rPr>
        <w:tab/>
      </w:r>
    </w:p>
    <w:p>
      <w:pPr>
        <w:pStyle w:val="5"/>
        <w:spacing w:before="108" w:after="15"/>
        <w:ind w:left="871"/>
        <w:rPr>
          <w:highlight w:val="none"/>
        </w:rPr>
      </w:pPr>
      <w:r>
        <w:rPr>
          <w:highlight w:val="none"/>
        </w:rPr>
        <w:t>该项目绩效目标完成情况见下表：</w:t>
      </w:r>
    </w:p>
    <w:tbl>
      <w:tblPr>
        <w:tblStyle w:val="15"/>
        <w:tblW w:w="8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713"/>
        <w:gridCol w:w="963"/>
        <w:gridCol w:w="940"/>
        <w:gridCol w:w="1082"/>
        <w:gridCol w:w="1489"/>
        <w:gridCol w:w="1381"/>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公开引进高层次人才和招聘急需紧缺专业人才工作经费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0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17"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0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解决公开引进高层次人才和招聘急需专业人才工作经费。</w:t>
            </w:r>
          </w:p>
        </w:tc>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解决2021年公开引进高层次人才和招聘急需专业人才工作经费。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引进和招聘人才数量（人）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92人</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引进人才到岗率（%）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存在中途放弃人员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兑现工作经费及时率（%）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资金分两笔下达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公开引进高层次人才和招聘急需专业人才工作经费（万元）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扩充人才队伍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传播惜才、爱才精神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推动经济社会发展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eastAsia" w:eastAsia="黑体" w:cs="Times New Roman"/>
          <w:sz w:val="32"/>
          <w:szCs w:val="32"/>
          <w:highlight w:val="none"/>
          <w:lang w:eastAsia="zh-CN"/>
        </w:rPr>
        <w:t>自评结论及</w:t>
      </w:r>
      <w:r>
        <w:rPr>
          <w:rFonts w:hint="default" w:ascii="Times New Roman" w:hAnsi="Times New Roman" w:eastAsia="黑体" w:cs="Times New Roman"/>
          <w:sz w:val="32"/>
          <w:szCs w:val="32"/>
          <w:highlight w:val="none"/>
        </w:rPr>
        <w:t>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highlight w:val="none"/>
          <w:lang w:val="zh-CN" w:eastAsia="zh-CN"/>
        </w:rPr>
      </w:pPr>
      <w:r>
        <w:rPr>
          <w:rFonts w:hint="eastAsia" w:ascii="Times New Roman" w:hAnsi="Times New Roman" w:eastAsia="楷体_GB2312" w:cs="Times New Roman"/>
          <w:b/>
          <w:sz w:val="32"/>
          <w:szCs w:val="32"/>
          <w:highlight w:val="none"/>
          <w:lang w:val="zh-CN" w:eastAsia="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zh-CN" w:eastAsia="zh-CN" w:bidi="ar-SA"/>
        </w:rPr>
        <w:t>我局在该项目实施过程中，建立健全相关制度、机制，严格执行，推进各专项工作的落实。项目资金管理实行专项管理，严格审批制度，真正做到了专款专用，确保项目资金有效的利用。总体来说项目审核严格，管理到位，社会效果良好</w:t>
      </w:r>
      <w:r>
        <w:rPr>
          <w:rFonts w:hint="eastAsia"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zh-CN" w:eastAsia="zh-CN" w:bidi="ar-SA"/>
        </w:rPr>
        <w:t>自评得分情况如下：</w:t>
      </w:r>
    </w:p>
    <w:tbl>
      <w:tblPr>
        <w:tblStyle w:val="15"/>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612"/>
        <w:gridCol w:w="1395"/>
        <w:gridCol w:w="1782"/>
        <w:gridCol w:w="415"/>
        <w:gridCol w:w="1325"/>
        <w:gridCol w:w="419"/>
        <w:gridCol w:w="871"/>
        <w:gridCol w:w="472"/>
        <w:gridCol w:w="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7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13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4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8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引进和招聘人才数量（人）</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92</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92人</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引进人才到岗率（%）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兑现工作经费及时率（%）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公开引进高层次人才和招聘急需专业人才工作经费（万元）</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60万元</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扩充人才队伍</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高中低</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传播惜才、爱才精神</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高中低</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推动经济社会发展</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高中低</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楷体_GB2312" w:cs="Times New Roman"/>
          <w:b/>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cs="Times New Roman"/>
          <w:sz w:val="32"/>
          <w:szCs w:val="32"/>
          <w:highlight w:val="none"/>
          <w:lang w:val="zh-CN"/>
        </w:rPr>
      </w:pPr>
      <w:r>
        <w:rPr>
          <w:rFonts w:hint="eastAsia" w:ascii="Times New Roman" w:hAnsi="Times New Roman" w:eastAsia="楷体_GB2312" w:cs="Times New Roman"/>
          <w:b/>
          <w:sz w:val="32"/>
          <w:szCs w:val="32"/>
          <w:highlight w:val="none"/>
          <w:lang w:val="zh-CN"/>
        </w:rPr>
        <w:t>（二）存在的问题。</w:t>
      </w:r>
      <w:r>
        <w:rPr>
          <w:rFonts w:hint="eastAsia" w:ascii="Times New Roman" w:hAnsi="Times New Roman" w:eastAsia="仿宋_GB2312" w:cs="Times New Roman"/>
          <w:kern w:val="0"/>
          <w:sz w:val="32"/>
          <w:szCs w:val="32"/>
          <w:highlight w:val="none"/>
          <w:lang w:val="zh-CN" w:eastAsia="zh-CN" w:bidi="ar-SA"/>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rPr>
        <w:t>（三）相关建议。</w:t>
      </w:r>
      <w:r>
        <w:rPr>
          <w:rFonts w:hint="eastAsia" w:ascii="Times New Roman" w:hAnsi="Times New Roman" w:eastAsia="仿宋_GB2312" w:cs="Times New Roman"/>
          <w:kern w:val="0"/>
          <w:sz w:val="32"/>
          <w:szCs w:val="32"/>
          <w:highlight w:val="none"/>
          <w:lang w:val="zh-CN" w:eastAsia="zh-CN" w:bidi="ar-SA"/>
        </w:rPr>
        <w:t>无。</w:t>
      </w: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eastAsia="zh-CN"/>
        </w:rPr>
      </w:pP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附件：广元市昭化区人力资源和社会保障局</w:t>
      </w:r>
      <w:r>
        <w:rPr>
          <w:rFonts w:hint="eastAsia" w:ascii="仿宋_GB2312" w:hAnsi="仿宋_GB2312" w:eastAsia="仿宋_GB2312" w:cs="仿宋_GB2312"/>
          <w:color w:val="auto"/>
          <w:sz w:val="32"/>
          <w:szCs w:val="32"/>
          <w:highlight w:val="none"/>
          <w:lang w:val="en-US" w:eastAsia="zh-CN"/>
        </w:rPr>
        <w:t>2022年财政项目支出绩效自评表</w:t>
      </w:r>
    </w:p>
    <w:p>
      <w:pPr>
        <w:pStyle w:val="19"/>
        <w:rPr>
          <w:rFonts w:hint="eastAsia"/>
          <w:lang w:val="zh-CN"/>
        </w:rPr>
      </w:pPr>
    </w:p>
    <w:p>
      <w:pPr>
        <w:rPr>
          <w:rFonts w:hint="eastAsia" w:cs="Times New Roman"/>
          <w:sz w:val="32"/>
          <w:szCs w:val="32"/>
          <w:highlight w:val="none"/>
          <w:lang w:val="zh-CN"/>
        </w:rPr>
        <w:sectPr>
          <w:footerReference r:id="rId14" w:type="first"/>
          <w:footerReference r:id="rId13" w:type="default"/>
          <w:pgSz w:w="11906" w:h="16838"/>
          <w:pgMar w:top="1984" w:right="1474" w:bottom="1871" w:left="1587" w:header="851" w:footer="992" w:gutter="0"/>
          <w:pgNumType w:fmt="decimal"/>
          <w:cols w:space="0" w:num="1"/>
          <w:titlePg/>
          <w:rtlGutter w:val="0"/>
          <w:docGrid w:type="lines" w:linePitch="312" w:charSpace="0"/>
        </w:sectPr>
      </w:pPr>
    </w:p>
    <w:tbl>
      <w:tblPr>
        <w:tblStyle w:val="15"/>
        <w:tblW w:w="9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787"/>
        <w:gridCol w:w="1294"/>
        <w:gridCol w:w="798"/>
        <w:gridCol w:w="1191"/>
        <w:gridCol w:w="1635"/>
        <w:gridCol w:w="1101"/>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078"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广元市昭化区财政项目（政策）支出绩效自评表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78"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公开引进高层次人才和招聘急需紧缺专业人才工作经费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09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10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80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07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解决公开引进高层次人才和招聘急需专业人才工作经费。</w:t>
            </w:r>
          </w:p>
        </w:tc>
        <w:tc>
          <w:tcPr>
            <w:tcW w:w="399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解决2021年公开引进高层次人才和招聘急需专业人才工作经费。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引进和招聘人才数量（人）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92人</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92人</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引进人才到岗率（%）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存在中途放弃人员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兑现工作经费及时率（%）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资金分两笔下达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公开引进高层次人才和招聘急需专业人才工作经费（万元）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扩充人才队伍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传播惜才、爱才精神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推动经济社会发展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政府满意度（%）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rPr>
          <w:rFonts w:hint="eastAsia" w:cs="Times New Roman"/>
          <w:sz w:val="32"/>
          <w:szCs w:val="32"/>
          <w:highlight w:val="none"/>
          <w:lang w:val="zh-CN"/>
        </w:rPr>
        <w:sectPr>
          <w:pgSz w:w="11906" w:h="16838"/>
          <w:pgMar w:top="1984" w:right="1474" w:bottom="1871" w:left="1587" w:header="851" w:footer="992"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outlineLvl w:val="1"/>
        <w:rPr>
          <w:rFonts w:hint="default" w:ascii="黑体" w:hAnsi="黑体" w:eastAsia="黑体" w:cs="黑体"/>
          <w:b w:val="0"/>
          <w:bCs/>
          <w:color w:val="auto"/>
          <w:sz w:val="32"/>
          <w:szCs w:val="32"/>
          <w:highlight w:val="none"/>
          <w:shd w:val="clear" w:color="auto" w:fill="FFFFFF"/>
          <w:lang w:val="en-US" w:eastAsia="zh-CN"/>
        </w:rPr>
      </w:pPr>
      <w:bookmarkStart w:id="104" w:name="_Toc26886"/>
      <w:r>
        <w:rPr>
          <w:rFonts w:hint="eastAsia" w:ascii="黑体" w:hAnsi="黑体" w:eastAsia="黑体" w:cs="黑体"/>
          <w:b w:val="0"/>
          <w:bCs/>
          <w:color w:val="auto"/>
          <w:sz w:val="32"/>
          <w:szCs w:val="32"/>
          <w:highlight w:val="none"/>
          <w:shd w:val="clear" w:color="auto" w:fill="FFFFFF"/>
          <w:lang w:val="en-US" w:eastAsia="zh-CN"/>
        </w:rPr>
        <w:t>附件6</w:t>
      </w:r>
      <w:bookmarkEnd w:id="104"/>
    </w:p>
    <w:p>
      <w:pPr>
        <w:pStyle w:val="19"/>
        <w:rPr>
          <w:rFonts w:hint="eastAsia"/>
          <w:lang w:val="zh-CN"/>
        </w:rPr>
      </w:pPr>
    </w:p>
    <w:p>
      <w:pPr>
        <w:pStyle w:val="5"/>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hint="eastAsia" w:ascii="方正小标宋简体" w:hAnsi="方正小标宋简体" w:eastAsia="方正小标宋简体" w:cs="方正小标宋简体"/>
          <w:sz w:val="44"/>
          <w:szCs w:val="44"/>
          <w:highlight w:val="none"/>
          <w:lang w:val="en-US" w:eastAsia="zh-CN"/>
        </w:rPr>
      </w:pPr>
      <w:bookmarkStart w:id="105" w:name="_Toc4599"/>
      <w:r>
        <w:rPr>
          <w:rFonts w:hint="eastAsia" w:ascii="方正小标宋简体" w:hAnsi="方正小标宋简体" w:eastAsia="方正小标宋简体" w:cs="方正小标宋简体"/>
          <w:sz w:val="44"/>
          <w:szCs w:val="44"/>
          <w:highlight w:val="none"/>
          <w:lang w:val="en-US" w:eastAsia="zh-CN"/>
        </w:rPr>
        <w:t>广元市昭化区人力资源和社会保障局</w:t>
      </w:r>
      <w:r>
        <w:rPr>
          <w:rFonts w:hint="eastAsia" w:ascii="方正小标宋简体" w:hAnsi="方正小标宋简体" w:eastAsia="方正小标宋简体" w:cs="方正小标宋简体"/>
          <w:sz w:val="44"/>
          <w:szCs w:val="44"/>
          <w:highlight w:val="none"/>
          <w:lang w:val="zh-CN" w:eastAsia="zh-CN"/>
        </w:rPr>
        <w:t>普惠金融发展专项资金项目支出自评报告（自评表）</w:t>
      </w:r>
      <w:bookmarkEnd w:id="105"/>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kern w:val="2"/>
          <w:sz w:val="32"/>
          <w:szCs w:val="32"/>
          <w:highlight w:val="none"/>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kern w:val="2"/>
          <w:sz w:val="32"/>
          <w:szCs w:val="32"/>
          <w:highlight w:val="none"/>
          <w:lang w:val="zh-CN" w:eastAsia="zh-CN" w:bidi="ar-SA"/>
        </w:rPr>
        <w:t>一、</w:t>
      </w:r>
      <w:r>
        <w:rPr>
          <w:rFonts w:hint="default" w:ascii="Times New Roman" w:hAnsi="Times New Roman" w:eastAsia="黑体" w:cs="Times New Roman"/>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eastAsia="楷体_GB2312" w:cs="Times New Roman"/>
          <w:b/>
          <w:sz w:val="32"/>
          <w:szCs w:val="32"/>
          <w:highlight w:val="none"/>
          <w:lang w:val="zh-CN"/>
        </w:rPr>
      </w:pPr>
      <w:r>
        <w:rPr>
          <w:rFonts w:hint="eastAsia" w:eastAsia="楷体_GB2312" w:cs="Times New Roman"/>
          <w:b/>
          <w:sz w:val="32"/>
          <w:szCs w:val="32"/>
          <w:highlight w:val="none"/>
          <w:lang w:val="zh-CN"/>
        </w:rPr>
        <w:t>（一）</w:t>
      </w:r>
      <w:r>
        <w:rPr>
          <w:rFonts w:hint="default" w:ascii="Times New Roman" w:hAnsi="Times New Roman" w:eastAsia="楷体_GB2312" w:cs="Times New Roman"/>
          <w:b/>
          <w:sz w:val="32"/>
          <w:szCs w:val="32"/>
          <w:highlight w:val="none"/>
          <w:lang w:val="zh-CN"/>
        </w:rPr>
        <w:t>项目</w:t>
      </w:r>
      <w:r>
        <w:rPr>
          <w:rFonts w:hint="eastAsia" w:eastAsia="楷体_GB2312" w:cs="Times New Roman"/>
          <w:b/>
          <w:sz w:val="32"/>
          <w:szCs w:val="32"/>
          <w:highlight w:val="none"/>
          <w:lang w:val="zh-CN"/>
        </w:rPr>
        <w:t>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zh-CN" w:eastAsia="zh-CN" w:bidi="ar-SA"/>
        </w:rPr>
        <w:t>普惠金融发展专项资金是根据（昭财金〔2022〕5号）下达我单位的年度追加项目，属上级资金，共计</w:t>
      </w:r>
      <w:r>
        <w:rPr>
          <w:rFonts w:hint="eastAsia" w:ascii="Times New Roman" w:hAnsi="Times New Roman" w:eastAsia="仿宋_GB2312" w:cs="Times New Roman"/>
          <w:kern w:val="0"/>
          <w:sz w:val="32"/>
          <w:szCs w:val="32"/>
          <w:highlight w:val="none"/>
          <w:lang w:val="en-US" w:eastAsia="zh-CN" w:bidi="ar-SA"/>
        </w:rPr>
        <w:t>121.88万元；</w:t>
      </w:r>
      <w:r>
        <w:rPr>
          <w:rFonts w:hint="eastAsia" w:ascii="Times New Roman" w:hAnsi="Times New Roman" w:eastAsia="仿宋_GB2312" w:cs="Times New Roman"/>
          <w:kern w:val="0"/>
          <w:sz w:val="32"/>
          <w:szCs w:val="32"/>
          <w:highlight w:val="none"/>
          <w:lang w:val="zh-CN" w:eastAsia="zh-CN" w:bidi="ar-SA"/>
        </w:rPr>
        <w:t>我单位</w:t>
      </w:r>
      <w:r>
        <w:rPr>
          <w:rFonts w:hint="eastAsia" w:ascii="Times New Roman" w:hAnsi="Times New Roman" w:eastAsia="仿宋_GB2312" w:cs="Times New Roman"/>
          <w:kern w:val="0"/>
          <w:sz w:val="32"/>
          <w:szCs w:val="32"/>
          <w:highlight w:val="none"/>
          <w:lang w:val="en-US" w:eastAsia="zh-CN" w:bidi="ar-SA"/>
        </w:rPr>
        <w:t>严格按照预算要求编制、立项；资金申报按照项目支付需求，领导审批同意报请财政局审批；所有资金管理流程符合相关规定。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支持农村金融组织体系建设，扩大农村金融服务覆盖面。支持重点群体和符合条件的小微企业融资发展。支持地方因地制宜打造各具特色的普惠金融发展示范区，增强金融普惠性，推动普惠金融高质量发展。</w:t>
      </w:r>
      <w:r>
        <w:rPr>
          <w:rFonts w:hint="eastAsia" w:ascii="Times New Roman" w:hAnsi="Times New Roman" w:eastAsia="仿宋_GB2312" w:cs="Times New Roman"/>
          <w:kern w:val="0"/>
          <w:sz w:val="32"/>
          <w:szCs w:val="32"/>
          <w:highlight w:val="none"/>
          <w:lang w:val="en-US" w:eastAsia="zh-CN" w:bidi="ar-SA"/>
        </w:rPr>
        <w:t>创业担保贷款发放额增长率大于等于10%，创业担保贷款回收率大于等于90%，资金足额拨付率100%，地方配套到位率100%，创业担保基金放大倍数大于等于2倍，金融机构网点覆盖率大于等于80%，申请定向费用补贴金额机构满意度大于等于80%，申报创业担保贷款贴息个人满意度大于等于80%，申报创业担保贷款贴息小微企业的满意度大于等于80%。</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zh-CN" w:eastAsia="zh-CN" w:bidi="ar-SA"/>
        </w:rPr>
        <w:t>普惠金融发展专项资金</w:t>
      </w:r>
      <w:r>
        <w:rPr>
          <w:rFonts w:hint="default" w:ascii="Times New Roman" w:hAnsi="Times New Roman" w:eastAsia="仿宋_GB2312" w:cs="Times New Roman"/>
          <w:kern w:val="0"/>
          <w:sz w:val="32"/>
          <w:szCs w:val="32"/>
          <w:highlight w:val="none"/>
          <w:lang w:val="zh-CN" w:eastAsia="zh-CN" w:bidi="ar-SA"/>
        </w:rPr>
        <w:t>项目申报内容与具体实施内容相符、申报目标</w:t>
      </w:r>
      <w:r>
        <w:rPr>
          <w:rFonts w:hint="eastAsia" w:ascii="Times New Roman" w:hAnsi="Times New Roman" w:eastAsia="仿宋_GB2312" w:cs="Times New Roman"/>
          <w:kern w:val="0"/>
          <w:sz w:val="32"/>
          <w:szCs w:val="32"/>
          <w:highlight w:val="none"/>
          <w:lang w:val="zh-CN" w:eastAsia="zh-CN" w:bidi="ar-SA"/>
        </w:rPr>
        <w:t>合</w:t>
      </w:r>
      <w:r>
        <w:rPr>
          <w:rFonts w:hint="default" w:ascii="Times New Roman" w:hAnsi="Times New Roman" w:eastAsia="仿宋_GB2312" w:cs="Times New Roman"/>
          <w:kern w:val="0"/>
          <w:sz w:val="32"/>
          <w:szCs w:val="32"/>
          <w:highlight w:val="none"/>
          <w:lang w:val="zh-CN" w:eastAsia="zh-CN" w:bidi="ar-SA"/>
        </w:rPr>
        <w:t>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1.资金计划及到位。</w:t>
      </w:r>
      <w:r>
        <w:rPr>
          <w:rFonts w:hint="eastAsia" w:ascii="Times New Roman" w:hAnsi="Times New Roman" w:eastAsia="仿宋_GB2312" w:cs="Times New Roman"/>
          <w:kern w:val="0"/>
          <w:sz w:val="32"/>
          <w:szCs w:val="32"/>
          <w:highlight w:val="none"/>
          <w:lang w:val="zh-CN" w:eastAsia="zh-CN" w:bidi="ar-SA"/>
        </w:rPr>
        <w:t>该项目年度追加</w:t>
      </w:r>
      <w:r>
        <w:rPr>
          <w:rFonts w:hint="eastAsia" w:ascii="Times New Roman" w:hAnsi="Times New Roman" w:eastAsia="仿宋_GB2312" w:cs="Times New Roman"/>
          <w:kern w:val="0"/>
          <w:sz w:val="32"/>
          <w:szCs w:val="32"/>
          <w:highlight w:val="none"/>
          <w:lang w:val="en-US" w:eastAsia="zh-CN" w:bidi="ar-SA"/>
        </w:rPr>
        <w:t>121.88万元，实际到位121.88万元，到位率100%。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zh-CN" w:eastAsia="zh-CN" w:bidi="ar-SA"/>
        </w:rPr>
        <w:t>2.资金使用。</w:t>
      </w:r>
      <w:r>
        <w:rPr>
          <w:rFonts w:hint="eastAsia" w:ascii="Times New Roman" w:hAnsi="Times New Roman" w:eastAsia="仿宋_GB2312" w:cs="Times New Roman"/>
          <w:kern w:val="0"/>
          <w:sz w:val="32"/>
          <w:szCs w:val="32"/>
          <w:highlight w:val="none"/>
          <w:lang w:val="zh-CN" w:eastAsia="zh-CN" w:bidi="ar-SA"/>
        </w:rPr>
        <w:t>用于符合条件的个人和小微企业创业担保贷款财政贴息，资金使用</w:t>
      </w:r>
      <w:r>
        <w:rPr>
          <w:rFonts w:hint="eastAsia" w:ascii="Times New Roman" w:hAnsi="Times New Roman" w:eastAsia="仿宋_GB2312" w:cs="Times New Roman"/>
          <w:kern w:val="0"/>
          <w:sz w:val="32"/>
          <w:szCs w:val="32"/>
          <w:highlight w:val="none"/>
          <w:lang w:val="en-US" w:eastAsia="zh-CN" w:bidi="ar-SA"/>
        </w:rPr>
        <w:t>121.88万元，使用率100%。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zh-CN" w:eastAsia="zh-CN" w:bidi="ar-SA"/>
        </w:rPr>
        <w:t>为有效落实项目资金的财务管理，我单位严格按照（昭财金〔2022〕5号）文件进行项目财务管理，严重按照项目支出综合预算、科学论证、合理排序、追踪问效的原则实施项目。项目资金的使用由就业服务中心、规划财务股按照职责分工进行财务管理。项目资金的会计核算和账务处理由各股室提供相关资金资料，报规划财务股审核后按照会计处理法规进行账务处理。按照项目资金的管理办法，该项目资金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（三）项目组织实施</w:t>
      </w:r>
      <w:r>
        <w:rPr>
          <w:rFonts w:hint="eastAsia" w:eastAsia="楷体_GB2312" w:cs="Times New Roman"/>
          <w:b/>
          <w:sz w:val="32"/>
          <w:szCs w:val="32"/>
          <w:highlight w:val="none"/>
          <w:lang w:val="zh-CN"/>
        </w:rPr>
        <w:t>及管理</w:t>
      </w:r>
      <w:r>
        <w:rPr>
          <w:rFonts w:hint="default" w:ascii="Times New Roman" w:hAnsi="Times New Roman" w:eastAsia="楷体_GB2312" w:cs="Times New Roman"/>
          <w:b/>
          <w:sz w:val="32"/>
          <w:szCs w:val="32"/>
          <w:highlight w:val="none"/>
          <w:lang w:val="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仿宋_GB2312" w:cs="Times New Roman"/>
          <w:kern w:val="0"/>
          <w:sz w:val="32"/>
          <w:szCs w:val="32"/>
          <w:highlight w:val="none"/>
          <w:lang w:val="en-US" w:eastAsia="zh-CN" w:bidi="ar-SA"/>
        </w:rPr>
        <w:t>该项目组织框架主要包括就业服务中心和规划财务股组成。</w:t>
      </w:r>
      <w:r>
        <w:rPr>
          <w:rFonts w:hint="eastAsia" w:ascii="Times New Roman" w:hAnsi="Times New Roman" w:eastAsia="仿宋_GB2312" w:cs="Times New Roman"/>
          <w:kern w:val="0"/>
          <w:sz w:val="32"/>
          <w:szCs w:val="32"/>
          <w:highlight w:val="none"/>
          <w:lang w:val="zh-CN" w:eastAsia="zh-CN" w:bidi="ar-SA"/>
        </w:rPr>
        <w:t>规划财务股对项目支出的执行过程和完成结果进行监督、检查，并开展内审对项目支出进行重点审查。对违反有关法律、行政法规和财务规章制度的，依法进行处理，并通告处理结果。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highlight w:val="none"/>
          <w:lang w:val="zh-CN"/>
        </w:rPr>
      </w:pPr>
      <w:r>
        <w:rPr>
          <w:rFonts w:hint="default" w:ascii="Times New Roman" w:hAnsi="Times New Roman" w:eastAsia="黑体" w:cs="Times New Roman"/>
          <w:sz w:val="32"/>
          <w:szCs w:val="32"/>
          <w:highlight w:val="none"/>
        </w:rPr>
        <w:t>三、项目绩效情况</w:t>
      </w:r>
      <w:r>
        <w:rPr>
          <w:rFonts w:hint="default" w:ascii="Times New Roman" w:hAnsi="Times New Roman" w:cs="Times New Roman"/>
          <w:sz w:val="32"/>
          <w:szCs w:val="32"/>
          <w:highlight w:val="none"/>
          <w:lang w:val="zh-CN"/>
        </w:rPr>
        <w:tab/>
      </w:r>
    </w:p>
    <w:p>
      <w:pPr>
        <w:pStyle w:val="5"/>
        <w:spacing w:before="108" w:after="15"/>
        <w:ind w:left="871"/>
        <w:rPr>
          <w:highlight w:val="none"/>
        </w:rPr>
      </w:pPr>
      <w:r>
        <w:rPr>
          <w:highlight w:val="none"/>
        </w:rPr>
        <w:t>该项目绩效目标完成情况见下表：</w:t>
      </w:r>
    </w:p>
    <w:tbl>
      <w:tblPr>
        <w:tblStyle w:val="15"/>
        <w:tblW w:w="9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504"/>
        <w:gridCol w:w="1005"/>
        <w:gridCol w:w="2189"/>
        <w:gridCol w:w="877"/>
        <w:gridCol w:w="1159"/>
        <w:gridCol w:w="891"/>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转移支付（项目）名称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普惠金融发展专项资金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中央主管部门</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地方主管部门</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资金使用单位</w:t>
            </w: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资金投入情况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全年预算数（A）</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全年执行数（B）</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37"/>
                <w:sz w:val="18"/>
                <w:szCs w:val="18"/>
                <w:highlight w:val="none"/>
                <w:lang w:val="en-US" w:eastAsia="zh-CN" w:bidi="ar"/>
              </w:rPr>
              <w:t xml:space="preserve"> </w:t>
            </w:r>
            <w:r>
              <w:rPr>
                <w:rStyle w:val="38"/>
                <w:sz w:val="18"/>
                <w:szCs w:val="18"/>
                <w:highlight w:val="none"/>
                <w:lang w:val="en-US" w:eastAsia="zh-CN" w:bidi="ar"/>
              </w:rPr>
              <w:t>其中：中央财政资金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121.88</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121.88</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37"/>
                <w:sz w:val="18"/>
                <w:szCs w:val="18"/>
                <w:highlight w:val="none"/>
                <w:lang w:val="en-US" w:eastAsia="zh-CN" w:bidi="ar"/>
              </w:rPr>
              <w:t xml:space="preserve"> </w:t>
            </w:r>
            <w:r>
              <w:rPr>
                <w:rStyle w:val="38"/>
                <w:sz w:val="18"/>
                <w:szCs w:val="18"/>
                <w:highlight w:val="none"/>
                <w:lang w:val="en-US" w:eastAsia="zh-CN" w:bidi="ar"/>
              </w:rPr>
              <w:t xml:space="preserve">      地方资金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sz w:val="16"/>
                <w:szCs w:val="16"/>
                <w:highlight w:val="none"/>
                <w:lang w:val="en-US" w:eastAsia="zh-CN" w:bidi="ar"/>
              </w:rPr>
              <w:t xml:space="preserve">      </w:t>
            </w:r>
            <w:r>
              <w:rPr>
                <w:rStyle w:val="38"/>
                <w:sz w:val="18"/>
                <w:szCs w:val="18"/>
                <w:highlight w:val="none"/>
                <w:lang w:val="en-US" w:eastAsia="zh-CN" w:bidi="ar"/>
              </w:rPr>
              <w:t xml:space="preserve">  其他资金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资金管理情况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情况说明</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分配科学性</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全部用于创业担保贷款贴息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下达及时性</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年度内下达</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拨付合规性</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严格按创业担保贷款贴息资金政策使用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使用规范性</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川财规（2022）9号</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执行准确性</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仅用于个人、小微企业创业担保贷款财政贴息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预算绩效管理情况</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严格按预算绩效管理开展绩效工作</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支出责任履行情况</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就业中心审核、规划财务股支付</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总体目标完成情况</w:t>
            </w:r>
          </w:p>
        </w:tc>
        <w:tc>
          <w:tcPr>
            <w:tcW w:w="4583"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总体目标</w:t>
            </w:r>
          </w:p>
        </w:tc>
        <w:tc>
          <w:tcPr>
            <w:tcW w:w="411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51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支持农村金融组织体系建设，扩大农村金融服务覆盖面。支持重点群体和符合条件的小微企业融资发展。支持地方因地制宜打造各具特色的普惠金融发展示范区，增强金融普惠性，推动普惠金融高质量发展。</w:t>
            </w:r>
          </w:p>
        </w:tc>
        <w:tc>
          <w:tcPr>
            <w:tcW w:w="4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全年实际完成值</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创业担保贷款发放额增长率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413.83%</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2021年发放347万元，2022年发放1783万。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创业担保贷款回收率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资金足额拨付率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地方配套到位率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创业担保基金放大倍数</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金融机构网点覆盖率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满意度指标</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申请定向费用补贴金额机构满意度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申报创业担保贷款贴息个人满意度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highlight w:val="none"/>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申报创业担保贷款贴息小微企业的满意度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说明</w:t>
            </w:r>
          </w:p>
        </w:tc>
        <w:tc>
          <w:tcPr>
            <w:tcW w:w="87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bl>
    <w:p>
      <w:pPr>
        <w:rPr>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eastAsia" w:eastAsia="黑体" w:cs="Times New Roman"/>
          <w:sz w:val="32"/>
          <w:szCs w:val="32"/>
          <w:highlight w:val="none"/>
          <w:lang w:eastAsia="zh-CN"/>
        </w:rPr>
        <w:t>自评结论及</w:t>
      </w:r>
      <w:r>
        <w:rPr>
          <w:rFonts w:hint="default" w:ascii="Times New Roman" w:hAnsi="Times New Roman" w:eastAsia="黑体" w:cs="Times New Roman"/>
          <w:sz w:val="32"/>
          <w:szCs w:val="32"/>
          <w:highlight w:val="none"/>
        </w:rPr>
        <w:t>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楷体_GB2312" w:cs="Times New Roman"/>
          <w:b/>
          <w:sz w:val="32"/>
          <w:szCs w:val="32"/>
          <w:highlight w:val="none"/>
          <w:lang w:val="zh-CN" w:eastAsia="zh-CN"/>
        </w:rPr>
      </w:pPr>
      <w:r>
        <w:rPr>
          <w:rFonts w:hint="eastAsia" w:ascii="Times New Roman" w:hAnsi="Times New Roman" w:eastAsia="楷体_GB2312" w:cs="Times New Roman"/>
          <w:b/>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color w:val="000000"/>
          <w:sz w:val="32"/>
          <w:szCs w:val="32"/>
          <w:highlight w:val="none"/>
          <w:lang w:val="zh-CN" w:eastAsia="zh-CN"/>
        </w:rPr>
      </w:pPr>
      <w:r>
        <w:rPr>
          <w:rFonts w:hint="eastAsia" w:ascii="Times New Roman" w:hAnsi="Times New Roman" w:eastAsia="仿宋_GB2312" w:cs="Times New Roman"/>
          <w:color w:val="000000"/>
          <w:sz w:val="32"/>
          <w:szCs w:val="32"/>
          <w:highlight w:val="none"/>
          <w:lang w:val="zh-CN" w:eastAsia="zh-CN"/>
        </w:rPr>
        <w:t>我局在该项目实施过程中，建立健全相关制度、机制，严格执行，推进各专项工作的落实。项目资金管理实行专项管理，严格审批制度，真正做到了专款专用，确保项目资金有效的利用。总体来说项目审核严格，管理到位，完成及时，社会效果良好。自评得分情况如下：</w:t>
      </w:r>
    </w:p>
    <w:tbl>
      <w:tblPr>
        <w:tblStyle w:val="15"/>
        <w:tblW w:w="9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730"/>
        <w:gridCol w:w="1495"/>
        <w:gridCol w:w="1909"/>
        <w:gridCol w:w="441"/>
        <w:gridCol w:w="1413"/>
        <w:gridCol w:w="443"/>
        <w:gridCol w:w="925"/>
        <w:gridCol w:w="456"/>
        <w:gridCol w:w="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预算执行情况（10分）</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年度预算数（万元）</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年初预算</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调整后预算数</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预算执行数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预算执行率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总额</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121.88</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121.88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其中：财政资金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121.88</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121.88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财政专户管理资金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单位资金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其他资金</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highlight w:val="none"/>
                <w:u w:val="none"/>
              </w:rPr>
            </w:pP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highlight w:val="none"/>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highlight w:val="none"/>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绩效指标（90分）</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一级指标</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二级指标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三级指标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指标性质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指标值</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度量单位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完成值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权重</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产</w:t>
            </w:r>
            <w:r>
              <w:rPr>
                <w:rFonts w:ascii="宋体" w:hAnsi="宋体" w:eastAsia="宋体" w:cs="宋体"/>
                <w:i w:val="0"/>
                <w:iCs w:val="0"/>
                <w:color w:val="000000"/>
                <w:kern w:val="0"/>
                <w:sz w:val="16"/>
                <w:szCs w:val="16"/>
                <w:highlight w:val="none"/>
                <w:u w:val="none"/>
                <w:lang w:val="en-US" w:eastAsia="zh-CN" w:bidi="ar"/>
              </w:rPr>
              <w:br w:type="textWrapping"/>
            </w:r>
            <w:r>
              <w:rPr>
                <w:rFonts w:ascii="宋体" w:hAnsi="宋体" w:eastAsia="宋体" w:cs="宋体"/>
                <w:i w:val="0"/>
                <w:iCs w:val="0"/>
                <w:color w:val="000000"/>
                <w:kern w:val="0"/>
                <w:sz w:val="16"/>
                <w:szCs w:val="16"/>
                <w:highlight w:val="none"/>
                <w:u w:val="none"/>
                <w:lang w:val="en-US" w:eastAsia="zh-CN" w:bidi="ar"/>
              </w:rPr>
              <w:t>出</w:t>
            </w:r>
            <w:r>
              <w:rPr>
                <w:rFonts w:ascii="宋体" w:hAnsi="宋体" w:eastAsia="宋体" w:cs="宋体"/>
                <w:i w:val="0"/>
                <w:iCs w:val="0"/>
                <w:color w:val="000000"/>
                <w:kern w:val="0"/>
                <w:sz w:val="16"/>
                <w:szCs w:val="16"/>
                <w:highlight w:val="none"/>
                <w:u w:val="none"/>
                <w:lang w:val="en-US" w:eastAsia="zh-CN" w:bidi="ar"/>
              </w:rPr>
              <w:br w:type="textWrapping"/>
            </w:r>
            <w:r>
              <w:rPr>
                <w:rFonts w:ascii="宋体" w:hAnsi="宋体" w:eastAsia="宋体" w:cs="宋体"/>
                <w:i w:val="0"/>
                <w:iCs w:val="0"/>
                <w:color w:val="000000"/>
                <w:kern w:val="0"/>
                <w:sz w:val="16"/>
                <w:szCs w:val="16"/>
                <w:highlight w:val="none"/>
                <w:u w:val="none"/>
                <w:lang w:val="en-US" w:eastAsia="zh-CN" w:bidi="ar"/>
              </w:rPr>
              <w:t>指</w:t>
            </w:r>
            <w:r>
              <w:rPr>
                <w:rFonts w:ascii="宋体" w:hAnsi="宋体" w:eastAsia="宋体" w:cs="宋体"/>
                <w:i w:val="0"/>
                <w:iCs w:val="0"/>
                <w:color w:val="000000"/>
                <w:kern w:val="0"/>
                <w:sz w:val="16"/>
                <w:szCs w:val="16"/>
                <w:highlight w:val="none"/>
                <w:u w:val="none"/>
                <w:lang w:val="en-US" w:eastAsia="zh-CN" w:bidi="ar"/>
              </w:rPr>
              <w:br w:type="textWrapping"/>
            </w:r>
            <w:r>
              <w:rPr>
                <w:rFonts w:ascii="宋体" w:hAnsi="宋体" w:eastAsia="宋体" w:cs="宋体"/>
                <w:i w:val="0"/>
                <w:iCs w:val="0"/>
                <w:color w:val="000000"/>
                <w:kern w:val="0"/>
                <w:sz w:val="16"/>
                <w:szCs w:val="16"/>
                <w:highlight w:val="none"/>
                <w:u w:val="none"/>
                <w:lang w:val="en-US" w:eastAsia="zh-CN" w:bidi="ar"/>
              </w:rPr>
              <w:t>标</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数量指标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创业担保贷款发放额增长率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413.83%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质量指标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创业担保贷款回收率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90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资金足额拨付率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地方配套到位率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效益指标</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经济效益指标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创业担保基金放大倍数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200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社会效益指标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金融机构网点覆盖率</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满意度指标</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服务对象满意度指标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申请定向费用补贴金额机构满意度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申报创业担保贷款贴息个人满意度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申报创业担保贷款贴息小微企业的满意度</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8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合计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100</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6"/>
                <w:szCs w:val="16"/>
                <w:highlight w:val="none"/>
                <w:u w:val="none"/>
              </w:rPr>
            </w:pPr>
            <w:r>
              <w:rPr>
                <w:rFonts w:ascii="宋体" w:hAnsi="宋体" w:eastAsia="宋体" w:cs="宋体"/>
                <w:i w:val="0"/>
                <w:iCs w:val="0"/>
                <w:color w:val="000000"/>
                <w:kern w:val="0"/>
                <w:sz w:val="16"/>
                <w:szCs w:val="16"/>
                <w:highlight w:val="none"/>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Times New Roman"/>
          <w:color w:val="000000"/>
          <w:sz w:val="32"/>
          <w:szCs w:val="32"/>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Times New Roman"/>
          <w:kern w:val="0"/>
          <w:sz w:val="32"/>
          <w:szCs w:val="32"/>
          <w:highlight w:val="none"/>
          <w:lang w:val="zh-CN" w:eastAsia="zh-CN" w:bidi="ar-SA"/>
        </w:rPr>
      </w:pPr>
      <w:r>
        <w:rPr>
          <w:rFonts w:hint="eastAsia" w:ascii="Times New Roman" w:hAnsi="Times New Roman" w:eastAsia="楷体_GB2312" w:cs="Times New Roman"/>
          <w:b/>
          <w:sz w:val="32"/>
          <w:szCs w:val="32"/>
          <w:highlight w:val="none"/>
          <w:lang w:val="zh-CN"/>
        </w:rPr>
        <w:t>（二）存在的问题。</w:t>
      </w:r>
      <w:r>
        <w:rPr>
          <w:rFonts w:hint="eastAsia" w:ascii="Times New Roman" w:hAnsi="Times New Roman" w:eastAsia="仿宋_GB2312" w:cs="Times New Roman"/>
          <w:kern w:val="0"/>
          <w:sz w:val="32"/>
          <w:szCs w:val="32"/>
          <w:highlight w:val="none"/>
          <w:lang w:val="zh-CN" w:eastAsia="zh-CN" w:bidi="ar-SA"/>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楷体_GB2312" w:cs="Times New Roman"/>
          <w:b/>
          <w:sz w:val="32"/>
          <w:szCs w:val="32"/>
          <w:highlight w:val="none"/>
          <w:lang w:val="zh-CN" w:eastAsia="zh-CN"/>
        </w:rPr>
        <w:t>（三）相关建议。</w:t>
      </w:r>
      <w:r>
        <w:rPr>
          <w:rFonts w:hint="eastAsia" w:ascii="Times New Roman" w:hAnsi="Times New Roman" w:eastAsia="仿宋_GB2312" w:cs="Times New Roman"/>
          <w:kern w:val="0"/>
          <w:sz w:val="32"/>
          <w:szCs w:val="32"/>
          <w:highlight w:val="none"/>
          <w:lang w:val="zh-CN" w:eastAsia="zh-CN" w:bidi="ar-SA"/>
        </w:rPr>
        <w:t>无。</w:t>
      </w:r>
    </w:p>
    <w:p>
      <w:pPr>
        <w:pageBreakBefore w:val="0"/>
        <w:kinsoku/>
        <w:wordWrap/>
        <w:overflowPunct/>
        <w:topLinePunct w:val="0"/>
        <w:bidi w:val="0"/>
        <w:spacing w:line="576" w:lineRule="exact"/>
        <w:ind w:left="960" w:hanging="960" w:hangingChars="3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附件：广元市昭化区人力资源和社会保障局</w:t>
      </w:r>
      <w:r>
        <w:rPr>
          <w:rFonts w:hint="eastAsia" w:ascii="仿宋_GB2312" w:hAnsi="仿宋_GB2312" w:eastAsia="仿宋_GB2312" w:cs="仿宋_GB2312"/>
          <w:color w:val="auto"/>
          <w:sz w:val="32"/>
          <w:szCs w:val="32"/>
          <w:highlight w:val="none"/>
          <w:lang w:val="en-US" w:eastAsia="zh-CN"/>
        </w:rPr>
        <w:t>2022年财政项目支出绩效自评表</w:t>
      </w:r>
    </w:p>
    <w:p>
      <w:pPr>
        <w:pStyle w:val="19"/>
        <w:rPr>
          <w:rFonts w:hint="eastAsia"/>
          <w:lang w:val="zh-CN" w:eastAsia="zh-CN"/>
        </w:rPr>
      </w:pPr>
    </w:p>
    <w:p>
      <w:pPr>
        <w:pStyle w:val="5"/>
        <w:rPr>
          <w:rFonts w:hint="default"/>
          <w:highlight w:val="none"/>
          <w:lang w:val="en-US" w:eastAsia="zh-CN"/>
        </w:rPr>
      </w:pPr>
    </w:p>
    <w:p>
      <w:pPr>
        <w:pStyle w:val="5"/>
        <w:rPr>
          <w:rFonts w:hint="eastAsia"/>
          <w:highlight w:val="none"/>
          <w:lang w:val="en-US" w:eastAsia="zh-CN"/>
        </w:rPr>
      </w:pPr>
    </w:p>
    <w:p>
      <w:pPr>
        <w:pStyle w:val="5"/>
        <w:rPr>
          <w:rFonts w:hint="default"/>
          <w:highlight w:val="none"/>
          <w:lang w:val="en-US"/>
        </w:rPr>
      </w:pPr>
    </w:p>
    <w:p>
      <w:pPr>
        <w:pStyle w:val="5"/>
        <w:spacing w:before="111" w:line="304" w:lineRule="auto"/>
        <w:ind w:left="231" w:right="276" w:firstLine="640"/>
        <w:jc w:val="both"/>
        <w:rPr>
          <w:rFonts w:hint="default" w:eastAsia="仿宋_GB2312"/>
          <w:highlight w:val="none"/>
          <w:lang w:val="en-US" w:eastAsia="zh-CN"/>
        </w:rPr>
      </w:pPr>
    </w:p>
    <w:p>
      <w:pPr>
        <w:pStyle w:val="5"/>
        <w:rPr>
          <w:rFonts w:hint="eastAsia"/>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rPr>
        <w:sectPr>
          <w:pgSz w:w="11906" w:h="16838"/>
          <w:pgMar w:top="1984" w:right="1474" w:bottom="1871" w:left="1587" w:header="851" w:footer="992" w:gutter="0"/>
          <w:pgNumType w:fmt="decimal"/>
          <w:cols w:space="0" w:num="1"/>
          <w:titlePg/>
          <w:rtlGutter w:val="0"/>
          <w:docGrid w:type="lines" w:linePitch="312" w:charSpace="0"/>
        </w:sectPr>
      </w:pPr>
    </w:p>
    <w:tbl>
      <w:tblPr>
        <w:tblStyle w:val="15"/>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480"/>
        <w:gridCol w:w="947"/>
        <w:gridCol w:w="2050"/>
        <w:gridCol w:w="838"/>
        <w:gridCol w:w="1096"/>
        <w:gridCol w:w="916"/>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2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 xml:space="preserve">附件：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8820"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普惠金融发展专项资金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2"/>
                <w:lang w:val="en-US" w:eastAsia="zh-CN" w:bidi="ar"/>
              </w:rPr>
              <w:t xml:space="preserve"> </w:t>
            </w:r>
            <w:r>
              <w:rPr>
                <w:rStyle w:val="43"/>
                <w:lang w:val="en-US" w:eastAsia="zh-CN" w:bidi="ar"/>
              </w:rPr>
              <w:t>其中：中央财政资金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121.88</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2"/>
                <w:lang w:val="en-US" w:eastAsia="zh-CN" w:bidi="ar"/>
              </w:rPr>
              <w:t xml:space="preserve"> </w:t>
            </w:r>
            <w:r>
              <w:rPr>
                <w:rStyle w:val="43"/>
                <w:lang w:val="en-US" w:eastAsia="zh-CN" w:bidi="ar"/>
              </w:rPr>
              <w:t xml:space="preserve">      地方资金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4"/>
                <w:lang w:val="en-US" w:eastAsia="zh-CN" w:bidi="ar"/>
              </w:rPr>
              <w:t xml:space="preserve">      </w:t>
            </w:r>
            <w:r>
              <w:rPr>
                <w:rStyle w:val="43"/>
                <w:lang w:val="en-US" w:eastAsia="zh-CN" w:bidi="ar"/>
              </w:rPr>
              <w:t xml:space="preserve">  其他资金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全部用于创业担保贷款贴息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年度内下达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严格按创业担保贷款贴息资金政策使用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川财规（2022）9号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仅用于个人、小微企业创业担保贷款财政贴息</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严格按预算绩效管理开展绩效工作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就业中心审核、规划财务股支付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2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31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397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52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支持农村金融组织体系建设，扩大农村金融服务覆盖面。支持重点群体和符合条件的小微企业融资发展。支持地方因地制宜打造各具特色的普惠金融发展示范区，增强金融普惠性，推动普惠金融高质量发展。</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创业担保贷款发放额增长率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413.83%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2021年发放347万元，2022年发放1783万。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创业担保贷款回收率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资金足额拨付率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地方配套到位率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创业担保基金放大倍数</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金融机构网点覆盖率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申请定向费用补贴金额机构满意度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申报创业担保贷款贴息个人满意度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申报创业担保贷款贴息小微企业的满意度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9"/>
        <w:rPr>
          <w:rFonts w:hint="eastAsia"/>
        </w:rPr>
        <w:sectPr>
          <w:pgSz w:w="11906" w:h="16838"/>
          <w:pgMar w:top="1984" w:right="1474" w:bottom="1871" w:left="1587" w:header="851" w:footer="992" w:gutter="0"/>
          <w:pgNumType w:fmt="decimal"/>
          <w:cols w:space="0" w:num="1"/>
          <w:titlePg/>
          <w:rtlGutter w:val="0"/>
          <w:docGrid w:type="lines" w:linePitch="312" w:charSpace="0"/>
        </w:sectPr>
      </w:pPr>
    </w:p>
    <w:p>
      <w:pPr>
        <w:pageBreakBefore w:val="0"/>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ind w:firstLine="2640" w:firstLineChars="600"/>
        <w:jc w:val="both"/>
        <w:textAlignment w:val="auto"/>
        <w:outlineLvl w:val="0"/>
        <w:rPr>
          <w:rFonts w:hint="eastAsia" w:ascii="仿宋" w:hAnsi="仿宋" w:eastAsia="仿宋"/>
          <w:b w:val="0"/>
          <w:color w:val="auto"/>
          <w:highlight w:val="none"/>
        </w:rPr>
      </w:pPr>
      <w:bookmarkStart w:id="106" w:name="_Toc22679"/>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83"/>
      <w:bookmarkEnd w:id="96"/>
      <w:bookmarkEnd w:id="106"/>
      <w:bookmarkStart w:id="107" w:name="_Toc15396619"/>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08" w:name="_Toc4172"/>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107"/>
      <w:bookmarkEnd w:id="108"/>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09" w:name="_Toc5787"/>
      <w:bookmarkStart w:id="110"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109"/>
      <w:bookmarkEnd w:id="110"/>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11" w:name="_Toc19160"/>
      <w:bookmarkStart w:id="112"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111"/>
      <w:bookmarkEnd w:id="112"/>
    </w:p>
    <w:p>
      <w:pPr>
        <w:pStyle w:val="3"/>
        <w:pageBreakBefore w:val="0"/>
        <w:kinsoku/>
        <w:wordWrap/>
        <w:overflowPunct/>
        <w:topLinePunct w:val="0"/>
        <w:bidi w:val="0"/>
        <w:spacing w:line="576" w:lineRule="exact"/>
        <w:textAlignment w:val="auto"/>
        <w:rPr>
          <w:rFonts w:ascii="仿宋" w:hAnsi="仿宋" w:eastAsia="仿宋"/>
          <w:b w:val="0"/>
          <w:color w:val="auto"/>
          <w:highlight w:val="none"/>
        </w:rPr>
      </w:pPr>
      <w:bookmarkStart w:id="113" w:name="_Toc15396622"/>
      <w:bookmarkStart w:id="114" w:name="_Toc10838"/>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113"/>
      <w:bookmarkEnd w:id="114"/>
    </w:p>
    <w:p>
      <w:pPr>
        <w:pStyle w:val="3"/>
        <w:pageBreakBefore w:val="0"/>
        <w:kinsoku/>
        <w:wordWrap/>
        <w:overflowPunct/>
        <w:topLinePunct w:val="0"/>
        <w:bidi w:val="0"/>
        <w:spacing w:line="576" w:lineRule="exact"/>
        <w:textAlignment w:val="auto"/>
        <w:rPr>
          <w:rStyle w:val="29"/>
          <w:rFonts w:ascii="仿宋" w:hAnsi="仿宋" w:eastAsia="仿宋"/>
          <w:b w:val="0"/>
          <w:bCs w:val="0"/>
          <w:color w:val="auto"/>
          <w:highlight w:val="none"/>
        </w:rPr>
      </w:pPr>
      <w:bookmarkStart w:id="115" w:name="_Toc15396623"/>
      <w:bookmarkStart w:id="116" w:name="_Toc25130"/>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115"/>
      <w:bookmarkEnd w:id="116"/>
      <w:bookmarkStart w:id="117" w:name="_Toc15396624"/>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18" w:name="_Toc5878"/>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117"/>
      <w:bookmarkEnd w:id="118"/>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19" w:name="_Toc15396625"/>
      <w:bookmarkStart w:id="120" w:name="_Toc1584"/>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119"/>
      <w:bookmarkEnd w:id="120"/>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21" w:name="_Toc26710"/>
      <w:bookmarkStart w:id="122"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121"/>
      <w:bookmarkEnd w:id="122"/>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23" w:name="_Toc26709"/>
      <w:bookmarkStart w:id="124"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123"/>
      <w:bookmarkEnd w:id="124"/>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25" w:name="_Toc15396628"/>
      <w:bookmarkStart w:id="126" w:name="_Toc4916"/>
      <w:r>
        <w:rPr>
          <w:rStyle w:val="29"/>
          <w:rFonts w:hint="eastAsia" w:ascii="仿宋" w:hAnsi="仿宋" w:eastAsia="仿宋"/>
          <w:b w:val="0"/>
          <w:bCs w:val="0"/>
          <w:color w:val="auto"/>
          <w:highlight w:val="none"/>
        </w:rPr>
        <w:t>十、</w:t>
      </w:r>
      <w:bookmarkEnd w:id="125"/>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126"/>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27" w:name="_Toc15396629"/>
      <w:bookmarkStart w:id="128" w:name="_Toc30582"/>
      <w:r>
        <w:rPr>
          <w:rStyle w:val="29"/>
          <w:rFonts w:hint="eastAsia" w:ascii="仿宋" w:hAnsi="仿宋" w:eastAsia="仿宋"/>
          <w:b w:val="0"/>
          <w:bCs w:val="0"/>
          <w:color w:val="auto"/>
          <w:highlight w:val="none"/>
        </w:rPr>
        <w:t>十一、</w:t>
      </w:r>
      <w:bookmarkEnd w:id="127"/>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28"/>
    </w:p>
    <w:p>
      <w:pPr>
        <w:pStyle w:val="3"/>
        <w:pageBreakBefore w:val="0"/>
        <w:kinsoku/>
        <w:wordWrap/>
        <w:overflowPunct/>
        <w:topLinePunct w:val="0"/>
        <w:bidi w:val="0"/>
        <w:spacing w:line="576" w:lineRule="exact"/>
        <w:textAlignment w:val="auto"/>
        <w:rPr>
          <w:rFonts w:ascii="仿宋" w:hAnsi="仿宋" w:eastAsia="仿宋"/>
          <w:color w:val="auto"/>
          <w:highlight w:val="none"/>
        </w:rPr>
      </w:pPr>
      <w:bookmarkStart w:id="129" w:name="_Toc15396630"/>
      <w:bookmarkStart w:id="130" w:name="_Toc11200"/>
      <w:r>
        <w:rPr>
          <w:rStyle w:val="29"/>
          <w:rFonts w:hint="eastAsia" w:ascii="仿宋" w:hAnsi="仿宋" w:eastAsia="仿宋"/>
          <w:b w:val="0"/>
          <w:bCs w:val="0"/>
          <w:color w:val="auto"/>
          <w:highlight w:val="none"/>
        </w:rPr>
        <w:t>十二、</w:t>
      </w:r>
      <w:bookmarkEnd w:id="129"/>
      <w:r>
        <w:rPr>
          <w:rStyle w:val="29"/>
          <w:rFonts w:hint="eastAsia" w:ascii="仿宋" w:hAnsi="仿宋" w:eastAsia="仿宋"/>
          <w:b w:val="0"/>
          <w:bCs w:val="0"/>
          <w:color w:val="auto"/>
          <w:highlight w:val="none"/>
          <w:lang w:eastAsia="zh-CN"/>
        </w:rPr>
        <w:t>国有资本经营预算财政拨款支出决算表</w:t>
      </w:r>
      <w:bookmarkEnd w:id="130"/>
    </w:p>
    <w:p>
      <w:pPr>
        <w:pStyle w:val="3"/>
        <w:pageBreakBefore w:val="0"/>
        <w:kinsoku/>
        <w:wordWrap/>
        <w:overflowPunct/>
        <w:topLinePunct w:val="0"/>
        <w:bidi w:val="0"/>
        <w:spacing w:line="576" w:lineRule="exact"/>
        <w:textAlignment w:val="auto"/>
        <w:rPr>
          <w:rFonts w:hint="eastAsia" w:eastAsia="仿宋"/>
          <w:color w:val="auto"/>
          <w:highlight w:val="none"/>
          <w:lang w:eastAsia="zh-CN"/>
        </w:rPr>
      </w:pPr>
      <w:bookmarkStart w:id="131" w:name="_Toc15396631"/>
      <w:bookmarkStart w:id="132" w:name="_Toc31906"/>
      <w:r>
        <w:rPr>
          <w:rStyle w:val="29"/>
          <w:rFonts w:hint="eastAsia" w:ascii="仿宋" w:hAnsi="仿宋" w:eastAsia="仿宋"/>
          <w:b w:val="0"/>
          <w:bCs w:val="0"/>
          <w:color w:val="auto"/>
          <w:highlight w:val="none"/>
        </w:rPr>
        <w:t>十三、</w:t>
      </w:r>
      <w:bookmarkEnd w:id="131"/>
      <w:r>
        <w:rPr>
          <w:rStyle w:val="29"/>
          <w:rFonts w:hint="eastAsia" w:ascii="仿宋" w:hAnsi="仿宋" w:eastAsia="仿宋"/>
          <w:b w:val="0"/>
          <w:bCs w:val="0"/>
          <w:color w:val="auto"/>
          <w:highlight w:val="none"/>
          <w:lang w:eastAsia="zh-CN"/>
        </w:rPr>
        <w:t>财政拨款“三公”经费支出决算表</w:t>
      </w:r>
      <w:bookmarkEnd w:id="132"/>
    </w:p>
    <w:sectPr>
      <w:pgSz w:w="11906" w:h="16838"/>
      <w:pgMar w:top="1984" w:right="1474" w:bottom="1871"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95562D-33BB-4409-B805-B048D8BEE1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F038A2-A17A-418E-A68C-D181F483F9D6}"/>
  </w:font>
  <w:font w:name="Cambria">
    <w:panose1 w:val="02040503050406030204"/>
    <w:charset w:val="00"/>
    <w:family w:val="roman"/>
    <w:pitch w:val="default"/>
    <w:sig w:usb0="E00002FF" w:usb1="400004FF" w:usb2="00000000" w:usb3="00000000" w:csb0="2000019F" w:csb1="00000000"/>
    <w:embedRegular r:id="rId3" w:fontKey="{1675E5DF-01D5-411F-ADF1-A0AEA27043DD}"/>
  </w:font>
  <w:font w:name="仿宋_GB2312">
    <w:panose1 w:val="02010609030101010101"/>
    <w:charset w:val="86"/>
    <w:family w:val="modern"/>
    <w:pitch w:val="default"/>
    <w:sig w:usb0="00000001" w:usb1="080E0000" w:usb2="00000000" w:usb3="00000000" w:csb0="00040000" w:csb1="00000000"/>
    <w:embedRegular r:id="rId4" w:fontKey="{CBA6C029-206E-4AA1-849A-A97CF4F910DF}"/>
  </w:font>
  <w:font w:name="仿宋">
    <w:panose1 w:val="02010609060101010101"/>
    <w:charset w:val="86"/>
    <w:family w:val="modern"/>
    <w:pitch w:val="default"/>
    <w:sig w:usb0="800002BF" w:usb1="38CF7CFA" w:usb2="00000016" w:usb3="00000000" w:csb0="00040001" w:csb1="00000000"/>
    <w:embedRegular r:id="rId5" w:fontKey="{1790BF67-1027-4911-99E2-0F76FD2B473A}"/>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6" w:fontKey="{73F72A61-793E-4240-B18F-0E5D3F1C6CCC}"/>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7" w:fontKey="{32DF21A2-EAB5-43F1-917E-94D87ED6FD74}"/>
  </w:font>
  <w:font w:name="方正粗黑宋简体">
    <w:panose1 w:val="02000000000000000000"/>
    <w:charset w:val="86"/>
    <w:family w:val="auto"/>
    <w:pitch w:val="default"/>
    <w:sig w:usb0="A00002BF" w:usb1="184F6CFA" w:usb2="00000012" w:usb3="00000000" w:csb0="00040001" w:csb1="00000000"/>
    <w:embedRegular r:id="rId8" w:fontKey="{FECE142F-CA63-4AAA-A90D-120056B147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5"/>
                    </w:pPr>
                  </w:p>
                </w:txbxContent>
              </v:textbox>
            </v:shape>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88300"/>
    <w:multiLevelType w:val="singleLevel"/>
    <w:tmpl w:val="89088300"/>
    <w:lvl w:ilvl="0" w:tentative="0">
      <w:start w:val="1"/>
      <w:numFmt w:val="chineseCounting"/>
      <w:suff w:val="nothing"/>
      <w:lvlText w:val="（%1）"/>
      <w:lvlJc w:val="left"/>
      <w:rPr>
        <w:rFonts w:hint="eastAsia"/>
      </w:rPr>
    </w:lvl>
  </w:abstractNum>
  <w:abstractNum w:abstractNumId="1">
    <w:nsid w:val="BB602194"/>
    <w:multiLevelType w:val="singleLevel"/>
    <w:tmpl w:val="BB602194"/>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3CCFDC4"/>
    <w:multiLevelType w:val="singleLevel"/>
    <w:tmpl w:val="D3CCFDC4"/>
    <w:lvl w:ilvl="0" w:tentative="0">
      <w:start w:val="2"/>
      <w:numFmt w:val="chineseCounting"/>
      <w:suff w:val="nothing"/>
      <w:lvlText w:val="（%1）"/>
      <w:lvlJc w:val="left"/>
      <w:rPr>
        <w:rFonts w:hint="eastAsia"/>
      </w:rPr>
    </w:lvl>
  </w:abstractNum>
  <w:abstractNum w:abstractNumId="4">
    <w:nsid w:val="D6D39AF2"/>
    <w:multiLevelType w:val="singleLevel"/>
    <w:tmpl w:val="D6D39AF2"/>
    <w:lvl w:ilvl="0" w:tentative="0">
      <w:start w:val="1"/>
      <w:numFmt w:val="chineseCounting"/>
      <w:suff w:val="nothing"/>
      <w:lvlText w:val="（%1）"/>
      <w:lvlJc w:val="left"/>
      <w:rPr>
        <w:rFonts w:hint="eastAsia"/>
      </w:rPr>
    </w:lvl>
  </w:abstractNum>
  <w:abstractNum w:abstractNumId="5">
    <w:nsid w:val="DEBEF323"/>
    <w:multiLevelType w:val="singleLevel"/>
    <w:tmpl w:val="DEBEF323"/>
    <w:lvl w:ilvl="0" w:tentative="0">
      <w:start w:val="4"/>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FF1046A"/>
    <w:multiLevelType w:val="singleLevel"/>
    <w:tmpl w:val="1FF1046A"/>
    <w:lvl w:ilvl="0" w:tentative="0">
      <w:start w:val="1"/>
      <w:numFmt w:val="chineseCounting"/>
      <w:suff w:val="nothing"/>
      <w:lvlText w:val="%1、"/>
      <w:lvlJc w:val="left"/>
      <w:rPr>
        <w:rFonts w:hint="eastAsia"/>
      </w:rPr>
    </w:lvl>
  </w:abstractNum>
  <w:num w:numId="1">
    <w:abstractNumId w:val="9"/>
  </w:num>
  <w:num w:numId="2">
    <w:abstractNumId w:val="8"/>
  </w:num>
  <w:num w:numId="3">
    <w:abstractNumId w:val="2"/>
  </w:num>
  <w:num w:numId="4">
    <w:abstractNumId w:val="6"/>
  </w:num>
  <w:num w:numId="5">
    <w:abstractNumId w:val="7"/>
  </w:num>
  <w:num w:numId="6">
    <w:abstractNumId w:val="0"/>
  </w:num>
  <w:num w:numId="7">
    <w:abstractNumId w:val="5"/>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NjJkOGIyMzFkMWY4ZWQ4NzI0MGViMDZhMGNi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6E55"/>
    <w:rsid w:val="015975B8"/>
    <w:rsid w:val="02143E91"/>
    <w:rsid w:val="03B44E81"/>
    <w:rsid w:val="042916B2"/>
    <w:rsid w:val="066E0107"/>
    <w:rsid w:val="07996F6E"/>
    <w:rsid w:val="0A1B7BBD"/>
    <w:rsid w:val="0A2032A3"/>
    <w:rsid w:val="0AD614F6"/>
    <w:rsid w:val="0CCE17EE"/>
    <w:rsid w:val="0F98263C"/>
    <w:rsid w:val="101860EC"/>
    <w:rsid w:val="10C055FF"/>
    <w:rsid w:val="10FB74EC"/>
    <w:rsid w:val="112D4BBA"/>
    <w:rsid w:val="118107EC"/>
    <w:rsid w:val="11F8418B"/>
    <w:rsid w:val="13240002"/>
    <w:rsid w:val="13D50BC4"/>
    <w:rsid w:val="16BB723D"/>
    <w:rsid w:val="17C60E6F"/>
    <w:rsid w:val="1BE8440E"/>
    <w:rsid w:val="1D155CEE"/>
    <w:rsid w:val="1D807E56"/>
    <w:rsid w:val="1FF35744"/>
    <w:rsid w:val="21EC25BC"/>
    <w:rsid w:val="23860B96"/>
    <w:rsid w:val="240371BF"/>
    <w:rsid w:val="25BD7748"/>
    <w:rsid w:val="26790739"/>
    <w:rsid w:val="290C72E3"/>
    <w:rsid w:val="29FD04D3"/>
    <w:rsid w:val="2C8A61B5"/>
    <w:rsid w:val="2DF04E50"/>
    <w:rsid w:val="2F040D46"/>
    <w:rsid w:val="319F7F4E"/>
    <w:rsid w:val="320C5120"/>
    <w:rsid w:val="321522FE"/>
    <w:rsid w:val="3304709D"/>
    <w:rsid w:val="36AA5135"/>
    <w:rsid w:val="374E0983"/>
    <w:rsid w:val="376D39B2"/>
    <w:rsid w:val="376E52D8"/>
    <w:rsid w:val="377F22AA"/>
    <w:rsid w:val="37E16F03"/>
    <w:rsid w:val="38D469F0"/>
    <w:rsid w:val="3A0813F0"/>
    <w:rsid w:val="3D98207C"/>
    <w:rsid w:val="3E78745D"/>
    <w:rsid w:val="406D2E5D"/>
    <w:rsid w:val="42BC5370"/>
    <w:rsid w:val="43F62371"/>
    <w:rsid w:val="44E268DA"/>
    <w:rsid w:val="45D70594"/>
    <w:rsid w:val="49DD4854"/>
    <w:rsid w:val="4A627F82"/>
    <w:rsid w:val="4B0E749A"/>
    <w:rsid w:val="4B4F25DA"/>
    <w:rsid w:val="4BE068DB"/>
    <w:rsid w:val="4D577224"/>
    <w:rsid w:val="4EAB630A"/>
    <w:rsid w:val="4ECE2238"/>
    <w:rsid w:val="4F1814E9"/>
    <w:rsid w:val="537E6D0A"/>
    <w:rsid w:val="541F16BE"/>
    <w:rsid w:val="58275A5E"/>
    <w:rsid w:val="59200B3E"/>
    <w:rsid w:val="5AF92295"/>
    <w:rsid w:val="5CD71FC4"/>
    <w:rsid w:val="635E1F10"/>
    <w:rsid w:val="644A0487"/>
    <w:rsid w:val="648F41DA"/>
    <w:rsid w:val="64EF09EB"/>
    <w:rsid w:val="652033A4"/>
    <w:rsid w:val="66B6356E"/>
    <w:rsid w:val="6C092F52"/>
    <w:rsid w:val="6C4A05C8"/>
    <w:rsid w:val="6E7E3605"/>
    <w:rsid w:val="6FB568D3"/>
    <w:rsid w:val="6FF5CC65"/>
    <w:rsid w:val="715C0E4B"/>
    <w:rsid w:val="72734D90"/>
    <w:rsid w:val="73AD73D5"/>
    <w:rsid w:val="73B6EB34"/>
    <w:rsid w:val="73D43285"/>
    <w:rsid w:val="74332254"/>
    <w:rsid w:val="744731E5"/>
    <w:rsid w:val="745B7503"/>
    <w:rsid w:val="76E3355F"/>
    <w:rsid w:val="778769C8"/>
    <w:rsid w:val="79947DBD"/>
    <w:rsid w:val="79AD6F71"/>
    <w:rsid w:val="79EE5BA4"/>
    <w:rsid w:val="7A894339"/>
    <w:rsid w:val="7AF379C5"/>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rFonts w:ascii="Calibri" w:hAnsi="Calibri"/>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character" w:customStyle="1" w:styleId="37">
    <w:name w:val="font21"/>
    <w:basedOn w:val="16"/>
    <w:qFormat/>
    <w:uiPriority w:val="0"/>
    <w:rPr>
      <w:rFonts w:hint="eastAsia" w:ascii="宋体" w:hAnsi="宋体" w:eastAsia="宋体" w:cs="宋体"/>
      <w:color w:val="000000"/>
      <w:sz w:val="20"/>
      <w:szCs w:val="20"/>
      <w:u w:val="none"/>
    </w:rPr>
  </w:style>
  <w:style w:type="character" w:customStyle="1" w:styleId="38">
    <w:name w:val="font71"/>
    <w:basedOn w:val="16"/>
    <w:qFormat/>
    <w:uiPriority w:val="0"/>
    <w:rPr>
      <w:rFonts w:hint="eastAsia" w:ascii="宋体" w:hAnsi="宋体" w:eastAsia="宋体" w:cs="宋体"/>
      <w:color w:val="000000"/>
      <w:sz w:val="20"/>
      <w:szCs w:val="20"/>
      <w:u w:val="none"/>
    </w:rPr>
  </w:style>
  <w:style w:type="character" w:customStyle="1" w:styleId="39">
    <w:name w:val="font41"/>
    <w:basedOn w:val="16"/>
    <w:qFormat/>
    <w:uiPriority w:val="0"/>
    <w:rPr>
      <w:rFonts w:hint="eastAsia" w:ascii="宋体" w:hAnsi="宋体" w:eastAsia="宋体" w:cs="宋体"/>
      <w:color w:val="000000"/>
      <w:sz w:val="18"/>
      <w:szCs w:val="18"/>
      <w:u w:val="none"/>
    </w:rPr>
  </w:style>
  <w:style w:type="character" w:customStyle="1" w:styleId="40">
    <w:name w:val="font51"/>
    <w:basedOn w:val="16"/>
    <w:qFormat/>
    <w:uiPriority w:val="0"/>
    <w:rPr>
      <w:rFonts w:hint="eastAsia" w:ascii="宋体" w:hAnsi="宋体" w:eastAsia="宋体" w:cs="宋体"/>
      <w:color w:val="000000"/>
      <w:sz w:val="18"/>
      <w:szCs w:val="18"/>
      <w:u w:val="none"/>
    </w:rPr>
  </w:style>
  <w:style w:type="character" w:customStyle="1" w:styleId="41">
    <w:name w:val="font31"/>
    <w:basedOn w:val="16"/>
    <w:qFormat/>
    <w:uiPriority w:val="0"/>
    <w:rPr>
      <w:rFonts w:hint="eastAsia" w:ascii="宋体" w:hAnsi="宋体" w:eastAsia="宋体" w:cs="宋体"/>
      <w:color w:val="000000"/>
      <w:sz w:val="18"/>
      <w:szCs w:val="18"/>
      <w:u w:val="none"/>
    </w:rPr>
  </w:style>
  <w:style w:type="character" w:customStyle="1" w:styleId="42">
    <w:name w:val="font11"/>
    <w:basedOn w:val="16"/>
    <w:qFormat/>
    <w:uiPriority w:val="0"/>
    <w:rPr>
      <w:rFonts w:hint="eastAsia" w:ascii="宋体" w:hAnsi="宋体" w:eastAsia="宋体" w:cs="宋体"/>
      <w:color w:val="000000"/>
      <w:sz w:val="20"/>
      <w:szCs w:val="20"/>
      <w:u w:val="none"/>
    </w:rPr>
  </w:style>
  <w:style w:type="character" w:customStyle="1" w:styleId="43">
    <w:name w:val="font101"/>
    <w:basedOn w:val="16"/>
    <w:qFormat/>
    <w:uiPriority w:val="0"/>
    <w:rPr>
      <w:rFonts w:hint="eastAsia" w:ascii="宋体" w:hAnsi="宋体" w:eastAsia="宋体" w:cs="宋体"/>
      <w:color w:val="000000"/>
      <w:sz w:val="20"/>
      <w:szCs w:val="20"/>
      <w:u w:val="none"/>
    </w:rPr>
  </w:style>
  <w:style w:type="character" w:customStyle="1" w:styleId="44">
    <w:name w:val="font6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3&#24180;\&#36130;&#21153;\&#39044;&#20915;&#31639;&#20844;&#24320;\2022&#24180;&#20915;&#31639;&#20844;&#24320;\&#26609;&#29366;&#22270;&#12289;&#39292;&#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[工作簿2]Sheet1!$B$1:$C$1</c:f>
              <c:strCache>
                <c:ptCount val="2"/>
                <c:pt idx="0">
                  <c:v>2021年</c:v>
                </c:pt>
                <c:pt idx="1">
                  <c:v>2022年</c:v>
                </c:pt>
              </c:strCache>
            </c:strRef>
          </c:cat>
          <c:val>
            <c:numRef>
              <c:f>[工作簿2]Sheet1!$B$2:$C$2</c:f>
              <c:numCache>
                <c:formatCode>General</c:formatCode>
                <c:ptCount val="2"/>
                <c:pt idx="0">
                  <c:v>3798.93</c:v>
                </c:pt>
                <c:pt idx="1">
                  <c:v>4228.88</c:v>
                </c:pt>
              </c:numCache>
            </c:numRef>
          </c:val>
        </c:ser>
        <c:dLbls>
          <c:showLegendKey val="0"/>
          <c:showVal val="0"/>
          <c:showCatName val="0"/>
          <c:showSerName val="0"/>
          <c:showPercent val="0"/>
          <c:showBubbleSize val="0"/>
        </c:dLbls>
        <c:gapWidth val="246"/>
        <c:overlap val="-28"/>
        <c:axId val="920951807"/>
        <c:axId val="935406654"/>
      </c:barChart>
      <c:catAx>
        <c:axId val="9209518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406654"/>
        <c:crosses val="autoZero"/>
        <c:auto val="1"/>
        <c:lblAlgn val="ctr"/>
        <c:lblOffset val="100"/>
        <c:noMultiLvlLbl val="0"/>
      </c:catAx>
      <c:valAx>
        <c:axId val="93540665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951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[工作簿2]Sheet1!$I$19</c:f>
              <c:strCache>
                <c:ptCount val="1"/>
                <c:pt idx="0">
                  <c:v>占比</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[工作簿2]Sheet1!$J$18</c:f>
              <c:strCache>
                <c:ptCount val="1"/>
                <c:pt idx="0">
                  <c:v>一般公共预算财政拨款收入</c:v>
                </c:pt>
              </c:strCache>
            </c:strRef>
          </c:cat>
          <c:val>
            <c:numRef>
              <c:f>[工作簿2]Sheet1!$J$19</c:f>
              <c:numCache>
                <c:formatCode>0%</c:formatCode>
                <c:ptCount val="1"/>
                <c:pt idx="0">
                  <c:v>1</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[工作簿2]Sheet1!$I$19</c:f>
              <c:strCache>
                <c:ptCount val="1"/>
                <c:pt idx="0">
                  <c:v>占比</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[工作簿2]Sheet1!$J$18:$K$18</c:f>
              <c:strCache>
                <c:ptCount val="2"/>
                <c:pt idx="0">
                  <c:v>基本支出</c:v>
                </c:pt>
                <c:pt idx="1">
                  <c:v>项目支出</c:v>
                </c:pt>
              </c:strCache>
            </c:strRef>
          </c:cat>
          <c:val>
            <c:numRef>
              <c:f>[工作簿2]Sheet1!$J$19:$K$19</c:f>
              <c:numCache>
                <c:formatCode>General</c:formatCode>
                <c:ptCount val="2"/>
                <c:pt idx="0">
                  <c:v>1016.4</c:v>
                </c:pt>
                <c:pt idx="1">
                  <c:v>3212.48</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[工作簿2]Sheet1!$B$1:$C$1</c:f>
              <c:strCache>
                <c:ptCount val="2"/>
                <c:pt idx="0">
                  <c:v>2021年</c:v>
                </c:pt>
                <c:pt idx="1">
                  <c:v>2022年</c:v>
                </c:pt>
              </c:strCache>
            </c:strRef>
          </c:cat>
          <c:val>
            <c:numRef>
              <c:f>[工作簿2]Sheet1!$B$2:$C$2</c:f>
              <c:numCache>
                <c:formatCode>General</c:formatCode>
                <c:ptCount val="2"/>
                <c:pt idx="0">
                  <c:v>3798.93</c:v>
                </c:pt>
                <c:pt idx="1">
                  <c:v>4228.88</c:v>
                </c:pt>
              </c:numCache>
            </c:numRef>
          </c:val>
        </c:ser>
        <c:dLbls>
          <c:showLegendKey val="0"/>
          <c:showVal val="0"/>
          <c:showCatName val="0"/>
          <c:showSerName val="0"/>
          <c:showPercent val="0"/>
          <c:showBubbleSize val="0"/>
        </c:dLbls>
        <c:gapWidth val="246"/>
        <c:overlap val="-28"/>
        <c:axId val="920951807"/>
        <c:axId val="935406654"/>
      </c:barChart>
      <c:catAx>
        <c:axId val="9209518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406654"/>
        <c:crosses val="autoZero"/>
        <c:auto val="1"/>
        <c:lblAlgn val="ctr"/>
        <c:lblOffset val="100"/>
        <c:noMultiLvlLbl val="0"/>
      </c:catAx>
      <c:valAx>
        <c:axId val="93540665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951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[工作簿2]Sheet1!$B$1:$C$1</c:f>
              <c:strCache>
                <c:ptCount val="2"/>
                <c:pt idx="0">
                  <c:v>2021年</c:v>
                </c:pt>
                <c:pt idx="1">
                  <c:v>2022年</c:v>
                </c:pt>
              </c:strCache>
            </c:strRef>
          </c:cat>
          <c:val>
            <c:numRef>
              <c:f>[工作簿2]Sheet1!$B$2:$C$2</c:f>
              <c:numCache>
                <c:formatCode>General</c:formatCode>
                <c:ptCount val="2"/>
                <c:pt idx="0">
                  <c:v>3798.93</c:v>
                </c:pt>
                <c:pt idx="1">
                  <c:v>4228.88</c:v>
                </c:pt>
              </c:numCache>
            </c:numRef>
          </c:val>
        </c:ser>
        <c:dLbls>
          <c:showLegendKey val="0"/>
          <c:showVal val="0"/>
          <c:showCatName val="0"/>
          <c:showSerName val="0"/>
          <c:showPercent val="0"/>
          <c:showBubbleSize val="0"/>
        </c:dLbls>
        <c:gapWidth val="246"/>
        <c:overlap val="-28"/>
        <c:axId val="920951807"/>
        <c:axId val="935406654"/>
      </c:barChart>
      <c:catAx>
        <c:axId val="9209518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406654"/>
        <c:crosses val="autoZero"/>
        <c:auto val="1"/>
        <c:lblAlgn val="ctr"/>
        <c:lblOffset val="100"/>
        <c:noMultiLvlLbl val="0"/>
      </c:catAx>
      <c:valAx>
        <c:axId val="93540665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951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[工作簿4]Sheet1!$D$1:$G$1</c:f>
              <c:strCache>
                <c:ptCount val="4"/>
                <c:pt idx="0">
                  <c:v>社会保障和就业支出</c:v>
                </c:pt>
                <c:pt idx="1">
                  <c:v>卫生健康支出</c:v>
                </c:pt>
                <c:pt idx="2">
                  <c:v>农村水支出</c:v>
                </c:pt>
                <c:pt idx="3">
                  <c:v>住房保障支出</c:v>
                </c:pt>
              </c:strCache>
            </c:strRef>
          </c:cat>
          <c:val>
            <c:numRef>
              <c:f>[工作簿4]Sheet1!$D$2:$G$2</c:f>
              <c:numCache>
                <c:formatCode>General</c:formatCode>
                <c:ptCount val="4"/>
                <c:pt idx="0">
                  <c:v>3763.76</c:v>
                </c:pt>
                <c:pt idx="1">
                  <c:v>44.24</c:v>
                </c:pt>
                <c:pt idx="2">
                  <c:v>342.88</c:v>
                </c:pt>
                <c:pt idx="3">
                  <c:v>77.99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[柱状图、饼状图.xls]Sheet1!$D$74</c:f>
              <c:strCache>
                <c:ptCount val="1"/>
                <c:pt idx="0">
                  <c:v>公务接待支出</c:v>
                </c:pt>
              </c:strCache>
            </c:strRef>
          </c:tx>
          <c:explosion val="0"/>
          <c:dPt>
            <c:idx val="0"/>
            <c:bubble3D val="0"/>
            <c:explosion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val>
            <c:numRef>
              <c:f>[柱状图、饼状图.xls]Sheet1!$E$74</c:f>
              <c:numCache>
                <c:formatCode>General</c:formatCode>
                <c:ptCount val="1"/>
                <c:pt idx="0">
                  <c:v>5</c:v>
                </c:pt>
              </c:numCache>
            </c:numRef>
          </c:val>
        </c:ser>
        <c:ser>
          <c:idx val="1"/>
          <c:order val="1"/>
          <c:tx>
            <c:strRef>
              <c:f>[柱状图、饼状图.xls]Sheet1!$D$75</c:f>
              <c:strCache>
                <c:ptCount val="1"/>
                <c:pt idx="0">
                  <c:v>因公出国（境）费支出</c:v>
                </c:pt>
              </c:strCache>
            </c:strRef>
          </c:tx>
          <c:explosion val="0"/>
          <c:dPt>
            <c:idx val="0"/>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val>
            <c:numRef>
              <c:f>[柱状图、饼状图.xls]Sheet1!$E$75</c:f>
              <c:numCache>
                <c:formatCode>General</c:formatCode>
                <c:ptCount val="1"/>
                <c:pt idx="0">
                  <c:v>0</c:v>
                </c:pt>
              </c:numCache>
            </c:numRef>
          </c:val>
        </c:ser>
        <c:ser>
          <c:idx val="2"/>
          <c:order val="2"/>
          <c:tx>
            <c:strRef>
              <c:f>[柱状图、饼状图.xls]Sheet1!$D$76</c:f>
              <c:strCache>
                <c:ptCount val="1"/>
                <c:pt idx="0">
                  <c:v>公务用车购置及运行维护费支出</c:v>
                </c:pt>
              </c:strCache>
            </c:strRef>
          </c:tx>
          <c:explosion val="0"/>
          <c:dPt>
            <c:idx val="0"/>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val>
            <c:numRef>
              <c:f>[柱状图、饼状图.xls]Sheet1!$E$76</c:f>
              <c:numCache>
                <c:formatCode>General</c:formatCode>
                <c:ptCount val="1"/>
                <c:pt idx="0">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TotalTime>
  <ScaleCrop>false</ScaleCrop>
  <LinksUpToDate>false</LinksUpToDate>
  <CharactersWithSpaces>8692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念来过倒逼傻</cp:lastModifiedBy>
  <cp:lastPrinted>2023-07-31T02:35:00Z</cp:lastPrinted>
  <dcterms:modified xsi:type="dcterms:W3CDTF">2023-11-09T00:39:57Z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6CD1E6389E404C5F85909D2FF1A949B4_13</vt:lpwstr>
  </property>
</Properties>
</file>