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ind w:left="0" w:lef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olor w:val="000000"/>
          <w:kern w:val="2"/>
          <w:sz w:val="40"/>
          <w:szCs w:val="4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2"/>
          <w:sz w:val="40"/>
          <w:szCs w:val="40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2"/>
          <w:sz w:val="40"/>
          <w:szCs w:val="40"/>
          <w:u w:val="none"/>
          <w:lang w:val="en-US" w:eastAsia="zh-CN" w:bidi="ar-SA"/>
        </w:rPr>
        <w:t>昭化区2023年2季度就业见习补贴发放表</w:t>
      </w:r>
    </w:p>
    <w:tbl>
      <w:tblPr>
        <w:tblStyle w:val="3"/>
        <w:tblpPr w:leftFromText="180" w:rightFromText="180" w:vertAnchor="text" w:horzAnchor="page" w:tblpX="1845" w:tblpY="999"/>
        <w:tblOverlap w:val="never"/>
        <w:tblW w:w="83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76"/>
        <w:gridCol w:w="1419"/>
        <w:gridCol w:w="1605"/>
        <w:gridCol w:w="1313"/>
        <w:gridCol w:w="1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见习基地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补贴时间</w:t>
            </w:r>
          </w:p>
        </w:tc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广元市正浩档案管理有限公司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2023.04-2023.06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李颜蓝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广元市昭化区元坝镇便民服务中心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39400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2023.04-2023.06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蒲进涛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许恒瑞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廖紫薇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广元市昭化区中小企业创新创业服务中心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22326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2023.01-2023.07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广元市昭化区虎跳镇丁家小学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2023.04-2023.06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张乃武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广元市昭化区残疾人康复中心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2023.04-2023.05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王铭炜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广元市昭化区国防动员事务中心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2023.04-2023.06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陈薪悦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广元市昭化区政务服务和公共资源交易服务中心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2023.04-2023.06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广元市昭化区射箭镇便民服务中心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2023.04-2023.06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胡肖芳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广元市昭化区人民医院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36244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2022.12-2023.6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仲彦灵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伍绘锦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广元市昭化区商务服务中心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17336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2023.01-2023.06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广元市昭化区市场监督事务中心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28270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2023.01-2023.06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韩银堰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广元市昭化区防灾减灾应急指挥保障中心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11538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2023.04-2023.06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李雁君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广元市昭化区目标绩效事务中心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2023.03-2023.06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广元市昭化区卫子镇便民服务中心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32078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2023.04-2023.06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肖艺青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广元市昭化区就业培训中心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28467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2022.12-2023.4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张俞庆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黄宝莲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35D0B"/>
    <w:rsid w:val="410C1B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2023-07-26T03:43:21Z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