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15377425"/>
      <w:bookmarkStart w:id="4" w:name="_Toc15377193"/>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598"/>
      <w:bookmarkStart w:id="7" w:name="_Toc15396476"/>
      <w:bookmarkStart w:id="8" w:name="_Toc15377194"/>
      <w:bookmarkStart w:id="9" w:name="_Toc15378442"/>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宋体" w:eastAsia="方正小标宋简体"/>
          <w:color w:val="000000"/>
          <w:sz w:val="72"/>
          <w:szCs w:val="72"/>
          <w:lang w:eastAsia="zh-CN"/>
        </w:rPr>
        <w:t>广元市昭化区财政</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局</w:t>
      </w:r>
      <w:r>
        <w:rPr>
          <w:rFonts w:hint="eastAsia" w:ascii="方正小标宋简体" w:hAnsi="宋体" w:eastAsia="方正小标宋简体"/>
          <w:color w:val="000000"/>
          <w:sz w:val="72"/>
          <w:szCs w:val="72"/>
        </w:rPr>
        <w:t>部门决算</w:t>
      </w:r>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hint="eastAsia"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2"/>
      </w:pPr>
    </w:p>
    <w:p>
      <w:pPr>
        <w:pStyle w:val="11"/>
        <w:rPr>
          <w:color w:val="auto"/>
          <w:highlight w:val="none"/>
        </w:rPr>
      </w:pPr>
      <w:r>
        <w:rPr>
          <w:rFonts w:hint="eastAsia"/>
        </w:rPr>
        <w:t>公开时间：</w:t>
      </w:r>
      <w:r>
        <w:t>202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**************************************6三、</w:t>
      </w:r>
      <w:r>
        <w:rPr>
          <w:rFonts w:hint="eastAsia" w:asciiTheme="minorEastAsia" w:hAnsiTheme="minorEastAsia" w:eastAsiaTheme="minorEastAsia" w:cstheme="minorEastAsia"/>
          <w:sz w:val="24"/>
          <w:szCs w:val="24"/>
        </w:rPr>
        <w:t>机构设置</w:t>
      </w:r>
      <w:r>
        <w:rPr>
          <w:rFonts w:hint="eastAsia"/>
          <w:color w:val="auto"/>
          <w:sz w:val="24"/>
          <w:highlight w:val="none"/>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before="0" w:line="440" w:lineRule="exact"/>
        <w:jc w:val="left"/>
        <w:textAlignment w:val="auto"/>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************************************12</w:t>
      </w:r>
    </w:p>
    <w:p>
      <w:pPr>
        <w:pStyle w:val="12"/>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********************************************12</w:t>
      </w:r>
    </w:p>
    <w:p>
      <w:pPr>
        <w:pStyle w:val="12"/>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********************************************13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****************************13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************************14</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****************************19</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预算绩效管理情况********************************************19</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************************************19</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**************************************************21</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******************************************************24</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******************************************************27</w:t>
      </w:r>
      <w:bookmarkStart w:id="67" w:name="_GoBack"/>
      <w:bookmarkEnd w:id="67"/>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6"/>
          <w:rFonts w:hint="eastAsia" w:ascii="黑体" w:hAnsi="黑体" w:eastAsia="黑体"/>
          <w:b w:val="0"/>
          <w:bCs w:val="0"/>
          <w:color w:val="auto"/>
          <w:highlight w:val="none"/>
          <w:lang w:eastAsia="zh-CN"/>
        </w:rPr>
      </w:pPr>
      <w:bookmarkStart w:id="14" w:name="_Toc15377197"/>
      <w:bookmarkStart w:id="15"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1、</w:t>
      </w:r>
      <w:r>
        <w:rPr>
          <w:rFonts w:hint="default" w:ascii="Times New Roman" w:hAnsi="Times New Roman" w:eastAsia="FangSong_GB2312" w:cs="Times New Roman"/>
          <w:color w:val="000000"/>
          <w:kern w:val="2"/>
          <w:sz w:val="32"/>
          <w:szCs w:val="32"/>
        </w:rPr>
        <w:t>拟订和执行全区财政、税收的发展规划、政策和改革方案并组织实施。参与宏观经济分析预测和全区重大宏观经济政策的制定。提出运用财税政策实施宏观经济调控和综合平衡全区财力的建议。</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2、</w:t>
      </w:r>
      <w:r>
        <w:rPr>
          <w:rFonts w:hint="default" w:ascii="Times New Roman" w:hAnsi="Times New Roman" w:eastAsia="FangSong_GB2312" w:cs="Times New Roman"/>
          <w:color w:val="000000"/>
          <w:kern w:val="2"/>
          <w:sz w:val="32"/>
          <w:szCs w:val="32"/>
        </w:rPr>
        <w:t>贯彻执行国家财税法律、法规和方针、政策。按照管理权限管理全区税政事项，承办上级要求承担的税政工作。</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3、</w:t>
      </w:r>
      <w:r>
        <w:rPr>
          <w:rFonts w:hint="default" w:ascii="Times New Roman" w:hAnsi="Times New Roman" w:eastAsia="FangSong_GB2312" w:cs="Times New Roman"/>
          <w:color w:val="000000"/>
          <w:kern w:val="2"/>
          <w:sz w:val="32"/>
          <w:szCs w:val="32"/>
        </w:rPr>
        <w:t>承担各项财政收支管理。负责编制年度区级预决算草案并组织实施。受区政府委托，向区人民代表大会报告全区和区级预算及其执行情况，向区人大常委会报告决算。管理区级各项财政收入、预算外资金（包括政府性基金的行政事业性收费）；</w:t>
      </w:r>
      <w:r>
        <w:rPr>
          <w:rFonts w:hint="eastAsia" w:ascii="Times New Roman" w:hAnsi="Times New Roman" w:eastAsia="FangSong_GB2312" w:cs="Times New Roman"/>
          <w:color w:val="000000"/>
          <w:kern w:val="2"/>
          <w:sz w:val="32"/>
          <w:szCs w:val="32"/>
          <w:lang w:eastAsia="zh-CN"/>
        </w:rPr>
        <w:t>参与</w:t>
      </w:r>
      <w:r>
        <w:rPr>
          <w:rFonts w:hint="default" w:ascii="Times New Roman" w:hAnsi="Times New Roman" w:eastAsia="FangSong_GB2312" w:cs="Times New Roman"/>
          <w:color w:val="000000"/>
          <w:kern w:val="2"/>
          <w:sz w:val="32"/>
          <w:szCs w:val="32"/>
        </w:rPr>
        <w:t>组织制定</w:t>
      </w:r>
      <w:r>
        <w:rPr>
          <w:rFonts w:hint="eastAsia" w:ascii="Times New Roman" w:hAnsi="Times New Roman" w:eastAsia="FangSong_GB2312" w:cs="Times New Roman"/>
          <w:color w:val="000000"/>
          <w:kern w:val="2"/>
          <w:sz w:val="32"/>
          <w:szCs w:val="32"/>
          <w:lang w:eastAsia="zh-CN"/>
        </w:rPr>
        <w:t>行政、政法</w:t>
      </w:r>
      <w:r>
        <w:rPr>
          <w:rFonts w:hint="default" w:ascii="Times New Roman" w:hAnsi="Times New Roman" w:eastAsia="FangSong_GB2312" w:cs="Times New Roman"/>
          <w:color w:val="000000"/>
          <w:kern w:val="2"/>
          <w:sz w:val="32"/>
          <w:szCs w:val="32"/>
        </w:rPr>
        <w:t>开支标准，负责审核批复部分（单位）的年度预决算。</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highlight w:val="none"/>
        </w:rPr>
      </w:pPr>
      <w:r>
        <w:rPr>
          <w:rFonts w:hint="eastAsia" w:ascii="Times New Roman" w:hAnsi="Times New Roman" w:eastAsia="FangSong_GB2312" w:cs="Times New Roman"/>
          <w:color w:val="000000"/>
          <w:kern w:val="2"/>
          <w:sz w:val="32"/>
          <w:szCs w:val="32"/>
          <w:lang w:val="en-US" w:eastAsia="zh-CN"/>
        </w:rPr>
        <w:t>4、</w:t>
      </w:r>
      <w:r>
        <w:rPr>
          <w:rFonts w:hint="default" w:ascii="Times New Roman" w:hAnsi="Times New Roman" w:eastAsia="FangSong_GB2312" w:cs="Times New Roman"/>
          <w:color w:val="000000"/>
          <w:kern w:val="2"/>
          <w:sz w:val="32"/>
          <w:szCs w:val="32"/>
        </w:rPr>
        <w:t>负责政府非税收入管理。负责制定和组织实施非税收入国库集</w:t>
      </w:r>
      <w:r>
        <w:rPr>
          <w:rFonts w:hint="default" w:ascii="Times New Roman" w:hAnsi="Times New Roman" w:eastAsia="FangSong_GB2312" w:cs="Times New Roman"/>
          <w:color w:val="000000"/>
          <w:kern w:val="2"/>
          <w:sz w:val="32"/>
          <w:szCs w:val="32"/>
          <w:highlight w:val="none"/>
        </w:rPr>
        <w:t>中收缴制度。管理财政票据。</w:t>
      </w:r>
      <w:r>
        <w:rPr>
          <w:rFonts w:hint="eastAsia" w:eastAsia="仿宋_GB2312" w:cs="Times New Roman"/>
          <w:color w:val="000000"/>
          <w:kern w:val="2"/>
          <w:sz w:val="32"/>
          <w:szCs w:val="32"/>
          <w:highlight w:val="none"/>
          <w:lang w:eastAsia="zh-CN"/>
        </w:rPr>
        <w:t>承担彩票管理有关工作</w:t>
      </w:r>
      <w:r>
        <w:rPr>
          <w:rFonts w:hint="default" w:ascii="Times New Roman" w:hAnsi="Times New Roman" w:eastAsia="FangSong_GB2312" w:cs="Times New Roman"/>
          <w:color w:val="000000"/>
          <w:kern w:val="2"/>
          <w:sz w:val="32"/>
          <w:szCs w:val="32"/>
          <w:highlight w:val="none"/>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highlight w:val="none"/>
        </w:rPr>
      </w:pPr>
      <w:r>
        <w:rPr>
          <w:rFonts w:hint="eastAsia" w:ascii="Times New Roman" w:hAnsi="Times New Roman" w:eastAsia="FangSong_GB2312" w:cs="Times New Roman"/>
          <w:color w:val="000000"/>
          <w:kern w:val="2"/>
          <w:sz w:val="32"/>
          <w:szCs w:val="32"/>
          <w:highlight w:val="none"/>
          <w:lang w:val="en-US" w:eastAsia="zh-CN"/>
        </w:rPr>
        <w:t>5、</w:t>
      </w:r>
      <w:r>
        <w:rPr>
          <w:rFonts w:hint="default" w:ascii="Times New Roman" w:hAnsi="Times New Roman" w:eastAsia="FangSong_GB2312" w:cs="Times New Roman"/>
          <w:color w:val="000000"/>
          <w:kern w:val="2"/>
          <w:sz w:val="32"/>
          <w:szCs w:val="32"/>
          <w:highlight w:val="none"/>
        </w:rPr>
        <w:t>制定全区国库管理制度、国库集中收付制度，指导和监督国库业</w:t>
      </w:r>
      <w:r>
        <w:rPr>
          <w:rFonts w:hint="eastAsia" w:ascii="Times New Roman" w:hAnsi="Times New Roman" w:eastAsia="FangSong_GB2312" w:cs="Times New Roman"/>
          <w:color w:val="000000"/>
          <w:kern w:val="2"/>
          <w:sz w:val="32"/>
          <w:szCs w:val="32"/>
          <w:highlight w:val="none"/>
          <w:lang w:eastAsia="zh-CN"/>
        </w:rPr>
        <w:t>务</w:t>
      </w:r>
      <w:r>
        <w:rPr>
          <w:rFonts w:hint="default" w:ascii="Times New Roman" w:hAnsi="Times New Roman" w:eastAsia="FangSong_GB2312" w:cs="Times New Roman"/>
          <w:color w:val="000000"/>
          <w:kern w:val="2"/>
          <w:sz w:val="32"/>
          <w:szCs w:val="32"/>
          <w:highlight w:val="none"/>
        </w:rPr>
        <w:t>，组织开展国库现金管理工作。制定政府采购</w:t>
      </w:r>
      <w:r>
        <w:rPr>
          <w:rFonts w:hint="eastAsia" w:ascii="Times New Roman" w:hAnsi="Times New Roman" w:eastAsia="FangSong_GB2312" w:cs="Times New Roman"/>
          <w:color w:val="000000"/>
          <w:kern w:val="2"/>
          <w:sz w:val="32"/>
          <w:szCs w:val="32"/>
          <w:highlight w:val="none"/>
          <w:lang w:eastAsia="zh-CN"/>
        </w:rPr>
        <w:t>管理</w:t>
      </w:r>
      <w:r>
        <w:rPr>
          <w:rFonts w:hint="default" w:ascii="Times New Roman" w:hAnsi="Times New Roman" w:eastAsia="FangSong_GB2312" w:cs="Times New Roman"/>
          <w:color w:val="000000"/>
          <w:kern w:val="2"/>
          <w:sz w:val="32"/>
          <w:szCs w:val="32"/>
          <w:highlight w:val="none"/>
        </w:rPr>
        <w:t>制度，监督管理全区政府采购工作。</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6、</w:t>
      </w:r>
      <w:r>
        <w:rPr>
          <w:rFonts w:hint="default" w:ascii="Times New Roman" w:hAnsi="Times New Roman" w:eastAsia="FangSong_GB2312" w:cs="Times New Roman"/>
          <w:color w:val="000000"/>
          <w:kern w:val="2"/>
          <w:sz w:val="32"/>
          <w:szCs w:val="32"/>
        </w:rPr>
        <w:t>负责制定行政事业单位国有资产管理制度、办法，并负责组织实施和监督检查。会同相关部门负责区级行政事业单位国有资产管理。</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7、</w:t>
      </w:r>
      <w:r>
        <w:rPr>
          <w:rFonts w:hint="default" w:ascii="Times New Roman" w:hAnsi="Times New Roman" w:eastAsia="FangSong_GB2312" w:cs="Times New Roman"/>
          <w:color w:val="000000"/>
          <w:kern w:val="2"/>
          <w:sz w:val="32"/>
          <w:szCs w:val="32"/>
        </w:rPr>
        <w:t>审核和汇总编制全区国有资本经营预决算草案，制订国有资本经营预算的制度和办法。负责监督区级机关国有资产经营收益收缴工作。组织实施企业财务制度，拟订</w:t>
      </w:r>
      <w:r>
        <w:rPr>
          <w:rFonts w:hint="eastAsia" w:ascii="Times New Roman" w:hAnsi="Times New Roman" w:eastAsia="FangSong_GB2312" w:cs="Times New Roman"/>
          <w:color w:val="000000"/>
          <w:kern w:val="2"/>
          <w:sz w:val="32"/>
          <w:szCs w:val="32"/>
          <w:lang w:eastAsia="zh-CN"/>
        </w:rPr>
        <w:t>区属国有企业</w:t>
      </w:r>
      <w:r>
        <w:rPr>
          <w:rFonts w:hint="default" w:ascii="Times New Roman" w:hAnsi="Times New Roman" w:eastAsia="FangSong_GB2312" w:cs="Times New Roman"/>
          <w:color w:val="000000"/>
          <w:kern w:val="2"/>
          <w:sz w:val="32"/>
          <w:szCs w:val="32"/>
        </w:rPr>
        <w:t>国有资产管理制度</w:t>
      </w:r>
      <w:r>
        <w:rPr>
          <w:rFonts w:hint="eastAsia" w:ascii="Times New Roman" w:hAnsi="Times New Roman" w:eastAsia="FangSong_GB2312" w:cs="Times New Roman"/>
          <w:color w:val="000000"/>
          <w:kern w:val="2"/>
          <w:sz w:val="32"/>
          <w:szCs w:val="32"/>
          <w:lang w:eastAsia="zh-CN"/>
        </w:rPr>
        <w:t>并组织实施</w:t>
      </w:r>
      <w:r>
        <w:rPr>
          <w:rFonts w:hint="default" w:ascii="Times New Roman" w:hAnsi="Times New Roman" w:eastAsia="FangSong_GB2312" w:cs="Times New Roman"/>
          <w:color w:val="000000"/>
          <w:kern w:val="2"/>
          <w:sz w:val="32"/>
          <w:szCs w:val="32"/>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8、</w:t>
      </w:r>
      <w:r>
        <w:rPr>
          <w:rFonts w:hint="default" w:ascii="Times New Roman" w:hAnsi="Times New Roman" w:eastAsia="FangSong_GB2312" w:cs="Times New Roman"/>
          <w:color w:val="000000"/>
          <w:kern w:val="2"/>
          <w:sz w:val="32"/>
          <w:szCs w:val="32"/>
        </w:rPr>
        <w:t>参与拟订政府性建设投资的有关政策，制定基本建设财务制度，负责投资评审管理工作。负责有关政策性补贴和专项储备资金财政管理工作。</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9、</w:t>
      </w:r>
      <w:r>
        <w:rPr>
          <w:rFonts w:hint="default" w:ascii="Times New Roman" w:hAnsi="Times New Roman" w:eastAsia="FangSong_GB2312" w:cs="Times New Roman"/>
          <w:color w:val="000000"/>
          <w:kern w:val="2"/>
          <w:sz w:val="32"/>
          <w:szCs w:val="32"/>
        </w:rPr>
        <w:t>负责管理全区社会保障和就业及医疗卫生支出，拟订社会保障资金（基金）的财务管理制度，编制全区社会保障预决算草案。</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10、</w:t>
      </w:r>
      <w:r>
        <w:rPr>
          <w:rFonts w:hint="default" w:ascii="Times New Roman" w:hAnsi="Times New Roman" w:eastAsia="FangSong_GB2312" w:cs="Times New Roman"/>
          <w:color w:val="000000"/>
          <w:kern w:val="2"/>
          <w:sz w:val="32"/>
          <w:szCs w:val="32"/>
        </w:rPr>
        <w:t>执行政府债务管理制度和政策，制定具体管理办法，管理政府债务，防范财政风险。管理外国政府和国际金融机构贷（赠）款项目的有关业务。</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11、</w:t>
      </w:r>
      <w:r>
        <w:rPr>
          <w:rFonts w:hint="default" w:ascii="Times New Roman" w:hAnsi="Times New Roman" w:eastAsia="FangSong_GB2312" w:cs="Times New Roman"/>
          <w:color w:val="000000"/>
          <w:kern w:val="2"/>
          <w:sz w:val="32"/>
          <w:szCs w:val="32"/>
        </w:rPr>
        <w:t>负责管理全区会计工作，贯彻实施国家统一的会计法律法规和会计制度。指导会计人才队伍建设有关工作，按规定承担会计专业技术资格管理工作。管理全区会计人员的考试和业务培训。</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lang w:val="en-US" w:eastAsia="zh-CN"/>
        </w:rPr>
      </w:pPr>
      <w:r>
        <w:rPr>
          <w:rFonts w:hint="eastAsia" w:ascii="Times New Roman" w:hAnsi="Times New Roman" w:eastAsia="FangSong_GB2312" w:cs="Times New Roman"/>
          <w:color w:val="000000"/>
          <w:kern w:val="2"/>
          <w:sz w:val="32"/>
          <w:szCs w:val="32"/>
          <w:lang w:val="en-US" w:eastAsia="zh-CN"/>
        </w:rPr>
        <w:t>12、</w:t>
      </w:r>
      <w:r>
        <w:rPr>
          <w:rFonts w:hint="default" w:ascii="Times New Roman" w:hAnsi="Times New Roman" w:eastAsia="FangSong_GB2312" w:cs="Times New Roman"/>
          <w:color w:val="000000"/>
          <w:kern w:val="2"/>
          <w:sz w:val="32"/>
          <w:szCs w:val="32"/>
        </w:rPr>
        <w:t>负责财政资金绩效评价工作。</w:t>
      </w:r>
      <w:r>
        <w:rPr>
          <w:rFonts w:hint="eastAsia" w:ascii="Times New Roman" w:hAnsi="Times New Roman" w:eastAsia="FangSong_GB2312" w:cs="Times New Roman"/>
          <w:color w:val="000000"/>
          <w:kern w:val="2"/>
          <w:sz w:val="32"/>
          <w:szCs w:val="32"/>
          <w:lang w:val="en-US" w:eastAsia="zh-CN"/>
        </w:rPr>
        <w:t>牵头建立绩效管理制度机制。承担全面实施预算绩效管理有关工作。</w:t>
      </w:r>
      <w:r>
        <w:rPr>
          <w:rFonts w:hint="default" w:ascii="Times New Roman" w:hAnsi="Times New Roman" w:eastAsia="FangSong_GB2312" w:cs="Times New Roman"/>
          <w:color w:val="000000"/>
          <w:kern w:val="2"/>
          <w:sz w:val="32"/>
          <w:szCs w:val="32"/>
        </w:rPr>
        <w:t>监督检查财税法规、政策的执行情况，依法查处违反财经纪律的行为。</w:t>
      </w:r>
      <w:r>
        <w:rPr>
          <w:rFonts w:hint="eastAsia" w:ascii="Times New Roman" w:hAnsi="Times New Roman" w:eastAsia="FangSong_GB2312" w:cs="Times New Roman"/>
          <w:color w:val="000000"/>
          <w:kern w:val="2"/>
          <w:sz w:val="32"/>
          <w:szCs w:val="32"/>
          <w:lang w:val="en-US" w:eastAsia="zh-CN"/>
        </w:rPr>
        <w:t xml:space="preserve">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13、</w:t>
      </w:r>
      <w:r>
        <w:rPr>
          <w:rFonts w:hint="default" w:ascii="Times New Roman" w:hAnsi="Times New Roman" w:eastAsia="FangSong_GB2312" w:cs="Times New Roman"/>
          <w:color w:val="000000"/>
          <w:kern w:val="2"/>
          <w:sz w:val="32"/>
          <w:szCs w:val="32"/>
        </w:rPr>
        <w:t>负责财政宣传和财政信息管理系统工作。负责全区财政干部业务培训。</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14、</w:t>
      </w:r>
      <w:r>
        <w:rPr>
          <w:rFonts w:hint="default" w:ascii="Times New Roman" w:hAnsi="Times New Roman" w:eastAsia="仿宋_GB2312" w:cs="Times New Roman"/>
          <w:color w:val="000000"/>
          <w:kern w:val="2"/>
          <w:sz w:val="32"/>
          <w:szCs w:val="32"/>
        </w:rPr>
        <w:t>承担区农村综合改革</w:t>
      </w:r>
      <w:r>
        <w:rPr>
          <w:rFonts w:hint="eastAsia" w:ascii="Times New Roman" w:hAnsi="Times New Roman" w:eastAsia="仿宋_GB2312" w:cs="Times New Roman"/>
          <w:color w:val="000000"/>
          <w:kern w:val="2"/>
          <w:sz w:val="32"/>
          <w:szCs w:val="32"/>
          <w:lang w:eastAsia="zh-CN"/>
        </w:rPr>
        <w:t>相关</w:t>
      </w:r>
      <w:r>
        <w:rPr>
          <w:rFonts w:hint="default" w:ascii="Times New Roman" w:hAnsi="Times New Roman" w:eastAsia="仿宋_GB2312" w:cs="Times New Roman"/>
          <w:color w:val="000000"/>
          <w:kern w:val="2"/>
          <w:sz w:val="32"/>
          <w:szCs w:val="32"/>
        </w:rPr>
        <w:t>工作</w:t>
      </w:r>
      <w:r>
        <w:rPr>
          <w:rFonts w:hint="default" w:ascii="Times New Roman" w:hAnsi="Times New Roman" w:eastAsia="FangSong_GB2312" w:cs="Times New Roman"/>
          <w:color w:val="000000"/>
          <w:kern w:val="2"/>
          <w:sz w:val="32"/>
          <w:szCs w:val="32"/>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FangSong_GB2312" w:cs="Times New Roman"/>
          <w:color w:val="000000"/>
          <w:kern w:val="2"/>
          <w:sz w:val="32"/>
          <w:szCs w:val="32"/>
        </w:rPr>
      </w:pPr>
      <w:r>
        <w:rPr>
          <w:rFonts w:hint="eastAsia" w:ascii="Times New Roman" w:hAnsi="Times New Roman" w:eastAsia="FangSong_GB2312" w:cs="Times New Roman"/>
          <w:color w:val="000000"/>
          <w:kern w:val="2"/>
          <w:sz w:val="32"/>
          <w:szCs w:val="32"/>
          <w:lang w:val="en-US" w:eastAsia="zh-CN"/>
        </w:rPr>
        <w:t>15、</w:t>
      </w:r>
      <w:r>
        <w:rPr>
          <w:rFonts w:hint="default" w:ascii="Times New Roman" w:hAnsi="Times New Roman" w:eastAsia="FangSong_GB2312" w:cs="Times New Roman"/>
          <w:color w:val="000000"/>
          <w:kern w:val="2"/>
          <w:sz w:val="32"/>
          <w:szCs w:val="32"/>
        </w:rPr>
        <w:t>承担区政府公布的有关行政审批事项。</w:t>
      </w:r>
    </w:p>
    <w:p>
      <w:pPr>
        <w:pStyle w:val="13"/>
        <w:keepNext w:val="0"/>
        <w:keepLines w:val="0"/>
        <w:pageBreakBefore w:val="0"/>
        <w:widowControl/>
        <w:suppressLineNumbers w:val="0"/>
        <w:kinsoku/>
        <w:wordWrap/>
        <w:overflowPunct/>
        <w:topLinePunct w:val="0"/>
        <w:autoSpaceDE/>
        <w:autoSpaceDN/>
        <w:bidi w:val="0"/>
        <w:adjustRightInd/>
        <w:snapToGrid/>
        <w:spacing w:before="120" w:beforeLines="0" w:beforeAutospacing="0" w:after="0" w:afterLines="0" w:afterAutospacing="0" w:line="600" w:lineRule="exact"/>
        <w:ind w:left="0" w:right="0" w:firstLine="660"/>
        <w:jc w:val="left"/>
        <w:textAlignment w:val="auto"/>
        <w:rPr>
          <w:rFonts w:hint="eastAsia"/>
        </w:rPr>
      </w:pPr>
      <w:r>
        <w:rPr>
          <w:rFonts w:hint="eastAsia" w:ascii="Times New Roman" w:hAnsi="Times New Roman" w:eastAsia="FangSong_GB2312" w:cs="Times New Roman"/>
          <w:color w:val="000000"/>
          <w:kern w:val="2"/>
          <w:sz w:val="32"/>
          <w:szCs w:val="32"/>
          <w:lang w:val="en-US" w:eastAsia="zh-CN"/>
        </w:rPr>
        <w:t>16、</w:t>
      </w:r>
      <w:r>
        <w:rPr>
          <w:rFonts w:hint="default" w:ascii="Times New Roman" w:hAnsi="Times New Roman" w:eastAsia="FangSong_GB2312" w:cs="Times New Roman"/>
          <w:color w:val="000000"/>
          <w:kern w:val="2"/>
          <w:sz w:val="32"/>
          <w:szCs w:val="32"/>
        </w:rPr>
        <w:t>承办区政府交办的其他事项。</w:t>
      </w:r>
    </w:p>
    <w:p>
      <w:pPr>
        <w:pStyle w:val="4"/>
        <w:numPr>
          <w:ilvl w:val="0"/>
          <w:numId w:val="0"/>
        </w:numPr>
        <w:ind w:firstLine="640" w:firstLineChars="200"/>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仿宋_GB2312" w:cs="Times New Roman"/>
          <w:bCs/>
          <w:color w:val="auto"/>
          <w:kern w:val="0"/>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（一）坚持做大增量盘活存量资金，积极支持产业融合发展。</w:t>
      </w:r>
      <w:r>
        <w:rPr>
          <w:rFonts w:hint="default" w:ascii="Times New Roman" w:hAnsi="Times New Roman" w:eastAsia="仿宋_GB2312" w:cs="Times New Roman"/>
          <w:b/>
          <w:bCs w:val="0"/>
          <w:color w:val="auto"/>
          <w:kern w:val="0"/>
          <w:sz w:val="32"/>
          <w:szCs w:val="32"/>
          <w:lang w:val="en-US" w:eastAsia="zh-CN" w:bidi="ar-SA"/>
        </w:rPr>
        <w:t>一是</w:t>
      </w:r>
      <w:r>
        <w:rPr>
          <w:rFonts w:hint="default" w:ascii="Times New Roman" w:hAnsi="Times New Roman" w:eastAsia="仿宋_GB2312" w:cs="Times New Roman"/>
          <w:bCs/>
          <w:color w:val="auto"/>
          <w:kern w:val="0"/>
          <w:sz w:val="32"/>
          <w:szCs w:val="32"/>
          <w:lang w:val="en-US" w:eastAsia="zh-CN" w:bidi="ar-SA"/>
        </w:rPr>
        <w:t>大力涵养税源。逗硬落实减税降费11233万元，其中降费347万元，降低企业负担；安排招商引资经费315万元招引入驻企业，引入企业57个，切实解决企业经营困难和支持区内企业做大做强，努力涵养税源。</w:t>
      </w:r>
      <w:r>
        <w:rPr>
          <w:rFonts w:hint="default" w:ascii="Times New Roman" w:hAnsi="Times New Roman" w:eastAsia="仿宋_GB2312" w:cs="Times New Roman"/>
          <w:b/>
          <w:bCs w:val="0"/>
          <w:color w:val="auto"/>
          <w:kern w:val="0"/>
          <w:sz w:val="32"/>
          <w:szCs w:val="32"/>
          <w:lang w:val="en-US" w:eastAsia="zh-CN" w:bidi="ar-SA"/>
        </w:rPr>
        <w:t>二是</w:t>
      </w:r>
      <w:r>
        <w:rPr>
          <w:rFonts w:hint="default" w:ascii="Times New Roman" w:hAnsi="Times New Roman" w:eastAsia="仿宋_GB2312" w:cs="Times New Roman"/>
          <w:bCs/>
          <w:color w:val="auto"/>
          <w:kern w:val="0"/>
          <w:sz w:val="32"/>
          <w:szCs w:val="32"/>
          <w:lang w:val="en-US" w:eastAsia="zh-CN" w:bidi="ar-SA"/>
        </w:rPr>
        <w:t>全面加强收入征管。深化综合治税，强化重点税源管控和非税收入征管，严格以票管收、票款同行，加强砂石等国有资产资源转化，一般公共预算收入非税收入实现18498万元，超年初目标任务78.6%。地方一般公共预算收入首次突破3亿元大关。抢抓政策机遇，深入研究政策和投资方向，加强债券资金争取专项培训，强化经费保障和资金争取管理，突出单个新增和总额贡献奖惩，坚持月通报、季考核，压实部门主体责任，全年共到位上级财政资金25.65亿元。</w:t>
      </w:r>
      <w:r>
        <w:rPr>
          <w:rFonts w:hint="default" w:ascii="Times New Roman" w:hAnsi="Times New Roman" w:eastAsia="仿宋_GB2312" w:cs="Times New Roman"/>
          <w:b/>
          <w:bCs w:val="0"/>
          <w:color w:val="auto"/>
          <w:kern w:val="0"/>
          <w:sz w:val="32"/>
          <w:szCs w:val="32"/>
          <w:lang w:val="en-US" w:eastAsia="zh-CN" w:bidi="ar-SA"/>
        </w:rPr>
        <w:t>三是</w:t>
      </w:r>
      <w:r>
        <w:rPr>
          <w:rFonts w:hint="default" w:ascii="Times New Roman" w:hAnsi="Times New Roman" w:eastAsia="仿宋_GB2312" w:cs="Times New Roman"/>
          <w:bCs/>
          <w:color w:val="auto"/>
          <w:kern w:val="0"/>
          <w:sz w:val="32"/>
          <w:szCs w:val="32"/>
          <w:lang w:val="en-US" w:eastAsia="zh-CN" w:bidi="ar-SA"/>
        </w:rPr>
        <w:t>全面清理盘活存量资金。强化财政结转资金管理，加大结转结余资金与年度预算统筹力度，共清理2019年及以前年度部门预算和财政专户存量资金36289万元。实行分类管理、统筹安排、精准使用，其中收回22758万元，结转下年单位继续使用13531万元，主要用于稳增长、惠民生等经济社会发展的重要领域和关键环节。</w:t>
      </w:r>
      <w:r>
        <w:rPr>
          <w:rFonts w:hint="default" w:ascii="Times New Roman" w:hAnsi="Times New Roman" w:eastAsia="仿宋_GB2312" w:cs="Times New Roman"/>
          <w:b/>
          <w:bCs w:val="0"/>
          <w:color w:val="auto"/>
          <w:kern w:val="0"/>
          <w:sz w:val="32"/>
          <w:szCs w:val="32"/>
          <w:lang w:val="en-US" w:eastAsia="zh-CN" w:bidi="ar-SA"/>
        </w:rPr>
        <w:t>四是</w:t>
      </w:r>
      <w:r>
        <w:rPr>
          <w:rFonts w:hint="default" w:ascii="Times New Roman" w:hAnsi="Times New Roman" w:eastAsia="仿宋_GB2312" w:cs="Times New Roman"/>
          <w:bCs/>
          <w:color w:val="auto"/>
          <w:kern w:val="0"/>
          <w:sz w:val="32"/>
          <w:szCs w:val="32"/>
          <w:lang w:val="en-US" w:eastAsia="zh-CN" w:bidi="ar-SA"/>
        </w:rPr>
        <w:t>支持绿色家居等产业高质量融合发展。大力支持以绿色家居产业为主的工业项目建设,全年安排东西部协作项目经费3900万元（家居产业城项目2000万元）,省级工业发展资金500万元,家居产业城项目政府专项债券资金32800万元,有力支持了省、市重点项目建设。整合资金7843万元,大力改造东部新城基础设施建设。累计整合8600余万元用于省级五星园区创建、清水乡村振兴示范园区建设和面上已建成各类园区巩固提升工作,安排债券资金8000万元支持大蜀道项目建设,全力推动“四城新区”建设。</w:t>
      </w:r>
      <w:r>
        <w:rPr>
          <w:rFonts w:hint="default" w:ascii="Times New Roman" w:hAnsi="Times New Roman" w:eastAsia="仿宋_GB2312" w:cs="Times New Roman"/>
          <w:b/>
          <w:bCs w:val="0"/>
          <w:color w:val="auto"/>
          <w:kern w:val="0"/>
          <w:sz w:val="32"/>
          <w:szCs w:val="32"/>
          <w:lang w:val="en-US" w:eastAsia="zh-CN" w:bidi="ar-SA"/>
        </w:rPr>
        <w:t>五是</w:t>
      </w:r>
      <w:r>
        <w:rPr>
          <w:rFonts w:hint="default" w:ascii="Times New Roman" w:hAnsi="Times New Roman" w:eastAsia="仿宋_GB2312" w:cs="Times New Roman"/>
          <w:bCs/>
          <w:color w:val="auto"/>
          <w:kern w:val="0"/>
          <w:sz w:val="32"/>
          <w:szCs w:val="32"/>
          <w:lang w:val="en-US" w:eastAsia="zh-CN" w:bidi="ar-SA"/>
        </w:rPr>
        <w:t>支持城乡一体发展。加大城市开发建设投入力度，投入上级专项资金7874万元、一般债券资金3700万元、专项债券2000万元、落实市场化融资30000万元，支持完善城区农贸市场改造、房地产项目基础设施配套、污水处理厂建设和污水管网改造等基础设施建设，完成3个棚户区和7个老旧小区改造、5个污水处理站等城镇基础设施项目建设。调整财政支出结构，大力支持乡村振兴战略实施,本级补充乡村振兴农业产业发展贷款风险金500万元,省级奖励风险补偿金438万元，支持农村人居环境整治“三大革命”和城乡基础设施提升，努力提高公共服务均等化水平。</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FangSong_GB2312" w:cs="Times New Roman"/>
          <w:color w:val="000000"/>
          <w:kern w:val="2"/>
          <w:sz w:val="32"/>
          <w:szCs w:val="32"/>
        </w:rPr>
      </w:pPr>
      <w:r>
        <w:rPr>
          <w:rFonts w:hint="default" w:ascii="Times New Roman" w:hAnsi="Times New Roman" w:eastAsia="楷体_GB2312" w:cs="Times New Roman"/>
          <w:b/>
          <w:bCs/>
          <w:color w:val="auto"/>
          <w:kern w:val="2"/>
          <w:sz w:val="32"/>
          <w:szCs w:val="32"/>
          <w:lang w:val="en-US" w:eastAsia="zh-CN" w:bidi="ar-SA"/>
        </w:rPr>
        <w:t>（二）坚持勤政为民过紧日子，调整支出结构保障民生。</w:t>
      </w:r>
      <w:r>
        <w:rPr>
          <w:rFonts w:hint="default" w:ascii="Times New Roman" w:hAnsi="Times New Roman" w:eastAsia="FangSong_GB2312" w:cs="Times New Roman"/>
          <w:b/>
          <w:bCs/>
          <w:color w:val="000000"/>
          <w:kern w:val="2"/>
          <w:sz w:val="32"/>
          <w:szCs w:val="32"/>
        </w:rPr>
        <w:t>一是</w:t>
      </w:r>
      <w:r>
        <w:rPr>
          <w:rFonts w:hint="default" w:ascii="Times New Roman" w:hAnsi="Times New Roman" w:eastAsia="仿宋_GB2312" w:cs="Times New Roman"/>
          <w:bCs/>
          <w:color w:val="auto"/>
          <w:kern w:val="0"/>
          <w:sz w:val="32"/>
          <w:szCs w:val="32"/>
          <w:lang w:val="en-US" w:eastAsia="zh-CN" w:bidi="ar-SA"/>
        </w:rPr>
        <w:t>全力保障疫情防控。认真履行疫情防控后勤保障职责,强化疫情防控后勤保障管理工作，加强联动协同保障机制、会商机制，主动加强应急和防疫物资储备与监管,做好隔离场所运行监管,确保能对突发事件高效及时应对。年内投入财政资金1295万元，其中用于疫情防控物资采购326万元,新冠疫苗接种异常反应采购设备96万元,核酸检测相关费用185万元,集中留观点费用77万元等。坚持疫情防控资金调度特事特办,为防疫提供了坚强的后勤保障</w:t>
      </w:r>
      <w:r>
        <w:rPr>
          <w:rFonts w:hint="default" w:ascii="Times New Roman" w:hAnsi="Times New Roman" w:eastAsia="FangSong_GB2312" w:cs="Times New Roman"/>
          <w:color w:val="000000"/>
          <w:kern w:val="2"/>
          <w:sz w:val="32"/>
          <w:szCs w:val="32"/>
        </w:rPr>
        <w:t>。</w:t>
      </w:r>
      <w:r>
        <w:rPr>
          <w:rFonts w:hint="default" w:ascii="Times New Roman" w:hAnsi="Times New Roman" w:eastAsia="FangSong_GB2312" w:cs="Times New Roman"/>
          <w:b/>
          <w:bCs/>
          <w:color w:val="000000"/>
          <w:kern w:val="2"/>
          <w:sz w:val="32"/>
          <w:szCs w:val="32"/>
        </w:rPr>
        <w:t>二是</w:t>
      </w:r>
      <w:r>
        <w:rPr>
          <w:rFonts w:hint="default" w:ascii="Times New Roman" w:hAnsi="Times New Roman" w:eastAsia="FangSong_GB2312" w:cs="Times New Roman"/>
          <w:color w:val="000000"/>
          <w:kern w:val="2"/>
          <w:sz w:val="32"/>
          <w:szCs w:val="32"/>
        </w:rPr>
        <w:t>兜牢“三保”底线。足额预算“三保”支出，投入困难群众救助资金4780万元,就业资金1968万元,城乡居民养老保险5560万元，计生卫生相关支出10311万元,优抚对象生活补助等退役军人相关支出2063万元,残疾人民生事业支出388万元,农民工工作站、劳动监察及仲裁等206万元，基本公共卫生服务1477万元，确保中央、省、市各类民生保障足额及时兑现。进一步扎实抓好教育和文化等资金保障,到位直达资金2941万元,发放金额2498万元,惠及教师和学生1.3万余人次,维护了广大人民群众利益。</w:t>
      </w:r>
      <w:r>
        <w:rPr>
          <w:rFonts w:hint="default" w:ascii="Times New Roman" w:hAnsi="Times New Roman" w:eastAsia="FangSong_GB2312" w:cs="Times New Roman"/>
          <w:b/>
          <w:bCs/>
          <w:color w:val="000000"/>
          <w:kern w:val="2"/>
          <w:sz w:val="32"/>
          <w:szCs w:val="32"/>
        </w:rPr>
        <w:t>三是</w:t>
      </w:r>
      <w:r>
        <w:rPr>
          <w:rFonts w:hint="default" w:ascii="Times New Roman" w:hAnsi="Times New Roman" w:eastAsia="FangSong_GB2312" w:cs="Times New Roman"/>
          <w:color w:val="000000"/>
          <w:kern w:val="2"/>
          <w:sz w:val="32"/>
          <w:szCs w:val="32"/>
        </w:rPr>
        <w:t>从严控制一般性支出。坚持 “过紧日子”要求，进一步优化财政支出结构，年初预算大力压减办公费、会议费和“三公”经费。进一步硬化预算约束，制定和执行《广元市昭化区重大经济事项决策实施办法》，切实降低行政成本。</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仿宋_GB2312" w:cs="Times New Roman"/>
          <w:bCs/>
          <w:color w:val="auto"/>
          <w:kern w:val="0"/>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（三）坚持改革创新绩效优先，健全机制提升管理水平。</w:t>
      </w:r>
      <w:r>
        <w:rPr>
          <w:rFonts w:hint="default" w:ascii="Times New Roman" w:hAnsi="Times New Roman" w:eastAsia="仿宋_GB2312" w:cs="Times New Roman"/>
          <w:b/>
          <w:bCs w:val="0"/>
          <w:color w:val="auto"/>
          <w:kern w:val="0"/>
          <w:sz w:val="32"/>
          <w:szCs w:val="32"/>
          <w:lang w:val="en-US" w:eastAsia="zh-CN" w:bidi="ar-SA"/>
        </w:rPr>
        <w:t>一是</w:t>
      </w:r>
      <w:r>
        <w:rPr>
          <w:rFonts w:hint="default" w:ascii="Times New Roman" w:hAnsi="Times New Roman" w:eastAsia="仿宋_GB2312" w:cs="Times New Roman"/>
          <w:bCs/>
          <w:color w:val="auto"/>
          <w:kern w:val="0"/>
          <w:sz w:val="32"/>
          <w:szCs w:val="32"/>
          <w:lang w:val="en-US" w:eastAsia="zh-CN" w:bidi="ar-SA"/>
        </w:rPr>
        <w:t>扎实推进预算管理一体化改革。按照中央、省、市要求，周密部署,全面细致做好一体化系统改革,制定了《广元市昭化区区级国库集中支付业务电子印章管理办法》和《广元市昭化区区级国库集中支付业务电子化管理办法》,实现了电子化支付，确保了新旧系统平稳转换。</w:t>
      </w:r>
      <w:r>
        <w:rPr>
          <w:rFonts w:hint="default" w:ascii="Times New Roman" w:hAnsi="Times New Roman" w:eastAsia="仿宋_GB2312" w:cs="Times New Roman"/>
          <w:b/>
          <w:bCs w:val="0"/>
          <w:color w:val="auto"/>
          <w:kern w:val="0"/>
          <w:sz w:val="32"/>
          <w:szCs w:val="32"/>
          <w:lang w:val="en-US" w:eastAsia="zh-CN" w:bidi="ar-SA"/>
        </w:rPr>
        <w:t>二是</w:t>
      </w:r>
      <w:r>
        <w:rPr>
          <w:rFonts w:hint="default" w:ascii="Times New Roman" w:hAnsi="Times New Roman" w:eastAsia="仿宋_GB2312" w:cs="Times New Roman"/>
          <w:bCs/>
          <w:color w:val="auto"/>
          <w:kern w:val="0"/>
          <w:sz w:val="32"/>
          <w:szCs w:val="32"/>
          <w:lang w:val="en-US" w:eastAsia="zh-CN" w:bidi="ar-SA"/>
        </w:rPr>
        <w:t>全面开展预算绩效管理。完善出台预算绩效目标管理、绩效考核等办法。首次组织开展了“全国第一次自然灾害风险普查经费、家居产业城项目相关经费”等5个项目事前评估，减少资金投入722万元。对10个单位的26个项目事中运行监控进行重点抽查，涉及金额2992万元，取消项目2个。实行自评全覆盖、第三方机构绩效评价项目52个，全年调减、取消低效无效项目资金2445万元，进一步提高了财政资金使用效益。</w:t>
      </w:r>
      <w:r>
        <w:rPr>
          <w:rFonts w:hint="default" w:ascii="Times New Roman" w:hAnsi="Times New Roman" w:eastAsia="仿宋_GB2312" w:cs="Times New Roman"/>
          <w:b/>
          <w:bCs w:val="0"/>
          <w:color w:val="auto"/>
          <w:kern w:val="0"/>
          <w:sz w:val="32"/>
          <w:szCs w:val="32"/>
          <w:lang w:val="en-US" w:eastAsia="zh-CN" w:bidi="ar-SA"/>
        </w:rPr>
        <w:t>三是</w:t>
      </w:r>
      <w:r>
        <w:rPr>
          <w:rFonts w:hint="default" w:ascii="Times New Roman" w:hAnsi="Times New Roman" w:eastAsia="仿宋_GB2312" w:cs="Times New Roman"/>
          <w:bCs/>
          <w:color w:val="auto"/>
          <w:kern w:val="0"/>
          <w:sz w:val="32"/>
          <w:szCs w:val="32"/>
          <w:lang w:val="en-US" w:eastAsia="zh-CN" w:bidi="ar-SA"/>
        </w:rPr>
        <w:t>完成“两项改革”及“后半篇”文章财政工作。健全与区域面积等因素挂钩的财政投入保障机制和报酬增长机制。扎实推进镇村闲置资产盘活工作，创新“六步法”彻底解决账实不符的问题，实行容缺后补解决产权不明的问题，在全市率先创新实施镇级资产“六个一批”、村级资产“五个一批”模式，累计盘活镇闲置资产39617平方米、村闲置资产32636平方米，盘活率均达到100%。</w:t>
      </w:r>
      <w:r>
        <w:rPr>
          <w:rFonts w:hint="default" w:ascii="Times New Roman" w:hAnsi="Times New Roman" w:eastAsia="仿宋_GB2312" w:cs="Times New Roman"/>
          <w:b/>
          <w:bCs w:val="0"/>
          <w:color w:val="auto"/>
          <w:kern w:val="0"/>
          <w:sz w:val="32"/>
          <w:szCs w:val="32"/>
          <w:lang w:val="en-US" w:eastAsia="zh-CN" w:bidi="ar-SA"/>
        </w:rPr>
        <w:t>四是</w:t>
      </w:r>
      <w:r>
        <w:rPr>
          <w:rFonts w:hint="default" w:ascii="Times New Roman" w:hAnsi="Times New Roman" w:eastAsia="仿宋_GB2312" w:cs="Times New Roman"/>
          <w:bCs/>
          <w:color w:val="auto"/>
          <w:kern w:val="0"/>
          <w:sz w:val="32"/>
          <w:szCs w:val="32"/>
          <w:lang w:val="en-US" w:eastAsia="zh-CN" w:bidi="ar-SA"/>
        </w:rPr>
        <w:t>强化财政监督检查。牵头开展“铺张浪费、大手大脚”专项工作整治，以大检查促进大整改,推动纪律作风转变,成立8个财政综合监督检查组,将“铺张浪费、大手大脚”专项查治工作作为财政综合检查的重点,对全区20个单位进行了抽查,发现问题45个,目前已全部整改。通过竞争性谈判选派中介机构对区财政社保专户自建账以来的历年账务进行清查,解决历史遗留问题。</w:t>
      </w:r>
      <w:r>
        <w:rPr>
          <w:rFonts w:hint="default" w:ascii="Times New Roman" w:hAnsi="Times New Roman" w:eastAsia="仿宋_GB2312" w:cs="Times New Roman"/>
          <w:b/>
          <w:bCs w:val="0"/>
          <w:color w:val="auto"/>
          <w:kern w:val="0"/>
          <w:sz w:val="32"/>
          <w:szCs w:val="32"/>
          <w:lang w:val="en-US" w:eastAsia="zh-CN" w:bidi="ar-SA"/>
        </w:rPr>
        <w:t>五是</w:t>
      </w:r>
      <w:r>
        <w:rPr>
          <w:rFonts w:hint="default" w:ascii="Times New Roman" w:hAnsi="Times New Roman" w:eastAsia="仿宋_GB2312" w:cs="Times New Roman"/>
          <w:bCs/>
          <w:color w:val="auto"/>
          <w:kern w:val="0"/>
          <w:sz w:val="32"/>
          <w:szCs w:val="32"/>
          <w:lang w:val="en-US" w:eastAsia="zh-CN" w:bidi="ar-SA"/>
        </w:rPr>
        <w:t>建立高效优质财评。严格执行评审制度和评审流程，强化“阳光财评”，积极探索符合政府采购法流程的中介机构选取方式，加强对中介机构的监管，进一步提升财评质效。2021年全年送审175个项目，送审金额104842万元，审定金额994467万元，审减5396万元，审减率5.15%。</w:t>
      </w:r>
      <w:r>
        <w:rPr>
          <w:rFonts w:hint="eastAsia" w:ascii="Times New Roman" w:hAnsi="Times New Roman" w:eastAsia="仿宋_GB2312" w:cs="Times New Roman"/>
          <w:b/>
          <w:bCs w:val="0"/>
          <w:color w:val="auto"/>
          <w:kern w:val="0"/>
          <w:sz w:val="32"/>
          <w:szCs w:val="32"/>
          <w:lang w:val="en-US" w:eastAsia="zh-CN" w:bidi="ar-SA"/>
        </w:rPr>
        <w:t>六</w:t>
      </w:r>
      <w:r>
        <w:rPr>
          <w:rFonts w:hint="default" w:ascii="Times New Roman" w:hAnsi="Times New Roman" w:eastAsia="仿宋_GB2312" w:cs="Times New Roman"/>
          <w:b/>
          <w:bCs w:val="0"/>
          <w:color w:val="auto"/>
          <w:kern w:val="0"/>
          <w:sz w:val="32"/>
          <w:szCs w:val="32"/>
          <w:lang w:val="en-US" w:eastAsia="zh-CN" w:bidi="ar-SA"/>
        </w:rPr>
        <w:t>是</w:t>
      </w:r>
      <w:r>
        <w:rPr>
          <w:rFonts w:hint="default" w:ascii="Times New Roman" w:hAnsi="Times New Roman" w:eastAsia="仿宋_GB2312" w:cs="Times New Roman"/>
          <w:bCs/>
          <w:color w:val="auto"/>
          <w:kern w:val="0"/>
          <w:sz w:val="32"/>
          <w:szCs w:val="32"/>
          <w:lang w:val="en-US" w:eastAsia="zh-CN" w:bidi="ar-SA"/>
        </w:rPr>
        <w:t>深入推进国资国企改革。实施国企改革三年行动，加大出借资金清收力度，整改收回资金3.03亿元。加快现代企业制度建设，重组企业框架，编制行权清单，规范企业决策和经营管理，建立健全薪酬考核分配和激励机制，完善经营业绩考核机制，确保国有资产保值增值，我区国有资产总量达到167亿元、净资产87亿元。2021年，国有资产总额、营业收入、净利润分别增长2.35、5.07、2.72倍。</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3" w:firstLineChars="200"/>
        <w:jc w:val="both"/>
        <w:textAlignment w:val="auto"/>
        <w:rPr>
          <w:rFonts w:hint="default" w:ascii="Times New Roman" w:hAnsi="Times New Roman" w:eastAsia="仿宋_GB2312" w:cs="Times New Roman"/>
          <w:bCs/>
          <w:color w:val="auto"/>
          <w:kern w:val="0"/>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（四）坚持财金互动保障重点，积极防控财政债务风险。</w:t>
      </w:r>
      <w:r>
        <w:rPr>
          <w:rFonts w:hint="default" w:ascii="Times New Roman" w:hAnsi="Times New Roman" w:eastAsia="仿宋_GB2312" w:cs="Times New Roman"/>
          <w:b/>
          <w:bCs w:val="0"/>
          <w:color w:val="auto"/>
          <w:kern w:val="0"/>
          <w:sz w:val="32"/>
          <w:szCs w:val="32"/>
          <w:lang w:val="en-US" w:eastAsia="zh-CN" w:bidi="ar-SA"/>
        </w:rPr>
        <w:t>一是</w:t>
      </w:r>
      <w:r>
        <w:rPr>
          <w:rFonts w:hint="default" w:ascii="Times New Roman" w:hAnsi="Times New Roman" w:eastAsia="仿宋_GB2312" w:cs="Times New Roman"/>
          <w:bCs/>
          <w:color w:val="auto"/>
          <w:kern w:val="0"/>
          <w:sz w:val="32"/>
          <w:szCs w:val="32"/>
          <w:lang w:val="en-US" w:eastAsia="zh-CN" w:bidi="ar-SA"/>
        </w:rPr>
        <w:t>强化财政金融互动。充分发挥财政资金撬动作用，通过贴息、贴担保费、统筹运用政府投资引导基金等方式引导金融机构放贷、承保，有效解决融资难融资贵问题，通过PPP模式稳步推进元柳工业园建设。用好用活乡村振兴贷款风险补偿金和“政担银企户”等政策，大力推进生猪、果蔬等主导产业提质增效。</w:t>
      </w:r>
      <w:r>
        <w:rPr>
          <w:rFonts w:hint="default" w:ascii="Times New Roman" w:hAnsi="Times New Roman" w:eastAsia="仿宋_GB2312" w:cs="Times New Roman"/>
          <w:b/>
          <w:bCs w:val="0"/>
          <w:color w:val="auto"/>
          <w:kern w:val="0"/>
          <w:sz w:val="32"/>
          <w:szCs w:val="32"/>
          <w:lang w:val="en-US" w:eastAsia="zh-CN" w:bidi="ar-SA"/>
        </w:rPr>
        <w:t>二是</w:t>
      </w:r>
      <w:r>
        <w:rPr>
          <w:rFonts w:hint="default" w:ascii="Times New Roman" w:hAnsi="Times New Roman" w:eastAsia="仿宋_GB2312" w:cs="Times New Roman"/>
          <w:bCs/>
          <w:color w:val="auto"/>
          <w:kern w:val="0"/>
          <w:sz w:val="32"/>
          <w:szCs w:val="32"/>
          <w:lang w:val="en-US" w:eastAsia="zh-CN" w:bidi="ar-SA"/>
        </w:rPr>
        <w:t>筑牢债务风险底线。建立完善债务风险防控机制，制定系列管控办法，严格政府投资建设项目管理，加强财政监督和综合目标考核，常态化开展各类隐性债务检查，严肃追责问责，坚决遏制隐性债务增量，守牢不发生系统性风险的底线。</w:t>
      </w:r>
      <w:r>
        <w:rPr>
          <w:rFonts w:hint="default" w:ascii="Times New Roman" w:hAnsi="Times New Roman" w:eastAsia="仿宋_GB2312" w:cs="Times New Roman"/>
          <w:b/>
          <w:bCs w:val="0"/>
          <w:color w:val="auto"/>
          <w:kern w:val="0"/>
          <w:sz w:val="32"/>
          <w:szCs w:val="32"/>
          <w:lang w:val="en-US" w:eastAsia="zh-CN" w:bidi="ar-SA"/>
        </w:rPr>
        <w:t>三是</w:t>
      </w:r>
      <w:r>
        <w:rPr>
          <w:rFonts w:hint="default" w:ascii="Times New Roman" w:hAnsi="Times New Roman" w:eastAsia="仿宋_GB2312" w:cs="Times New Roman"/>
          <w:bCs/>
          <w:color w:val="auto"/>
          <w:kern w:val="0"/>
          <w:sz w:val="32"/>
          <w:szCs w:val="32"/>
          <w:lang w:val="en-US" w:eastAsia="zh-CN" w:bidi="ar-SA"/>
        </w:rPr>
        <w:t>多渠道筹集偿债资金。深入分析债务形势，认真研究细化还款措施，通过安排年初预算、统筹安排存量资金、争取再融资债券、压实用款单位还款主体责任等方式，多渠道筹集资金偿还债务本息69470万元，确保不发生债务违约风险。</w:t>
      </w:r>
      <w:r>
        <w:rPr>
          <w:rFonts w:hint="default" w:ascii="Times New Roman" w:hAnsi="Times New Roman" w:eastAsia="仿宋_GB2312" w:cs="Times New Roman"/>
          <w:b/>
          <w:bCs w:val="0"/>
          <w:color w:val="auto"/>
          <w:kern w:val="0"/>
          <w:sz w:val="32"/>
          <w:szCs w:val="32"/>
          <w:lang w:val="en-US" w:eastAsia="zh-CN" w:bidi="ar-SA"/>
        </w:rPr>
        <w:t>四是</w:t>
      </w:r>
      <w:r>
        <w:rPr>
          <w:rFonts w:hint="default" w:ascii="Times New Roman" w:hAnsi="Times New Roman" w:eastAsia="仿宋_GB2312" w:cs="Times New Roman"/>
          <w:bCs/>
          <w:color w:val="auto"/>
          <w:kern w:val="0"/>
          <w:sz w:val="32"/>
          <w:szCs w:val="32"/>
          <w:lang w:val="en-US" w:eastAsia="zh-CN" w:bidi="ar-SA"/>
        </w:rPr>
        <w:t>提升债券项目使用绩效。强化专项债券项目谋划储备质量，新谋划专项债券项目34个，项目总投资109.4亿元，专项债券资金需求49.9亿元。扎实推进项目前期各项工作，高质量高速度推动专项债券项目实施，持续加强债券项目资金监管，债券资金使用效益不断提升。2020年及以前年度债券资金均已支出，2021年到位专项债券资金3.48亿元，支出3亿元，进度86.2%，全市第一。</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、机构设置</w:t>
      </w:r>
      <w:r>
        <w:rPr>
          <w:rFonts w:hint="eastAsia" w:ascii="黑体" w:hAnsi="黑体" w:eastAsia="黑体" w:cs="黑体"/>
          <w:sz w:val="30"/>
          <w:szCs w:val="30"/>
        </w:rPr>
        <w:br w:type="textWrapping"/>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00" w:firstLineChars="200"/>
        <w:jc w:val="both"/>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sz w:val="30"/>
          <w:szCs w:val="30"/>
        </w:rPr>
        <w:t>区财政局下属二级预算单位5个，其中行政单位1个，参照公务员法管理的事业单位1个，公益一类事业单位3个。</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纳入区财政局2021年度部门决算编制范围的二级预算单位包括：昭化区财政局机关、昭化区财政国库支付中心、昭化区财政投资评审中心、昭化区财政绩效事务中心、昭化区财政信息中心。</w:t>
      </w:r>
      <w:r>
        <w:rPr>
          <w:rFonts w:hint="eastAsia" w:ascii="仿宋_GB2312" w:hAnsi="仿宋_GB2312" w:eastAsia="仿宋_GB2312" w:cs="仿宋_GB2312"/>
          <w:color w:val="auto"/>
          <w:sz w:val="30"/>
          <w:szCs w:val="30"/>
          <w:highlight w:val="none"/>
        </w:rPr>
        <w:br w:type="page"/>
      </w:r>
    </w:p>
    <w:p>
      <w:pPr>
        <w:pStyle w:val="3"/>
        <w:ind w:right="440"/>
        <w:jc w:val="center"/>
        <w:rPr>
          <w:rStyle w:val="25"/>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58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w:t>
      </w:r>
      <w:r>
        <w:rPr>
          <w:rFonts w:hint="eastAsia" w:ascii="仿宋" w:hAnsi="仿宋" w:eastAsia="仿宋" w:cs="Times New Roman"/>
          <w:color w:val="000000"/>
          <w:sz w:val="32"/>
          <w:szCs w:val="32"/>
          <w:lang w:val="en-US" w:eastAsia="zh-CN"/>
        </w:rPr>
        <w:t>21</w:t>
      </w:r>
      <w:r>
        <w:rPr>
          <w:rFonts w:hint="eastAsia" w:ascii="仿宋" w:hAnsi="仿宋" w:eastAsia="仿宋" w:cs="Times New Roman"/>
          <w:color w:val="000000"/>
          <w:sz w:val="32"/>
          <w:szCs w:val="32"/>
        </w:rPr>
        <w:t>年度</w:t>
      </w:r>
      <w:r>
        <w:rPr>
          <w:rFonts w:hint="eastAsia" w:ascii="仿宋" w:hAnsi="仿宋" w:eastAsia="仿宋"/>
          <w:color w:val="auto"/>
          <w:sz w:val="32"/>
          <w:szCs w:val="32"/>
          <w:highlight w:val="none"/>
        </w:rPr>
        <w:t>收、支总计</w:t>
      </w:r>
      <w:r>
        <w:rPr>
          <w:rFonts w:hint="eastAsia" w:ascii="仿宋" w:hAnsi="仿宋" w:eastAsia="仿宋" w:cs="Times New Roman"/>
          <w:color w:val="000000"/>
          <w:sz w:val="32"/>
          <w:szCs w:val="32"/>
          <w:lang w:eastAsia="zh-CN"/>
        </w:rPr>
        <w:t>总计</w:t>
      </w:r>
      <w:r>
        <w:rPr>
          <w:rFonts w:hint="eastAsia" w:ascii="仿宋" w:hAnsi="仿宋" w:eastAsia="仿宋" w:cs="Times New Roman"/>
          <w:color w:val="000000"/>
          <w:sz w:val="32"/>
          <w:szCs w:val="32"/>
          <w:lang w:val="en-US" w:eastAsia="zh-CN"/>
        </w:rPr>
        <w:t>1616.48</w:t>
      </w:r>
      <w:r>
        <w:rPr>
          <w:rFonts w:hint="eastAsia" w:ascii="仿宋" w:hAnsi="仿宋" w:eastAsia="仿宋" w:cs="Times New Roman"/>
          <w:color w:val="000000"/>
          <w:sz w:val="32"/>
          <w:szCs w:val="32"/>
        </w:rPr>
        <w:t>万元。与20</w:t>
      </w:r>
      <w:r>
        <w:rPr>
          <w:rFonts w:hint="eastAsia" w:ascii="仿宋" w:hAnsi="仿宋" w:eastAsia="仿宋" w:cs="Times New Roman"/>
          <w:color w:val="000000"/>
          <w:sz w:val="32"/>
          <w:szCs w:val="32"/>
          <w:lang w:val="en-US" w:eastAsia="zh-CN"/>
        </w:rPr>
        <w:t>20</w:t>
      </w:r>
      <w:r>
        <w:rPr>
          <w:rFonts w:hint="eastAsia" w:ascii="仿宋" w:hAnsi="仿宋" w:eastAsia="仿宋" w:cs="Times New Roman"/>
          <w:color w:val="000000"/>
          <w:sz w:val="32"/>
          <w:szCs w:val="32"/>
        </w:rPr>
        <w:t>年相比，</w:t>
      </w:r>
      <w:r>
        <w:rPr>
          <w:rFonts w:hint="eastAsia" w:ascii="仿宋" w:hAnsi="仿宋" w:eastAsia="仿宋"/>
          <w:color w:val="auto"/>
          <w:sz w:val="32"/>
          <w:szCs w:val="32"/>
          <w:highlight w:val="none"/>
        </w:rPr>
        <w:t>收、支总计各</w:t>
      </w:r>
      <w:r>
        <w:rPr>
          <w:rFonts w:hint="eastAsia" w:ascii="仿宋" w:hAnsi="仿宋" w:eastAsia="仿宋" w:cs="Times New Roman"/>
          <w:color w:val="000000"/>
          <w:sz w:val="32"/>
          <w:szCs w:val="32"/>
          <w:lang w:eastAsia="zh-CN"/>
        </w:rPr>
        <w:t>减少</w:t>
      </w:r>
      <w:r>
        <w:rPr>
          <w:rFonts w:hint="eastAsia" w:ascii="仿宋" w:hAnsi="仿宋" w:eastAsia="仿宋" w:cs="Times New Roman"/>
          <w:color w:val="000000"/>
          <w:sz w:val="32"/>
          <w:szCs w:val="32"/>
          <w:lang w:val="en-US" w:eastAsia="zh-CN"/>
        </w:rPr>
        <w:t>34.97</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下降</w:t>
      </w:r>
      <w:r>
        <w:rPr>
          <w:rFonts w:hint="eastAsia" w:ascii="仿宋" w:hAnsi="仿宋" w:eastAsia="仿宋" w:cs="Times New Roman"/>
          <w:color w:val="000000"/>
          <w:sz w:val="32"/>
          <w:szCs w:val="32"/>
          <w:lang w:val="en-US" w:eastAsia="zh-CN"/>
        </w:rPr>
        <w:t>34.97</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w:t>
      </w:r>
      <w:r>
        <w:rPr>
          <w:rFonts w:hint="eastAsia" w:ascii="仿宋" w:hAnsi="仿宋" w:eastAsia="仿宋"/>
          <w:color w:val="auto"/>
          <w:sz w:val="32"/>
          <w:szCs w:val="32"/>
          <w:highlight w:val="none"/>
        </w:rPr>
        <w:t>主要变动原因</w:t>
      </w:r>
      <w:r>
        <w:rPr>
          <w:rFonts w:hint="eastAsia" w:ascii="仿宋" w:hAnsi="仿宋" w:eastAsia="仿宋" w:cs="Times New Roman"/>
          <w:color w:val="000000"/>
          <w:sz w:val="32"/>
          <w:szCs w:val="32"/>
          <w:lang w:eastAsia="zh-CN"/>
        </w:rPr>
        <w:t>是</w:t>
      </w:r>
      <w:r>
        <w:rPr>
          <w:rFonts w:hint="eastAsia" w:ascii="仿宋" w:hAnsi="仿宋" w:eastAsia="仿宋" w:cs="Times New Roman"/>
          <w:color w:val="000000"/>
          <w:sz w:val="32"/>
          <w:szCs w:val="32"/>
          <w:lang w:val="en-US" w:eastAsia="zh-CN"/>
        </w:rPr>
        <w:t>人员支出减少</w:t>
      </w:r>
      <w:r>
        <w:rPr>
          <w:rFonts w:hint="eastAsia" w:ascii="仿宋" w:hAnsi="仿宋" w:eastAsia="仿宋" w:cs="Times New Roman"/>
          <w:color w:val="000000"/>
          <w:sz w:val="32"/>
          <w:szCs w:val="32"/>
        </w:rPr>
        <w:t>。</w:t>
      </w:r>
    </w:p>
    <w:p>
      <w:pPr>
        <w:pStyle w:val="2"/>
        <w:rPr>
          <w:rFonts w:hint="eastAsia" w:eastAsia="仿宋"/>
          <w:lang w:eastAsia="zh-CN"/>
        </w:rPr>
      </w:pPr>
      <w:r>
        <w:rPr>
          <w:rFonts w:hint="eastAsia" w:eastAsia="仿宋"/>
          <w:lang w:eastAsia="zh-CN"/>
        </w:rPr>
        <w:drawing>
          <wp:inline distT="0" distB="0" distL="114300" distR="114300">
            <wp:extent cx="3799840" cy="2243455"/>
            <wp:effectExtent l="4445" t="4445" r="571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1280.2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1280.2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eastAsia="仿宋"/>
          <w:lang w:eastAsia="zh-CN"/>
        </w:rPr>
      </w:pPr>
      <w:r>
        <w:rPr>
          <w:rFonts w:hint="eastAsia" w:eastAsia="仿宋"/>
          <w:lang w:eastAsia="zh-CN"/>
        </w:rPr>
        <w:drawing>
          <wp:inline distT="0" distB="0" distL="114300" distR="114300">
            <wp:extent cx="4550410" cy="2635885"/>
            <wp:effectExtent l="4445" t="4445" r="17145"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1363.24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624.68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45.82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738.56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54.18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rPr>
          <w:rFonts w:hint="eastAsia"/>
          <w:lang w:val="en-US" w:eastAsia="zh-CN"/>
        </w:rPr>
      </w:pPr>
      <w:r>
        <w:rPr>
          <w:rFonts w:hint="eastAsia"/>
          <w:lang w:val="en-US" w:eastAsia="zh-CN"/>
        </w:rPr>
        <w:drawing>
          <wp:inline distT="0" distB="0" distL="114300" distR="114300">
            <wp:extent cx="4201795" cy="2625725"/>
            <wp:effectExtent l="4445" t="4445" r="22860"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hAnsi="仿宋"/>
          <w:color w:val="000000"/>
          <w:sz w:val="32"/>
          <w:szCs w:val="32"/>
          <w:lang w:eastAsia="zh-CN"/>
        </w:rPr>
        <w:t>度</w:t>
      </w:r>
      <w:r>
        <w:rPr>
          <w:rFonts w:hint="eastAsia" w:ascii="仿宋" w:hAnsi="仿宋" w:eastAsia="仿宋"/>
          <w:color w:val="000000"/>
          <w:sz w:val="32"/>
          <w:szCs w:val="32"/>
        </w:rPr>
        <w:t>财政拨款</w:t>
      </w:r>
      <w:r>
        <w:rPr>
          <w:rFonts w:hint="eastAsia" w:hAnsi="仿宋"/>
          <w:color w:val="000000"/>
          <w:sz w:val="32"/>
          <w:szCs w:val="32"/>
          <w:lang w:eastAsia="zh-CN"/>
        </w:rPr>
        <w:t>收入</w:t>
      </w:r>
      <w:r>
        <w:rPr>
          <w:rFonts w:hint="eastAsia" w:ascii="仿宋" w:hAnsi="仿宋" w:eastAsia="仿宋"/>
          <w:color w:val="000000"/>
          <w:sz w:val="32"/>
          <w:szCs w:val="32"/>
          <w:lang w:val="en-US" w:eastAsia="zh-CN"/>
        </w:rPr>
        <w:t>1280.2</w:t>
      </w:r>
      <w:r>
        <w:rPr>
          <w:rFonts w:hint="eastAsia" w:ascii="仿宋" w:hAnsi="仿宋" w:eastAsia="仿宋"/>
          <w:color w:val="000000"/>
          <w:sz w:val="32"/>
          <w:szCs w:val="32"/>
        </w:rPr>
        <w:t>万元</w:t>
      </w:r>
      <w:r>
        <w:rPr>
          <w:rFonts w:hint="eastAsia" w:hAnsi="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w:t>
      </w:r>
      <w:r>
        <w:rPr>
          <w:rFonts w:hint="eastAsia" w:hAnsi="仿宋"/>
          <w:color w:val="000000"/>
          <w:sz w:val="32"/>
          <w:szCs w:val="32"/>
          <w:lang w:eastAsia="zh-CN"/>
        </w:rPr>
        <w:t>入减少</w:t>
      </w:r>
      <w:r>
        <w:rPr>
          <w:rFonts w:hint="eastAsia" w:hAnsi="仿宋"/>
          <w:color w:val="000000"/>
          <w:sz w:val="32"/>
          <w:szCs w:val="32"/>
          <w:lang w:val="en-US" w:eastAsia="zh-CN"/>
        </w:rPr>
        <w:t>77.86万元，下降5.73%</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财政拨款</w:t>
      </w:r>
      <w:r>
        <w:rPr>
          <w:rFonts w:hint="eastAsia" w:hAnsi="仿宋"/>
          <w:color w:val="000000"/>
          <w:sz w:val="32"/>
          <w:szCs w:val="32"/>
          <w:lang w:eastAsia="zh-CN"/>
        </w:rPr>
        <w:t>支出</w:t>
      </w:r>
      <w:r>
        <w:rPr>
          <w:rFonts w:hint="eastAsia" w:hAnsi="仿宋"/>
          <w:color w:val="000000"/>
          <w:sz w:val="32"/>
          <w:szCs w:val="32"/>
          <w:lang w:val="en-US" w:eastAsia="zh-CN"/>
        </w:rPr>
        <w:t>1363.24</w:t>
      </w:r>
      <w:r>
        <w:rPr>
          <w:rFonts w:hint="eastAsia" w:ascii="仿宋" w:hAnsi="仿宋" w:eastAsia="仿宋"/>
          <w:color w:val="000000"/>
          <w:sz w:val="32"/>
          <w:szCs w:val="32"/>
        </w:rPr>
        <w:t>万元</w:t>
      </w:r>
      <w:r>
        <w:rPr>
          <w:rFonts w:hint="eastAsia" w:hAnsi="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w:t>
      </w:r>
      <w:r>
        <w:rPr>
          <w:rFonts w:hint="eastAsia" w:ascii="仿宋" w:hAnsi="仿宋" w:eastAsia="仿宋"/>
          <w:color w:val="auto"/>
          <w:sz w:val="32"/>
          <w:szCs w:val="32"/>
        </w:rPr>
        <w:t>，财政拨款</w:t>
      </w:r>
      <w:r>
        <w:rPr>
          <w:rFonts w:hint="eastAsia" w:hAnsi="仿宋"/>
          <w:color w:val="auto"/>
          <w:sz w:val="32"/>
          <w:szCs w:val="32"/>
          <w:lang w:eastAsia="zh-CN"/>
        </w:rPr>
        <w:t>支出增加</w:t>
      </w:r>
      <w:r>
        <w:rPr>
          <w:rFonts w:hint="eastAsia" w:hAnsi="仿宋"/>
          <w:color w:val="auto"/>
          <w:sz w:val="32"/>
          <w:szCs w:val="32"/>
          <w:lang w:val="en-US" w:eastAsia="zh-CN"/>
        </w:rPr>
        <w:t>197.8万元，增长16.97%，</w:t>
      </w:r>
      <w:r>
        <w:rPr>
          <w:rFonts w:hint="eastAsia" w:ascii="仿宋" w:hAnsi="仿宋" w:eastAsia="仿宋"/>
          <w:color w:val="auto"/>
          <w:sz w:val="32"/>
          <w:szCs w:val="32"/>
        </w:rPr>
        <w:t>主要变动原因是</w:t>
      </w:r>
      <w:r>
        <w:rPr>
          <w:rFonts w:hint="eastAsia" w:ascii="仿宋" w:hAnsi="仿宋" w:eastAsia="仿宋"/>
          <w:color w:val="auto"/>
          <w:sz w:val="32"/>
          <w:szCs w:val="32"/>
          <w:highlight w:val="none"/>
          <w:lang w:eastAsia="zh-CN"/>
        </w:rPr>
        <w:t>财评费用等财政委托业务支出增加</w:t>
      </w:r>
      <w:r>
        <w:rPr>
          <w:rFonts w:hint="eastAsia" w:ascii="仿宋" w:hAnsi="仿宋" w:eastAsia="仿宋"/>
          <w:color w:val="auto"/>
          <w:sz w:val="32"/>
          <w:szCs w:val="32"/>
          <w:lang w:val="en-US" w:eastAsia="zh-CN"/>
        </w:rPr>
        <w:t>。</w:t>
      </w:r>
    </w:p>
    <w:p>
      <w:pPr>
        <w:pStyle w:val="2"/>
        <w:rPr>
          <w:rFonts w:hint="eastAsia"/>
          <w:lang w:val="en-US" w:eastAsia="zh-CN"/>
        </w:rPr>
      </w:pPr>
      <w:r>
        <w:rPr>
          <w:rFonts w:hint="eastAsia"/>
          <w:lang w:val="en-US"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hAnsi="仿宋"/>
          <w:color w:val="000000"/>
          <w:sz w:val="32"/>
          <w:szCs w:val="32"/>
          <w:lang w:val="en-US" w:eastAsia="zh-CN"/>
        </w:rPr>
        <w:t>1363.24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hAnsi="仿宋"/>
          <w:color w:val="auto"/>
          <w:sz w:val="32"/>
          <w:szCs w:val="32"/>
          <w:lang w:val="en-US" w:eastAsia="zh-CN"/>
        </w:rPr>
        <w:t>197.8万元，增长16.97%</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财评费用等财政委托业务支出增加。</w:t>
      </w:r>
    </w:p>
    <w:p>
      <w:pPr>
        <w:pStyle w:val="2"/>
        <w:rPr>
          <w:rFonts w:hint="eastAsia" w:eastAsia="仿宋"/>
          <w:lang w:eastAsia="zh-CN"/>
        </w:rPr>
      </w:pPr>
      <w:r>
        <w:rPr>
          <w:rFonts w:hint="eastAsia" w:eastAsia="仿宋"/>
          <w:lang w:eastAsia="zh-CN"/>
        </w:rPr>
        <w:drawing>
          <wp:inline distT="0" distB="0" distL="114300" distR="114300">
            <wp:extent cx="3492500" cy="2550795"/>
            <wp:effectExtent l="4445" t="5080" r="8255" b="1587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hAnsi="仿宋"/>
          <w:color w:val="000000"/>
          <w:sz w:val="32"/>
          <w:szCs w:val="32"/>
          <w:lang w:val="en-US" w:eastAsia="zh-CN"/>
        </w:rPr>
        <w:t>1363.24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1268.52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93.05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37.04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w:t>
      </w:r>
      <w:r>
        <w:rPr>
          <w:rFonts w:hint="eastAsia" w:ascii="仿宋" w:hAnsi="仿宋" w:eastAsia="仿宋"/>
          <w:b/>
          <w:color w:val="000000"/>
          <w:sz w:val="32"/>
          <w:szCs w:val="32"/>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19.26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color w:val="000000"/>
          <w:sz w:val="32"/>
          <w:szCs w:val="32"/>
        </w:rPr>
        <w:t>住房保障</w:t>
      </w:r>
      <w:r>
        <w:rPr>
          <w:rFonts w:hint="eastAsia" w:ascii="仿宋" w:hAnsi="仿宋" w:eastAsia="仿宋"/>
          <w:b/>
          <w:color w:val="000000"/>
          <w:sz w:val="32"/>
          <w:szCs w:val="32"/>
        </w:rPr>
        <w:t>（类）</w:t>
      </w:r>
      <w:r>
        <w:rPr>
          <w:rFonts w:hint="eastAsia" w:ascii="仿宋" w:hAnsi="仿宋" w:eastAsia="仿宋" w:cs="Times New Roman"/>
          <w:b/>
          <w:color w:val="000000"/>
          <w:sz w:val="32"/>
          <w:szCs w:val="32"/>
        </w:rPr>
        <w:t>支出</w:t>
      </w:r>
      <w:r>
        <w:rPr>
          <w:rFonts w:hint="eastAsia" w:ascii="仿宋" w:hAnsi="仿宋" w:eastAsia="仿宋"/>
          <w:color w:val="000000"/>
          <w:sz w:val="32"/>
          <w:szCs w:val="32"/>
          <w:lang w:val="en-US" w:eastAsia="zh-CN"/>
        </w:rPr>
        <w:t>38.43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2.82</w:t>
      </w:r>
      <w:r>
        <w:rPr>
          <w:rFonts w:ascii="仿宋" w:hAnsi="仿宋" w:eastAsia="仿宋"/>
          <w:color w:val="000000"/>
          <w:sz w:val="32"/>
          <w:szCs w:val="32"/>
        </w:rPr>
        <w:t>%</w:t>
      </w:r>
      <w:r>
        <w:rPr>
          <w:rFonts w:hint="eastAsia" w:ascii="仿宋" w:hAnsi="仿宋" w:eastAsia="仿宋"/>
          <w:color w:val="auto"/>
          <w:sz w:val="32"/>
          <w:szCs w:val="32"/>
          <w:highlight w:val="none"/>
        </w:rPr>
        <w:t>。</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359910" cy="2604135"/>
            <wp:effectExtent l="4445" t="4445" r="17145"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hAnsi="仿宋"/>
          <w:color w:val="000000"/>
          <w:sz w:val="32"/>
          <w:szCs w:val="32"/>
          <w:lang w:val="en-US" w:eastAsia="zh-CN"/>
        </w:rPr>
        <w:t>1363.24万</w:t>
      </w:r>
      <w:r>
        <w:rPr>
          <w:rFonts w:hint="eastAsia" w:hAnsi="仿宋"/>
          <w:color w:val="auto"/>
          <w:sz w:val="32"/>
          <w:szCs w:val="32"/>
          <w:lang w:val="en-US" w:eastAsia="zh-CN"/>
        </w:rPr>
        <w:t>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84.33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color w:val="auto"/>
          <w:sz w:val="32"/>
          <w:szCs w:val="32"/>
          <w:highlight w:val="none"/>
        </w:rPr>
      </w:pP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财政事务（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437.82</w:t>
      </w:r>
      <w:r>
        <w:rPr>
          <w:rStyle w:val="16"/>
          <w:rFonts w:hint="eastAsia" w:ascii="仿宋" w:hAnsi="仿宋" w:eastAsia="仿宋"/>
          <w:b w:val="0"/>
          <w:bCs/>
          <w:color w:val="000000"/>
          <w:sz w:val="32"/>
          <w:szCs w:val="32"/>
        </w:rPr>
        <w:t>万</w:t>
      </w:r>
      <w:r>
        <w:rPr>
          <w:rStyle w:val="16"/>
          <w:rFonts w:hint="eastAsia" w:ascii="仿宋" w:hAnsi="仿宋" w:eastAsia="仿宋"/>
          <w:b w:val="0"/>
          <w:bCs/>
          <w:color w:val="auto"/>
          <w:sz w:val="32"/>
          <w:szCs w:val="32"/>
        </w:rPr>
        <w:t>元，完成预算</w:t>
      </w:r>
      <w:r>
        <w:rPr>
          <w:rStyle w:val="16"/>
          <w:rFonts w:hint="eastAsia" w:ascii="仿宋" w:hAnsi="仿宋" w:eastAsia="仿宋"/>
          <w:b w:val="0"/>
          <w:bCs/>
          <w:color w:val="auto"/>
          <w:sz w:val="32"/>
          <w:szCs w:val="32"/>
          <w:lang w:val="en-US" w:eastAsia="zh-CN"/>
        </w:rPr>
        <w:t>99.78</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lang w:eastAsia="zh-CN"/>
        </w:rPr>
        <w:t>，决算数小于预算数</w:t>
      </w:r>
      <w:r>
        <w:rPr>
          <w:rStyle w:val="16"/>
          <w:rFonts w:hint="eastAsia" w:ascii="仿宋" w:hAnsi="仿宋" w:eastAsia="仿宋"/>
          <w:b w:val="0"/>
          <w:bCs/>
          <w:color w:val="auto"/>
          <w:sz w:val="32"/>
          <w:szCs w:val="32"/>
        </w:rPr>
        <w:t>的主要原因是</w:t>
      </w:r>
      <w:r>
        <w:rPr>
          <w:rStyle w:val="16"/>
          <w:rFonts w:hint="eastAsia" w:ascii="仿宋" w:hAnsi="仿宋" w:eastAsia="仿宋"/>
          <w:b w:val="0"/>
          <w:bCs/>
          <w:color w:val="auto"/>
          <w:sz w:val="32"/>
          <w:szCs w:val="32"/>
          <w:lang w:eastAsia="zh-CN"/>
        </w:rPr>
        <w:t>人员调出本单位指标未调整</w:t>
      </w:r>
      <w:r>
        <w:rPr>
          <w:rStyle w:val="16"/>
          <w:rFonts w:hint="eastAsia" w:ascii="仿宋" w:hAnsi="仿宋" w:eastAsia="仿宋"/>
          <w:b w:val="0"/>
          <w:bCs/>
          <w:color w:val="auto"/>
          <w:sz w:val="32"/>
          <w:szCs w:val="32"/>
          <w:highlight w:val="none"/>
        </w:rPr>
        <w:t>。</w:t>
      </w:r>
    </w:p>
    <w:p>
      <w:pPr>
        <w:pStyle w:val="2"/>
        <w:numPr>
          <w:ilvl w:val="0"/>
          <w:numId w:val="0"/>
        </w:numPr>
        <w:rPr>
          <w:rFonts w:hint="default" w:eastAsia="仿宋"/>
          <w:lang w:val="en-US" w:eastAsia="zh-CN"/>
        </w:rPr>
      </w:pPr>
      <w:r>
        <w:rPr>
          <w:rFonts w:hint="eastAsia"/>
          <w:lang w:val="en-US" w:eastAsia="zh-CN"/>
        </w:rPr>
        <w:t xml:space="preserve">     </w:t>
      </w:r>
      <w:r>
        <w:rPr>
          <w:rStyle w:val="16"/>
          <w:rFonts w:hint="eastAsia" w:ascii="仿宋" w:hAnsi="仿宋" w:eastAsia="仿宋"/>
          <w:bCs/>
          <w:color w:val="auto"/>
          <w:sz w:val="32"/>
          <w:szCs w:val="32"/>
          <w:lang w:val="en-US" w:eastAsia="zh-CN"/>
        </w:rPr>
        <w:t>2、</w:t>
      </w:r>
      <w:r>
        <w:rPr>
          <w:rStyle w:val="16"/>
          <w:rFonts w:hint="eastAsia" w:ascii="仿宋" w:hAnsi="仿宋" w:eastAsia="仿宋"/>
          <w:bCs/>
          <w:color w:val="auto"/>
          <w:sz w:val="32"/>
          <w:szCs w:val="32"/>
        </w:rPr>
        <w:t>一般公共服务（类）</w:t>
      </w:r>
      <w:r>
        <w:rPr>
          <w:rStyle w:val="16"/>
          <w:rFonts w:hint="eastAsia" w:ascii="仿宋" w:hAnsi="仿宋" w:eastAsia="仿宋"/>
          <w:bCs/>
          <w:color w:val="auto"/>
          <w:sz w:val="32"/>
          <w:szCs w:val="32"/>
          <w:lang w:eastAsia="zh-CN"/>
        </w:rPr>
        <w:t>财政事务（</w:t>
      </w:r>
      <w:r>
        <w:rPr>
          <w:rStyle w:val="16"/>
          <w:rFonts w:hint="eastAsia" w:ascii="仿宋" w:hAnsi="仿宋" w:eastAsia="仿宋"/>
          <w:bCs/>
          <w:color w:val="auto"/>
          <w:sz w:val="32"/>
          <w:szCs w:val="32"/>
        </w:rPr>
        <w:t>款）</w:t>
      </w:r>
      <w:r>
        <w:rPr>
          <w:rStyle w:val="16"/>
          <w:rFonts w:hint="eastAsia" w:hAnsi="仿宋"/>
          <w:bCs/>
          <w:color w:val="auto"/>
          <w:sz w:val="32"/>
          <w:szCs w:val="32"/>
          <w:lang w:eastAsia="zh-CN"/>
        </w:rPr>
        <w:t>预算改革</w:t>
      </w:r>
      <w:r>
        <w:rPr>
          <w:rStyle w:val="16"/>
          <w:rFonts w:hint="eastAsia" w:ascii="仿宋" w:hAnsi="仿宋" w:eastAsia="仿宋"/>
          <w:bCs/>
          <w:color w:val="auto"/>
          <w:sz w:val="32"/>
          <w:szCs w:val="32"/>
          <w:lang w:eastAsia="zh-CN"/>
        </w:rPr>
        <w:t>业务</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hAnsi="仿宋"/>
          <w:b w:val="0"/>
          <w:bCs/>
          <w:color w:val="auto"/>
          <w:sz w:val="32"/>
          <w:szCs w:val="32"/>
          <w:lang w:val="en-US" w:eastAsia="zh-CN"/>
        </w:rPr>
        <w:t>20</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3、</w:t>
      </w:r>
      <w:r>
        <w:rPr>
          <w:rStyle w:val="16"/>
          <w:rFonts w:hint="eastAsia" w:ascii="仿宋" w:hAnsi="仿宋" w:eastAsia="仿宋"/>
          <w:bCs/>
          <w:color w:val="auto"/>
          <w:sz w:val="32"/>
          <w:szCs w:val="32"/>
        </w:rPr>
        <w:t>一般公共服务（类）</w:t>
      </w:r>
      <w:r>
        <w:rPr>
          <w:rStyle w:val="16"/>
          <w:rFonts w:hint="eastAsia" w:ascii="仿宋" w:hAnsi="仿宋" w:eastAsia="仿宋"/>
          <w:bCs/>
          <w:color w:val="auto"/>
          <w:sz w:val="32"/>
          <w:szCs w:val="32"/>
          <w:lang w:eastAsia="zh-CN"/>
        </w:rPr>
        <w:t>财政事务（</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财政国库业务</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45</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color w:val="0000FF"/>
          <w:sz w:val="32"/>
          <w:szCs w:val="32"/>
        </w:rPr>
      </w:pPr>
      <w:r>
        <w:rPr>
          <w:rStyle w:val="16"/>
          <w:rFonts w:hint="eastAsia" w:ascii="仿宋" w:hAnsi="仿宋" w:eastAsia="仿宋"/>
          <w:bCs/>
          <w:color w:val="auto"/>
          <w:sz w:val="32"/>
          <w:szCs w:val="32"/>
          <w:lang w:val="en-US" w:eastAsia="zh-CN"/>
        </w:rPr>
        <w:t>4、</w:t>
      </w:r>
      <w:r>
        <w:rPr>
          <w:rStyle w:val="16"/>
          <w:rFonts w:hint="eastAsia" w:ascii="仿宋" w:hAnsi="仿宋" w:eastAsia="仿宋"/>
          <w:bCs/>
          <w:color w:val="auto"/>
          <w:sz w:val="32"/>
          <w:szCs w:val="32"/>
        </w:rPr>
        <w:t>一般公共服务（类）</w:t>
      </w:r>
      <w:r>
        <w:rPr>
          <w:rStyle w:val="16"/>
          <w:rFonts w:hint="eastAsia" w:ascii="仿宋" w:hAnsi="仿宋" w:eastAsia="仿宋"/>
          <w:bCs/>
          <w:color w:val="auto"/>
          <w:sz w:val="32"/>
          <w:szCs w:val="32"/>
          <w:lang w:eastAsia="zh-CN"/>
        </w:rPr>
        <w:t>财政事务（</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信息化建设</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228.5</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73.78</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eastAsia="zh-CN"/>
        </w:rPr>
        <w:t>个别信息化建设项目未完工未支付</w:t>
      </w:r>
      <w:r>
        <w:rPr>
          <w:rStyle w:val="16"/>
          <w:rFonts w:hint="eastAsia" w:ascii="仿宋" w:hAnsi="仿宋" w:eastAsia="仿宋"/>
          <w:b w:val="0"/>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5、</w:t>
      </w:r>
      <w:r>
        <w:rPr>
          <w:rStyle w:val="16"/>
          <w:rFonts w:hint="eastAsia" w:ascii="仿宋" w:hAnsi="仿宋" w:eastAsia="仿宋"/>
          <w:bCs/>
          <w:color w:val="auto"/>
          <w:sz w:val="32"/>
          <w:szCs w:val="32"/>
        </w:rPr>
        <w:t>一般公共服务（类）</w:t>
      </w:r>
      <w:r>
        <w:rPr>
          <w:rStyle w:val="16"/>
          <w:rFonts w:hint="eastAsia" w:ascii="仿宋" w:hAnsi="仿宋" w:eastAsia="仿宋"/>
          <w:bCs/>
          <w:color w:val="auto"/>
          <w:sz w:val="32"/>
          <w:szCs w:val="32"/>
          <w:lang w:eastAsia="zh-CN"/>
        </w:rPr>
        <w:t>财政事务（</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财政委托业务支出</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443.46</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72.23</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val="en-US" w:eastAsia="zh-CN"/>
        </w:rPr>
        <w:t>2021年部分财评费用、绩效评价费用等未结账未支付</w:t>
      </w:r>
      <w:r>
        <w:rPr>
          <w:rStyle w:val="16"/>
          <w:rFonts w:hint="eastAsia" w:ascii="仿宋" w:hAnsi="仿宋" w:eastAsia="仿宋"/>
          <w:b w:val="0"/>
          <w:bCs/>
          <w:color w:val="auto"/>
          <w:sz w:val="32"/>
          <w:szCs w:val="32"/>
        </w:rPr>
        <w:t>。</w:t>
      </w:r>
    </w:p>
    <w:p>
      <w:pPr>
        <w:pStyle w:val="2"/>
        <w:rPr>
          <w:rStyle w:val="16"/>
          <w:rFonts w:hint="eastAsia" w:hAnsi="仿宋"/>
          <w:b w:val="0"/>
          <w:bCs/>
          <w:color w:val="auto"/>
          <w:sz w:val="32"/>
          <w:szCs w:val="32"/>
          <w:lang w:eastAsia="zh-CN"/>
        </w:rPr>
      </w:pPr>
      <w:r>
        <w:rPr>
          <w:rFonts w:hint="eastAsia"/>
          <w:lang w:val="en-US" w:eastAsia="zh-CN"/>
        </w:rPr>
        <w:t xml:space="preserve">     </w:t>
      </w:r>
      <w:r>
        <w:rPr>
          <w:rStyle w:val="16"/>
          <w:rFonts w:hint="eastAsia" w:hAnsi="仿宋"/>
          <w:bCs/>
          <w:color w:val="auto"/>
          <w:sz w:val="32"/>
          <w:szCs w:val="32"/>
          <w:lang w:val="en-US" w:eastAsia="zh-CN"/>
        </w:rPr>
        <w:t>6</w:t>
      </w:r>
      <w:r>
        <w:rPr>
          <w:rStyle w:val="16"/>
          <w:rFonts w:hint="eastAsia" w:ascii="仿宋" w:hAnsi="仿宋" w:eastAsia="仿宋"/>
          <w:bCs/>
          <w:color w:val="auto"/>
          <w:sz w:val="32"/>
          <w:szCs w:val="32"/>
          <w:lang w:val="en-US" w:eastAsia="zh-CN"/>
        </w:rPr>
        <w:t>、</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财政事务（</w:t>
      </w:r>
      <w:r>
        <w:rPr>
          <w:rStyle w:val="16"/>
          <w:rFonts w:hint="eastAsia" w:ascii="仿宋" w:hAnsi="仿宋" w:eastAsia="仿宋"/>
          <w:bCs/>
          <w:color w:val="000000"/>
          <w:sz w:val="32"/>
          <w:szCs w:val="32"/>
        </w:rPr>
        <w:t>款）</w:t>
      </w:r>
      <w:r>
        <w:rPr>
          <w:rStyle w:val="16"/>
          <w:rFonts w:hint="eastAsia" w:hAnsi="仿宋"/>
          <w:bCs/>
          <w:color w:val="000000"/>
          <w:sz w:val="32"/>
          <w:szCs w:val="32"/>
          <w:lang w:eastAsia="zh-CN"/>
        </w:rPr>
        <w:t>事业</w:t>
      </w:r>
      <w:r>
        <w:rPr>
          <w:rStyle w:val="16"/>
          <w:rFonts w:hint="eastAsia" w:ascii="仿宋" w:hAnsi="仿宋" w:eastAsia="仿宋"/>
          <w:bCs/>
          <w:color w:val="000000"/>
          <w:sz w:val="32"/>
          <w:szCs w:val="32"/>
          <w:lang w:eastAsia="zh-CN"/>
        </w:rPr>
        <w:t>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hAnsi="仿宋"/>
          <w:b w:val="0"/>
          <w:bCs/>
          <w:color w:val="000000"/>
          <w:sz w:val="32"/>
          <w:szCs w:val="32"/>
          <w:lang w:val="en-US" w:eastAsia="zh-CN"/>
        </w:rPr>
        <w:t>92.14</w:t>
      </w:r>
      <w:r>
        <w:rPr>
          <w:rStyle w:val="16"/>
          <w:rFonts w:hint="eastAsia" w:ascii="仿宋" w:hAnsi="仿宋" w:eastAsia="仿宋"/>
          <w:b w:val="0"/>
          <w:bCs/>
          <w:color w:val="000000"/>
          <w:sz w:val="32"/>
          <w:szCs w:val="32"/>
        </w:rPr>
        <w:t>万</w:t>
      </w:r>
      <w:r>
        <w:rPr>
          <w:rStyle w:val="16"/>
          <w:rFonts w:hint="eastAsia" w:ascii="仿宋" w:hAnsi="仿宋" w:eastAsia="仿宋"/>
          <w:b w:val="0"/>
          <w:bCs/>
          <w:color w:val="auto"/>
          <w:sz w:val="32"/>
          <w:szCs w:val="32"/>
        </w:rPr>
        <w:t>元，完成预算</w:t>
      </w:r>
      <w:r>
        <w:rPr>
          <w:rStyle w:val="16"/>
          <w:rFonts w:hint="eastAsia" w:hAnsi="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hAnsi="仿宋"/>
          <w:b w:val="0"/>
          <w:bCs/>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ind w:firstLine="643" w:firstLineChars="200"/>
        <w:textAlignment w:val="auto"/>
        <w:rPr>
          <w:rStyle w:val="16"/>
          <w:rFonts w:hint="eastAsia" w:hAnsi="仿宋"/>
          <w:b w:val="0"/>
          <w:bCs/>
          <w:color w:val="auto"/>
          <w:sz w:val="32"/>
          <w:szCs w:val="32"/>
          <w:lang w:val="en-US" w:eastAsia="zh-CN"/>
        </w:rPr>
      </w:pPr>
      <w:r>
        <w:rPr>
          <w:rStyle w:val="16"/>
          <w:rFonts w:hint="eastAsia" w:hAnsi="仿宋"/>
          <w:bCs/>
          <w:color w:val="auto"/>
          <w:sz w:val="32"/>
          <w:szCs w:val="32"/>
          <w:lang w:val="en-US" w:eastAsia="zh-CN"/>
        </w:rPr>
        <w:t>7</w:t>
      </w:r>
      <w:r>
        <w:rPr>
          <w:rStyle w:val="16"/>
          <w:rFonts w:hint="eastAsia" w:ascii="仿宋" w:hAnsi="仿宋" w:eastAsia="仿宋"/>
          <w:bCs/>
          <w:color w:val="auto"/>
          <w:sz w:val="32"/>
          <w:szCs w:val="32"/>
          <w:lang w:val="en-US" w:eastAsia="zh-CN"/>
        </w:rPr>
        <w:t>、</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财政事务（</w:t>
      </w:r>
      <w:r>
        <w:rPr>
          <w:rStyle w:val="16"/>
          <w:rFonts w:hint="eastAsia" w:ascii="仿宋" w:hAnsi="仿宋" w:eastAsia="仿宋"/>
          <w:bCs/>
          <w:color w:val="000000"/>
          <w:sz w:val="32"/>
          <w:szCs w:val="32"/>
        </w:rPr>
        <w:t>款）</w:t>
      </w:r>
      <w:r>
        <w:rPr>
          <w:rStyle w:val="16"/>
          <w:rFonts w:hint="eastAsia" w:hAnsi="仿宋"/>
          <w:bCs/>
          <w:color w:val="000000"/>
          <w:sz w:val="32"/>
          <w:szCs w:val="32"/>
          <w:lang w:eastAsia="zh-CN"/>
        </w:rPr>
        <w:t>其他财政事务支出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hAnsi="仿宋"/>
          <w:b w:val="0"/>
          <w:bCs/>
          <w:color w:val="000000"/>
          <w:sz w:val="32"/>
          <w:szCs w:val="32"/>
          <w:lang w:val="en-US" w:eastAsia="zh-CN"/>
        </w:rPr>
        <w:t>1.6</w:t>
      </w:r>
      <w:r>
        <w:rPr>
          <w:rStyle w:val="16"/>
          <w:rFonts w:hint="eastAsia" w:ascii="仿宋" w:hAnsi="仿宋" w:eastAsia="仿宋"/>
          <w:b w:val="0"/>
          <w:bCs/>
          <w:color w:val="000000"/>
          <w:sz w:val="32"/>
          <w:szCs w:val="32"/>
        </w:rPr>
        <w:t>万</w:t>
      </w:r>
      <w:r>
        <w:rPr>
          <w:rStyle w:val="16"/>
          <w:rFonts w:hint="eastAsia" w:ascii="仿宋" w:hAnsi="仿宋" w:eastAsia="仿宋"/>
          <w:b w:val="0"/>
          <w:bCs/>
          <w:color w:val="auto"/>
          <w:sz w:val="32"/>
          <w:szCs w:val="32"/>
        </w:rPr>
        <w:t>元，完成预算</w:t>
      </w:r>
      <w:r>
        <w:rPr>
          <w:rStyle w:val="16"/>
          <w:rFonts w:hint="eastAsia" w:hAnsi="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hAnsi="仿宋"/>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8</w:t>
      </w:r>
      <w:r>
        <w:rPr>
          <w:rStyle w:val="16"/>
          <w:rFonts w:ascii="仿宋" w:hAnsi="仿宋" w:eastAsia="仿宋"/>
          <w:bCs/>
          <w:color w:val="auto"/>
          <w:sz w:val="32"/>
          <w:szCs w:val="32"/>
        </w:rPr>
        <w:t>.</w:t>
      </w:r>
      <w:r>
        <w:rPr>
          <w:rStyle w:val="16"/>
          <w:rFonts w:hint="eastAsia" w:ascii="仿宋" w:hAnsi="仿宋" w:eastAsia="仿宋"/>
          <w:bCs/>
          <w:color w:val="auto"/>
          <w:sz w:val="32"/>
          <w:szCs w:val="32"/>
        </w:rPr>
        <w:t>社会保障和就业（类）</w:t>
      </w:r>
      <w:r>
        <w:rPr>
          <w:rStyle w:val="16"/>
          <w:rFonts w:hint="eastAsia" w:ascii="仿宋" w:hAnsi="仿宋" w:eastAsia="仿宋"/>
          <w:bCs/>
          <w:color w:val="auto"/>
          <w:sz w:val="32"/>
          <w:szCs w:val="32"/>
          <w:lang w:eastAsia="zh-CN"/>
        </w:rPr>
        <w:t>行政事业单位养老支出</w:t>
      </w:r>
      <w:r>
        <w:rPr>
          <w:rStyle w:val="16"/>
          <w:rFonts w:hint="eastAsia" w:ascii="仿宋" w:hAnsi="仿宋" w:eastAsia="仿宋"/>
          <w:bCs/>
          <w:color w:val="auto"/>
          <w:sz w:val="32"/>
          <w:szCs w:val="32"/>
        </w:rPr>
        <w:t>（款）</w:t>
      </w:r>
      <w:r>
        <w:rPr>
          <w:rStyle w:val="16"/>
          <w:rFonts w:hint="eastAsia" w:ascii="仿宋" w:hAnsi="仿宋" w:eastAsia="仿宋"/>
          <w:bCs/>
          <w:color w:val="auto"/>
          <w:sz w:val="32"/>
          <w:szCs w:val="32"/>
          <w:lang w:eastAsia="zh-CN"/>
        </w:rPr>
        <w:t>机关事业单位基本养老保险缴费支出</w:t>
      </w:r>
      <w:r>
        <w:rPr>
          <w:rStyle w:val="16"/>
          <w:rFonts w:hint="eastAsia" w:ascii="仿宋" w:hAnsi="仿宋" w:eastAsia="仿宋"/>
          <w:bCs/>
          <w:color w:val="auto"/>
          <w:sz w:val="32"/>
          <w:szCs w:val="32"/>
        </w:rPr>
        <w:t>（项）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35.38</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color w:val="000000"/>
          <w:sz w:val="32"/>
          <w:szCs w:val="32"/>
        </w:rPr>
      </w:pPr>
      <w:r>
        <w:rPr>
          <w:rStyle w:val="16"/>
          <w:rFonts w:hint="eastAsia" w:ascii="仿宋" w:hAnsi="仿宋" w:eastAsia="仿宋"/>
          <w:bCs/>
          <w:color w:val="auto"/>
          <w:sz w:val="32"/>
          <w:szCs w:val="32"/>
          <w:lang w:val="en-US" w:eastAsia="zh-CN"/>
        </w:rPr>
        <w:t>9</w:t>
      </w:r>
      <w:r>
        <w:rPr>
          <w:rStyle w:val="16"/>
          <w:rFonts w:ascii="仿宋" w:hAnsi="仿宋" w:eastAsia="仿宋"/>
          <w:bCs/>
          <w:color w:val="auto"/>
          <w:sz w:val="32"/>
          <w:szCs w:val="32"/>
        </w:rPr>
        <w:t>.</w:t>
      </w:r>
      <w:r>
        <w:rPr>
          <w:rStyle w:val="16"/>
          <w:rFonts w:hint="eastAsia" w:ascii="仿宋" w:hAnsi="仿宋" w:eastAsia="仿宋"/>
          <w:bCs/>
          <w:color w:val="auto"/>
          <w:sz w:val="32"/>
          <w:szCs w:val="32"/>
        </w:rPr>
        <w:t>社会保障和就业（类）</w:t>
      </w:r>
      <w:r>
        <w:rPr>
          <w:rStyle w:val="16"/>
          <w:rFonts w:hint="eastAsia" w:ascii="仿宋" w:hAnsi="仿宋" w:eastAsia="仿宋"/>
          <w:bCs/>
          <w:color w:val="auto"/>
          <w:sz w:val="32"/>
          <w:szCs w:val="32"/>
          <w:lang w:eastAsia="zh-CN"/>
        </w:rPr>
        <w:t>其他社会保障和就业支出</w:t>
      </w:r>
      <w:r>
        <w:rPr>
          <w:rStyle w:val="16"/>
          <w:rFonts w:hint="eastAsia" w:ascii="仿宋" w:hAnsi="仿宋" w:eastAsia="仿宋"/>
          <w:bCs/>
          <w:color w:val="000000"/>
          <w:sz w:val="32"/>
          <w:szCs w:val="32"/>
        </w:rPr>
        <w:t>（款）</w:t>
      </w:r>
      <w:r>
        <w:rPr>
          <w:rStyle w:val="16"/>
          <w:rFonts w:hint="eastAsia" w:ascii="仿宋" w:hAnsi="仿宋" w:eastAsia="仿宋"/>
          <w:bCs/>
          <w:color w:val="auto"/>
          <w:sz w:val="32"/>
          <w:szCs w:val="32"/>
          <w:lang w:eastAsia="zh-CN"/>
        </w:rPr>
        <w:t>其他社会保障和就业支出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b/>
          <w:color w:val="000000"/>
          <w:sz w:val="32"/>
          <w:szCs w:val="32"/>
          <w:lang w:val="en-US" w:eastAsia="zh-CN"/>
        </w:rPr>
      </w:pPr>
      <w:r>
        <w:rPr>
          <w:rStyle w:val="16"/>
          <w:rFonts w:hint="eastAsia" w:ascii="仿宋" w:hAnsi="仿宋" w:eastAsia="仿宋"/>
          <w:bCs/>
          <w:color w:val="000000"/>
          <w:sz w:val="32"/>
          <w:szCs w:val="32"/>
          <w:lang w:val="en-US" w:eastAsia="zh-CN"/>
        </w:rPr>
        <w:t>10</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11.15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94.33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eastAsia="zh-CN"/>
        </w:rPr>
        <w:t>人员变动</w:t>
      </w:r>
      <w:r>
        <w:rPr>
          <w:rStyle w:val="16"/>
          <w:rFonts w:hint="eastAsia" w:ascii="仿宋" w:hAnsi="仿宋" w:eastAsia="仿宋"/>
          <w:b w:val="0"/>
          <w:bCs/>
          <w:color w:val="000000"/>
          <w:sz w:val="32"/>
          <w:szCs w:val="32"/>
        </w:rPr>
        <w:t>。</w:t>
      </w:r>
      <w:r>
        <w:rPr>
          <w:rStyle w:val="16"/>
          <w:rFonts w:hint="eastAsia" w:ascii="仿宋" w:hAnsi="仿宋" w:eastAsia="仿宋"/>
          <w:bCs/>
          <w:color w:val="000000"/>
          <w:sz w:val="32"/>
          <w:szCs w:val="32"/>
          <w:lang w:eastAsia="zh-CN"/>
        </w:rPr>
        <w:t>事业单位医疗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color w:val="auto"/>
          <w:sz w:val="32"/>
          <w:szCs w:val="32"/>
          <w:highlight w:val="none"/>
        </w:rPr>
      </w:pPr>
      <w:r>
        <w:rPr>
          <w:rStyle w:val="16"/>
          <w:rFonts w:hint="eastAsia" w:ascii="仿宋" w:hAnsi="仿宋" w:eastAsia="仿宋"/>
          <w:bCs/>
          <w:color w:val="000000"/>
          <w:sz w:val="32"/>
          <w:szCs w:val="32"/>
          <w:lang w:val="en-US" w:eastAsia="zh-CN"/>
        </w:rPr>
        <w:t>11</w:t>
      </w:r>
      <w:r>
        <w:rPr>
          <w:rStyle w:val="16"/>
          <w:rFonts w:ascii="仿宋" w:hAnsi="仿宋" w:eastAsia="仿宋"/>
          <w:bCs/>
          <w:color w:val="000000"/>
          <w:sz w:val="32"/>
          <w:szCs w:val="32"/>
        </w:rPr>
        <w:t>.</w:t>
      </w:r>
      <w:r>
        <w:rPr>
          <w:rFonts w:hint="eastAsia" w:ascii="仿宋" w:hAnsi="仿宋" w:eastAsia="仿宋"/>
          <w:b/>
          <w:bCs/>
          <w:color w:val="000000"/>
          <w:sz w:val="32"/>
          <w:szCs w:val="32"/>
          <w:lang w:eastAsia="zh-CN"/>
        </w:rPr>
        <w:t>住房保障支出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住房改革支出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住房公积金</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38.43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6"/>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624.68</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388.56</w:t>
      </w:r>
      <w:r>
        <w:rPr>
          <w:rFonts w:hint="eastAsia" w:ascii="仿宋" w:hAnsi="仿宋" w:eastAsia="仿宋"/>
          <w:color w:val="auto"/>
          <w:sz w:val="32"/>
          <w:szCs w:val="32"/>
          <w:highlight w:val="none"/>
        </w:rPr>
        <w:t>万元，主要包括：基本工资、津贴补贴、奖金、绩效工资、机关事业单位基本养老保险缴费、其他社会保障缴费、其他工资福利支出、生活补助、奖励金、住房公积金等。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214.21</w:t>
      </w:r>
      <w:r>
        <w:rPr>
          <w:rFonts w:hint="eastAsia" w:ascii="仿宋" w:hAnsi="仿宋" w:eastAsia="仿宋"/>
          <w:color w:val="auto"/>
          <w:sz w:val="32"/>
          <w:szCs w:val="32"/>
          <w:highlight w:val="none"/>
        </w:rPr>
        <w:t>万元，主要包括：办公费、印刷费、咨询费、手续费、水费、电费、邮电费、物业管理费、差旅费、维修（护）费、租赁费、会议费、培训费、公务接待费、劳务费、委托业务费、工会经费、其他交通费、其他商品和服务支出等。</w:t>
      </w:r>
    </w:p>
    <w:p>
      <w:pPr>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11.04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92</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w:t>
      </w:r>
      <w:r>
        <w:rPr>
          <w:rFonts w:hint="eastAsia" w:ascii="仿宋" w:hAnsi="仿宋" w:eastAsia="仿宋"/>
          <w:color w:val="000000"/>
          <w:sz w:val="32"/>
          <w:szCs w:val="32"/>
        </w:rPr>
        <w:t>是</w:t>
      </w:r>
      <w:r>
        <w:rPr>
          <w:rFonts w:hint="eastAsia" w:ascii="仿宋" w:hAnsi="仿宋" w:eastAsia="仿宋"/>
          <w:color w:val="000000"/>
          <w:sz w:val="32"/>
          <w:szCs w:val="32"/>
          <w:lang w:eastAsia="zh-CN"/>
        </w:rPr>
        <w:t>严格厉行节约，压减三公经费支出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11.04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eastAsia="仿宋"/>
          <w:lang w:eastAsia="zh-CN"/>
        </w:rPr>
      </w:pPr>
      <w:r>
        <w:rPr>
          <w:rFonts w:hint="eastAsia" w:eastAsia="仿宋"/>
          <w:lang w:eastAsia="zh-CN"/>
        </w:rPr>
        <w:drawing>
          <wp:inline distT="0" distB="0" distL="114300" distR="114300">
            <wp:extent cx="4381500" cy="2021205"/>
            <wp:effectExtent l="4445" t="4445" r="14605" b="1270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年初未安排预算，因公出国</w:t>
      </w:r>
      <w:r>
        <w:rPr>
          <w:rFonts w:hint="eastAsia" w:ascii="仿宋_GB2312" w:eastAsia="仿宋_GB2312"/>
          <w:b w:val="0"/>
          <w:bCs/>
          <w:color w:val="auto"/>
          <w:sz w:val="32"/>
          <w:szCs w:val="32"/>
          <w:highlight w:val="none"/>
        </w:rPr>
        <w:t>（境）</w:t>
      </w:r>
      <w:r>
        <w:rPr>
          <w:rFonts w:hint="eastAsia" w:ascii="仿宋" w:hAnsi="仿宋" w:eastAsia="仿宋"/>
          <w:b w:val="0"/>
          <w:bCs/>
          <w:color w:val="auto"/>
          <w:sz w:val="32"/>
          <w:szCs w:val="32"/>
          <w:highlight w:val="none"/>
          <w:lang w:val="en-US" w:eastAsia="zh-CN"/>
        </w:rPr>
        <w:t>支出决算较2020年无变化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hAnsi="仿宋" w:eastAsia="仿宋"/>
          <w:b w:val="0"/>
          <w:bCs/>
          <w:color w:val="auto"/>
          <w:sz w:val="32"/>
          <w:szCs w:val="32"/>
          <w:highlight w:val="none"/>
          <w:lang w:val="en-US" w:eastAsia="zh-CN"/>
        </w:rPr>
        <w:t>年初未安排预算，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6"/>
          <w:rFonts w:hint="eastAsia" w:ascii="仿宋" w:hAnsi="仿宋" w:eastAsia="仿宋"/>
          <w:b w:val="0"/>
          <w:bCs/>
          <w:color w:val="000000"/>
          <w:sz w:val="32"/>
          <w:szCs w:val="32"/>
          <w:lang w:eastAsia="zh-CN"/>
        </w:rPr>
        <w:t>年初未安排预算</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rPr>
        <w:t>公务用车运行维护费支出决算</w:t>
      </w:r>
      <w:r>
        <w:rPr>
          <w:rFonts w:hint="eastAsia" w:ascii="仿宋_GB2312" w:hAnsi="Times New Roman" w:eastAsia="仿宋_GB2312" w:cs="Times New Roman"/>
          <w:color w:val="000000"/>
          <w:sz w:val="32"/>
          <w:szCs w:val="32"/>
          <w:lang w:eastAsia="zh-CN"/>
        </w:rPr>
        <w:t>与</w:t>
      </w:r>
      <w:r>
        <w:rPr>
          <w:rFonts w:ascii="仿宋_GB2312" w:hAnsi="Times New Roman" w:eastAsia="仿宋_GB2312" w:cs="Times New Roman"/>
          <w:color w:val="000000"/>
          <w:sz w:val="32"/>
          <w:szCs w:val="32"/>
        </w:rPr>
        <w:t>20</w:t>
      </w:r>
      <w:r>
        <w:rPr>
          <w:rFonts w:hint="eastAsia" w:ascii="仿宋_GB2312"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rPr>
        <w:t>年</w:t>
      </w:r>
      <w:r>
        <w:rPr>
          <w:rFonts w:hint="eastAsia" w:ascii="仿宋_GB2312" w:hAnsi="Times New Roman" w:eastAsia="仿宋_GB2312" w:cs="Times New Roman"/>
          <w:color w:val="000000"/>
          <w:sz w:val="32"/>
          <w:szCs w:val="32"/>
          <w:lang w:eastAsia="zh-CN"/>
        </w:rPr>
        <w:t>持平</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11.04</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92</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0.86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lang w:eastAsia="zh-CN"/>
        </w:rPr>
        <w:t>严格厉行节约，压减三公经费支出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11.04</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执行公务、开展业务活动开支的交通费、住宿费、用餐费等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130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1159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11.04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lang w:eastAsia="zh-CN"/>
        </w:rPr>
        <w:t>各类检查等接待</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40" w:name="_Toc15396610"/>
      <w:bookmarkStart w:id="41"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预算编制阶段，组织对财政委托业务经费项目</w:t>
      </w:r>
      <w:r>
        <w:rPr>
          <w:rFonts w:hint="eastAsia" w:ascii="仿宋_GB2312" w:hAnsi="仿宋_GB2312" w:eastAsia="仿宋_GB2312" w:cs="仿宋_GB2312"/>
          <w:color w:val="auto"/>
          <w:sz w:val="32"/>
          <w:szCs w:val="32"/>
          <w:highlight w:val="none"/>
          <w:lang w:eastAsia="zh-CN"/>
        </w:rPr>
        <w:t>、财政预算绩效管理及评价经费等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lang w:eastAsia="zh-CN"/>
        </w:rPr>
        <w:t>区财政局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214.21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26.7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11.08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无形资产购置、办公费、邮电费等减少。</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区财政局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27.28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27.28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绩效评价服务</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27.28</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区财政局</w:t>
      </w:r>
      <w:r>
        <w:rPr>
          <w:rFonts w:hint="eastAsia" w:ascii="仿宋_GB2312" w:eastAsia="仿宋_GB2312"/>
          <w:color w:val="000000"/>
          <w:sz w:val="32"/>
          <w:szCs w:val="32"/>
        </w:rPr>
        <w:t>共</w:t>
      </w:r>
      <w:r>
        <w:rPr>
          <w:rFonts w:hint="eastAsia" w:ascii="仿宋_GB2312" w:eastAsia="仿宋_GB2312"/>
          <w:color w:val="auto"/>
          <w:sz w:val="32"/>
          <w:szCs w:val="32"/>
          <w:highlight w:val="none"/>
        </w:rPr>
        <w:t>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pStyle w:val="2"/>
        <w:spacing w:line="560" w:lineRule="exact"/>
        <w:ind w:firstLine="640" w:firstLineChars="200"/>
        <w:rPr>
          <w:rFonts w:hint="eastAsia" w:ascii="仿宋_GB2312" w:hAnsi="仿宋_GB2312" w:eastAsia="仿宋_GB2312" w:cs="仿宋_GB2312"/>
          <w:spacing w:val="10"/>
          <w:sz w:val="32"/>
          <w:szCs w:val="32"/>
        </w:rPr>
      </w:pPr>
      <w:r>
        <w:rPr>
          <w:rFonts w:ascii="仿宋_GB2312" w:eastAsia="仿宋_GB2312"/>
          <w:sz w:val="32"/>
          <w:szCs w:val="32"/>
        </w:rPr>
        <w:t xml:space="preserve">4. </w:t>
      </w:r>
      <w:r>
        <w:rPr>
          <w:rFonts w:hint="eastAsia" w:ascii="仿宋_GB2312" w:hAnsi="仿宋_GB2312" w:eastAsia="仿宋_GB2312" w:cs="仿宋_GB2312"/>
          <w:spacing w:val="10"/>
          <w:sz w:val="32"/>
          <w:szCs w:val="32"/>
        </w:rPr>
        <w:t>一般公共服务支出（类）财政事务（款）行政运行（项）</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反映行政单位</w:t>
      </w:r>
      <w:r>
        <w:rPr>
          <w:rFonts w:hint="eastAsia" w:ascii="仿宋_GB2312" w:hAnsi="仿宋_GB2312" w:eastAsia="仿宋_GB2312" w:cs="仿宋_GB2312"/>
          <w:spacing w:val="10"/>
          <w:sz w:val="32"/>
          <w:szCs w:val="32"/>
          <w:lang w:eastAsia="zh-CN"/>
        </w:rPr>
        <w:t>的</w:t>
      </w:r>
      <w:r>
        <w:rPr>
          <w:rFonts w:hint="eastAsia" w:ascii="仿宋_GB2312" w:hAnsi="仿宋_GB2312" w:eastAsia="仿宋_GB2312" w:cs="仿宋_GB2312"/>
          <w:spacing w:val="10"/>
          <w:sz w:val="32"/>
          <w:szCs w:val="32"/>
        </w:rPr>
        <w:t>基本支出。</w:t>
      </w:r>
    </w:p>
    <w:p>
      <w:pPr>
        <w:pStyle w:val="2"/>
        <w:spacing w:line="560" w:lineRule="exact"/>
        <w:ind w:firstLine="680" w:firstLineChars="200"/>
        <w:rPr>
          <w:rFonts w:hint="eastAsia" w:ascii="仿宋_GB2312" w:hAnsi="仿宋_GB2312" w:eastAsia="仿宋_GB2312" w:cs="仿宋_GB2312"/>
          <w:color w:val="000000"/>
          <w:spacing w:val="10"/>
          <w:sz w:val="32"/>
          <w:szCs w:val="32"/>
          <w:lang w:eastAsia="zh-CN"/>
        </w:rPr>
      </w:pPr>
      <w:r>
        <w:rPr>
          <w:rFonts w:hint="eastAsia" w:ascii="仿宋_GB2312" w:hAnsi="仿宋_GB2312" w:eastAsia="仿宋_GB2312" w:cs="仿宋_GB2312"/>
          <w:color w:val="000000"/>
          <w:spacing w:val="10"/>
          <w:sz w:val="32"/>
          <w:szCs w:val="32"/>
          <w:lang w:val="en-US" w:eastAsia="zh-CN"/>
        </w:rPr>
        <w:t>5.</w:t>
      </w:r>
      <w:r>
        <w:rPr>
          <w:rFonts w:hint="eastAsia" w:ascii="仿宋_GB2312" w:hAnsi="仿宋_GB2312" w:eastAsia="仿宋_GB2312" w:cs="仿宋_GB2312"/>
          <w:color w:val="000000"/>
          <w:spacing w:val="10"/>
          <w:sz w:val="32"/>
          <w:szCs w:val="32"/>
        </w:rPr>
        <w:t>一般公共服务</w:t>
      </w:r>
      <w:r>
        <w:rPr>
          <w:rFonts w:hint="eastAsia" w:ascii="仿宋_GB2312" w:hAnsi="仿宋_GB2312" w:eastAsia="仿宋_GB2312" w:cs="仿宋_GB2312"/>
          <w:color w:val="000000"/>
          <w:spacing w:val="10"/>
          <w:sz w:val="32"/>
          <w:szCs w:val="32"/>
          <w:lang w:eastAsia="zh-CN"/>
        </w:rPr>
        <w:t>支出</w:t>
      </w:r>
      <w:r>
        <w:rPr>
          <w:rFonts w:hint="eastAsia" w:ascii="仿宋_GB2312" w:hAnsi="仿宋_GB2312" w:eastAsia="仿宋_GB2312" w:cs="仿宋_GB2312"/>
          <w:color w:val="000000"/>
          <w:spacing w:val="10"/>
          <w:sz w:val="32"/>
          <w:szCs w:val="32"/>
        </w:rPr>
        <w:t>（类）</w:t>
      </w:r>
      <w:r>
        <w:rPr>
          <w:rFonts w:hint="eastAsia" w:ascii="仿宋_GB2312" w:hAnsi="仿宋_GB2312" w:eastAsia="仿宋_GB2312" w:cs="仿宋_GB2312"/>
          <w:color w:val="000000"/>
          <w:spacing w:val="10"/>
          <w:sz w:val="32"/>
          <w:szCs w:val="32"/>
          <w:lang w:eastAsia="zh-CN"/>
        </w:rPr>
        <w:t>财政事务（</w:t>
      </w:r>
      <w:r>
        <w:rPr>
          <w:rFonts w:hint="eastAsia" w:ascii="仿宋_GB2312" w:hAnsi="仿宋_GB2312" w:eastAsia="仿宋_GB2312" w:cs="仿宋_GB2312"/>
          <w:color w:val="000000"/>
          <w:spacing w:val="10"/>
          <w:sz w:val="32"/>
          <w:szCs w:val="32"/>
        </w:rPr>
        <w:t>款）</w:t>
      </w:r>
      <w:r>
        <w:rPr>
          <w:rFonts w:hint="eastAsia" w:ascii="仿宋_GB2312" w:hAnsi="仿宋_GB2312" w:eastAsia="仿宋_GB2312" w:cs="仿宋_GB2312"/>
          <w:color w:val="000000"/>
          <w:spacing w:val="10"/>
          <w:sz w:val="32"/>
          <w:szCs w:val="32"/>
          <w:lang w:eastAsia="zh-CN"/>
        </w:rPr>
        <w:t>预算改革业务</w:t>
      </w:r>
      <w:r>
        <w:rPr>
          <w:rFonts w:hint="eastAsia" w:ascii="仿宋_GB2312" w:hAnsi="仿宋_GB2312" w:eastAsia="仿宋_GB2312" w:cs="仿宋_GB2312"/>
          <w:color w:val="000000"/>
          <w:spacing w:val="10"/>
          <w:sz w:val="32"/>
          <w:szCs w:val="32"/>
        </w:rPr>
        <w:t>（项）</w:t>
      </w:r>
      <w:r>
        <w:rPr>
          <w:rFonts w:hint="eastAsia" w:ascii="仿宋_GB2312" w:hAnsi="仿宋_GB2312" w:eastAsia="仿宋_GB2312" w:cs="仿宋_GB2312"/>
          <w:color w:val="000000"/>
          <w:spacing w:val="10"/>
          <w:sz w:val="32"/>
          <w:szCs w:val="32"/>
          <w:lang w:eastAsia="zh-CN"/>
        </w:rPr>
        <w:t>：</w:t>
      </w:r>
      <w:r>
        <w:rPr>
          <w:rFonts w:hint="eastAsia" w:ascii="仿宋_GB2312" w:hAnsi="仿宋_GB2312" w:eastAsia="仿宋_GB2312" w:cs="仿宋_GB2312"/>
          <w:color w:val="000000"/>
          <w:spacing w:val="10"/>
          <w:sz w:val="32"/>
          <w:szCs w:val="32"/>
        </w:rPr>
        <w:t>反映财政部门用于</w:t>
      </w:r>
      <w:r>
        <w:rPr>
          <w:rFonts w:hint="eastAsia" w:ascii="仿宋_GB2312" w:hAnsi="仿宋_GB2312" w:eastAsia="仿宋_GB2312" w:cs="仿宋_GB2312"/>
          <w:color w:val="000000"/>
          <w:spacing w:val="10"/>
          <w:sz w:val="32"/>
          <w:szCs w:val="32"/>
          <w:lang w:eastAsia="zh-CN"/>
        </w:rPr>
        <w:t>预算改革方面的支出。</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 </w:t>
      </w:r>
      <w:r>
        <w:rPr>
          <w:rFonts w:hint="eastAsia" w:ascii="仿宋_GB2312" w:hAnsi="仿宋_GB2312" w:eastAsia="仿宋_GB2312" w:cs="仿宋_GB2312"/>
          <w:color w:val="000000"/>
          <w:spacing w:val="10"/>
          <w:sz w:val="32"/>
          <w:szCs w:val="32"/>
        </w:rPr>
        <w:t>一般公共服务支出（类）财政事务（款）财政国库业务（项）：反映财政部门用于财政国库集中收付业务方面的支出。</w:t>
      </w:r>
    </w:p>
    <w:p>
      <w:pPr>
        <w:pStyle w:val="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 </w:t>
      </w:r>
      <w:r>
        <w:rPr>
          <w:rFonts w:hint="eastAsia" w:ascii="仿宋_GB2312" w:hAnsi="仿宋_GB2312" w:eastAsia="仿宋_GB2312" w:cs="仿宋_GB2312"/>
          <w:color w:val="000000"/>
          <w:spacing w:val="10"/>
          <w:sz w:val="32"/>
          <w:szCs w:val="32"/>
        </w:rPr>
        <w:t>一般公共服务支出（类）财政事务（款）信息化建设（项）：反映财政部门用于信息化建设方面的支出。</w:t>
      </w:r>
    </w:p>
    <w:p>
      <w:pPr>
        <w:pStyle w:val="2"/>
        <w:spacing w:line="560" w:lineRule="exact"/>
        <w:ind w:firstLine="640" w:firstLineChars="200"/>
        <w:rPr>
          <w:rFonts w:hint="eastAsia" w:ascii="仿宋_GB2312" w:hAnsi="仿宋_GB2312" w:eastAsia="仿宋_GB2312" w:cs="仿宋_GB2312"/>
          <w:color w:val="000000"/>
          <w:spacing w:val="10"/>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hAnsi="仿宋_GB2312" w:eastAsia="仿宋_GB2312" w:cs="仿宋_GB2312"/>
          <w:color w:val="000000"/>
          <w:spacing w:val="10"/>
          <w:sz w:val="32"/>
          <w:szCs w:val="32"/>
        </w:rPr>
        <w:t>一般公共服务支出（类）财政事务（款）财政委托业务支出（项）：反映财政委托评审机构进行财政投资评审和委托建设银行等代理机构代理业务发生的支出。</w:t>
      </w:r>
    </w:p>
    <w:p>
      <w:pPr>
        <w:pStyle w:val="2"/>
        <w:spacing w:line="560" w:lineRule="exact"/>
        <w:ind w:firstLine="640" w:firstLineChars="200"/>
        <w:rPr>
          <w:rFonts w:hint="eastAsia" w:ascii="仿宋_GB2312" w:hAnsi="仿宋_GB2312" w:eastAsia="仿宋_GB2312" w:cs="仿宋_GB2312"/>
          <w:spacing w:val="10"/>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hAnsi="仿宋_GB2312" w:eastAsia="仿宋_GB2312" w:cs="仿宋_GB2312"/>
          <w:color w:val="000000"/>
          <w:spacing w:val="10"/>
          <w:sz w:val="32"/>
          <w:szCs w:val="32"/>
        </w:rPr>
        <w:t>一般公共服务支出（类）财政事务（款）</w:t>
      </w:r>
      <w:r>
        <w:rPr>
          <w:rFonts w:hint="eastAsia" w:ascii="仿宋_GB2312" w:hAnsi="仿宋_GB2312" w:eastAsia="仿宋_GB2312" w:cs="仿宋_GB2312"/>
          <w:color w:val="000000"/>
          <w:spacing w:val="10"/>
          <w:sz w:val="32"/>
          <w:szCs w:val="32"/>
          <w:lang w:eastAsia="zh-CN"/>
        </w:rPr>
        <w:t>事业运行</w:t>
      </w:r>
      <w:r>
        <w:rPr>
          <w:rFonts w:hint="eastAsia" w:ascii="仿宋_GB2312" w:hAnsi="仿宋_GB2312" w:eastAsia="仿宋_GB2312" w:cs="仿宋_GB2312"/>
          <w:color w:val="000000"/>
          <w:spacing w:val="10"/>
          <w:sz w:val="32"/>
          <w:szCs w:val="32"/>
        </w:rPr>
        <w:t>（项）：</w:t>
      </w:r>
      <w:r>
        <w:rPr>
          <w:rFonts w:hint="eastAsia" w:ascii="仿宋_GB2312" w:hAnsi="仿宋_GB2312" w:eastAsia="仿宋_GB2312" w:cs="仿宋_GB2312"/>
          <w:spacing w:val="10"/>
          <w:sz w:val="32"/>
          <w:szCs w:val="32"/>
        </w:rPr>
        <w:t>反映</w:t>
      </w:r>
      <w:r>
        <w:rPr>
          <w:rFonts w:hint="eastAsia" w:ascii="仿宋_GB2312" w:hAnsi="仿宋_GB2312" w:eastAsia="仿宋_GB2312" w:cs="仿宋_GB2312"/>
          <w:spacing w:val="10"/>
          <w:sz w:val="32"/>
          <w:szCs w:val="32"/>
          <w:lang w:eastAsia="zh-CN"/>
        </w:rPr>
        <w:t>事业</w:t>
      </w:r>
      <w:r>
        <w:rPr>
          <w:rFonts w:hint="eastAsia" w:ascii="仿宋_GB2312" w:hAnsi="仿宋_GB2312" w:eastAsia="仿宋_GB2312" w:cs="仿宋_GB2312"/>
          <w:spacing w:val="10"/>
          <w:sz w:val="32"/>
          <w:szCs w:val="32"/>
        </w:rPr>
        <w:t>单位</w:t>
      </w:r>
      <w:r>
        <w:rPr>
          <w:rFonts w:hint="eastAsia" w:ascii="仿宋_GB2312" w:hAnsi="仿宋_GB2312" w:eastAsia="仿宋_GB2312" w:cs="仿宋_GB2312"/>
          <w:spacing w:val="10"/>
          <w:sz w:val="32"/>
          <w:szCs w:val="32"/>
          <w:lang w:eastAsia="zh-CN"/>
        </w:rPr>
        <w:t>的</w:t>
      </w:r>
      <w:r>
        <w:rPr>
          <w:rFonts w:hint="eastAsia" w:ascii="仿宋_GB2312" w:hAnsi="仿宋_GB2312" w:eastAsia="仿宋_GB2312" w:cs="仿宋_GB2312"/>
          <w:spacing w:val="10"/>
          <w:sz w:val="32"/>
          <w:szCs w:val="32"/>
        </w:rPr>
        <w:t>基本支出。</w:t>
      </w:r>
    </w:p>
    <w:p>
      <w:pPr>
        <w:pStyle w:val="2"/>
        <w:spacing w:line="560" w:lineRule="exact"/>
        <w:ind w:firstLine="680" w:firstLineChars="20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10</w:t>
      </w:r>
      <w:r>
        <w:rPr>
          <w:rFonts w:hint="eastAsia" w:ascii="仿宋_GB2312" w:hAnsi="仿宋_GB2312" w:eastAsia="仿宋_GB2312" w:cs="仿宋_GB2312"/>
          <w:color w:val="000000"/>
          <w:spacing w:val="10"/>
          <w:sz w:val="32"/>
          <w:szCs w:val="32"/>
          <w:lang w:val="en-US" w:eastAsia="zh-CN"/>
        </w:rPr>
        <w:t>.</w:t>
      </w:r>
      <w:r>
        <w:rPr>
          <w:rFonts w:hint="eastAsia" w:ascii="仿宋_GB2312" w:hAnsi="仿宋_GB2312" w:eastAsia="仿宋_GB2312" w:cs="仿宋_GB2312"/>
          <w:color w:val="000000"/>
          <w:spacing w:val="10"/>
          <w:sz w:val="32"/>
          <w:szCs w:val="32"/>
        </w:rPr>
        <w:t>一般公共服务</w:t>
      </w:r>
      <w:r>
        <w:rPr>
          <w:rFonts w:hint="eastAsia" w:ascii="仿宋_GB2312" w:hAnsi="仿宋_GB2312" w:eastAsia="仿宋_GB2312" w:cs="仿宋_GB2312"/>
          <w:color w:val="000000"/>
          <w:spacing w:val="10"/>
          <w:sz w:val="32"/>
          <w:szCs w:val="32"/>
          <w:lang w:eastAsia="zh-CN"/>
        </w:rPr>
        <w:t>支出</w:t>
      </w:r>
      <w:r>
        <w:rPr>
          <w:rFonts w:hint="eastAsia" w:ascii="仿宋_GB2312" w:hAnsi="仿宋_GB2312" w:eastAsia="仿宋_GB2312" w:cs="仿宋_GB2312"/>
          <w:color w:val="000000"/>
          <w:spacing w:val="10"/>
          <w:sz w:val="32"/>
          <w:szCs w:val="32"/>
        </w:rPr>
        <w:t>（类）</w:t>
      </w:r>
      <w:r>
        <w:rPr>
          <w:rFonts w:hint="eastAsia" w:ascii="仿宋_GB2312" w:hAnsi="仿宋_GB2312" w:eastAsia="仿宋_GB2312" w:cs="仿宋_GB2312"/>
          <w:color w:val="000000"/>
          <w:spacing w:val="10"/>
          <w:sz w:val="32"/>
          <w:szCs w:val="32"/>
          <w:lang w:eastAsia="zh-CN"/>
        </w:rPr>
        <w:t>财政事务（</w:t>
      </w:r>
      <w:r>
        <w:rPr>
          <w:rFonts w:hint="eastAsia" w:ascii="仿宋_GB2312" w:hAnsi="仿宋_GB2312" w:eastAsia="仿宋_GB2312" w:cs="仿宋_GB2312"/>
          <w:color w:val="000000"/>
          <w:spacing w:val="10"/>
          <w:sz w:val="32"/>
          <w:szCs w:val="32"/>
        </w:rPr>
        <w:t>款）</w:t>
      </w:r>
      <w:r>
        <w:rPr>
          <w:rFonts w:hint="eastAsia" w:ascii="仿宋_GB2312" w:hAnsi="仿宋_GB2312" w:eastAsia="仿宋_GB2312" w:cs="仿宋_GB2312"/>
          <w:color w:val="000000"/>
          <w:spacing w:val="10"/>
          <w:sz w:val="32"/>
          <w:szCs w:val="32"/>
          <w:lang w:eastAsia="zh-CN"/>
        </w:rPr>
        <w:t>其他财政事务支出</w:t>
      </w:r>
      <w:r>
        <w:rPr>
          <w:rFonts w:hint="eastAsia" w:ascii="仿宋_GB2312" w:hAnsi="仿宋_GB2312" w:eastAsia="仿宋_GB2312" w:cs="仿宋_GB2312"/>
          <w:color w:val="000000"/>
          <w:spacing w:val="10"/>
          <w:sz w:val="32"/>
          <w:szCs w:val="32"/>
        </w:rPr>
        <w:t>（项）:</w:t>
      </w:r>
      <w:r>
        <w:rPr>
          <w:rFonts w:hint="eastAsia" w:ascii="仿宋_GB2312" w:hAnsi="仿宋_GB2312" w:eastAsia="仿宋_GB2312" w:cs="仿宋_GB2312"/>
          <w:color w:val="000000"/>
          <w:spacing w:val="10"/>
          <w:sz w:val="32"/>
          <w:szCs w:val="32"/>
          <w:lang w:eastAsia="zh-CN"/>
        </w:rPr>
        <w:t>反映上述项目以外其他财政事务方面的支出。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hAnsi="仿宋_GB2312" w:eastAsia="仿宋_GB2312" w:cs="仿宋_GB2312"/>
          <w:color w:val="000000"/>
          <w:spacing w:val="10"/>
          <w:sz w:val="32"/>
          <w:szCs w:val="32"/>
        </w:rPr>
        <w:t>社会保障和就业支出（类）行政事业单位离退休（款）机关事业单位基本养老保险缴费支出（项）：</w:t>
      </w:r>
      <w:r>
        <w:rPr>
          <w:rFonts w:hint="eastAsia" w:ascii="仿宋_GB2312" w:hAnsi="仿宋_GB2312" w:eastAsia="仿宋_GB2312" w:cs="仿宋_GB2312"/>
          <w:color w:val="000000"/>
          <w:sz w:val="32"/>
          <w:szCs w:val="32"/>
        </w:rPr>
        <w:t>指机关事业单位实施养老保险制度由单位缴纳的基本养老保险费支出。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w:t>
      </w:r>
      <w:r>
        <w:rPr>
          <w:rFonts w:hint="default" w:ascii="仿宋_GB2312" w:hAnsi="仿宋_GB2312" w:eastAsia="仿宋_GB2312" w:cs="仿宋_GB2312"/>
          <w:color w:val="000000"/>
          <w:kern w:val="2"/>
          <w:sz w:val="32"/>
          <w:szCs w:val="32"/>
          <w:lang w:val="en-US" w:eastAsia="zh-CN" w:bidi="ar-SA"/>
        </w:rPr>
        <w:t>社会保障和就业支出（类）</w:t>
      </w:r>
      <w:r>
        <w:rPr>
          <w:rFonts w:hint="eastAsia" w:ascii="仿宋_GB2312" w:hAnsi="仿宋_GB2312" w:eastAsia="仿宋_GB2312" w:cs="仿宋_GB2312"/>
          <w:color w:val="000000"/>
          <w:kern w:val="2"/>
          <w:sz w:val="32"/>
          <w:szCs w:val="32"/>
          <w:lang w:val="en-US" w:eastAsia="zh-CN" w:bidi="ar-SA"/>
        </w:rPr>
        <w:t>其他社会保障和就业支出（款）其他社会保障和就业支出</w:t>
      </w:r>
      <w:r>
        <w:rPr>
          <w:rFonts w:hint="default" w:ascii="仿宋_GB2312" w:hAnsi="仿宋_GB2312" w:eastAsia="仿宋_GB2312" w:cs="仿宋_GB2312"/>
          <w:color w:val="000000"/>
          <w:kern w:val="2"/>
          <w:sz w:val="32"/>
          <w:szCs w:val="32"/>
          <w:lang w:val="en-US" w:eastAsia="zh-CN" w:bidi="ar-SA"/>
        </w:rPr>
        <w:t>（项）：反映</w:t>
      </w:r>
      <w:r>
        <w:rPr>
          <w:rFonts w:hint="eastAsia" w:ascii="仿宋_GB2312" w:hAnsi="仿宋_GB2312" w:eastAsia="仿宋_GB2312" w:cs="仿宋_GB2312"/>
          <w:color w:val="000000"/>
          <w:kern w:val="2"/>
          <w:sz w:val="32"/>
          <w:szCs w:val="32"/>
          <w:lang w:val="en-US" w:eastAsia="zh-CN" w:bidi="ar-SA"/>
        </w:rPr>
        <w:t>除上述项目以外其他用于社会保障和就业方面的支出</w:t>
      </w:r>
      <w:r>
        <w:rPr>
          <w:rFonts w:hint="default" w:ascii="仿宋_GB2312" w:hAnsi="仿宋_GB2312" w:eastAsia="仿宋_GB2312" w:cs="仿宋_GB2312"/>
          <w:color w:val="000000"/>
          <w:kern w:val="2"/>
          <w:sz w:val="32"/>
          <w:szCs w:val="32"/>
          <w:lang w:val="en-US" w:eastAsia="zh-CN" w:bidi="ar-SA"/>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hAnsi="仿宋_GB2312" w:eastAsia="仿宋_GB2312" w:cs="仿宋_GB2312"/>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单位医疗（项）</w:t>
      </w:r>
      <w:r>
        <w:rPr>
          <w:rFonts w:hint="eastAsia" w:ascii="仿宋_GB2312" w:hAnsi="仿宋_GB2312" w:eastAsia="仿宋_GB2312" w:cs="仿宋_GB2312"/>
          <w:color w:val="000000"/>
          <w:sz w:val="32"/>
          <w:szCs w:val="32"/>
          <w:lang w:eastAsia="zh-CN"/>
        </w:rPr>
        <w:t>：反映</w:t>
      </w:r>
      <w:r>
        <w:rPr>
          <w:rFonts w:hint="eastAsia" w:ascii="仿宋_GB2312" w:hAnsi="仿宋_GB2312" w:eastAsia="仿宋_GB2312" w:cs="仿宋_GB2312"/>
          <w:color w:val="000000"/>
          <w:sz w:val="32"/>
          <w:szCs w:val="32"/>
        </w:rPr>
        <w:t>财政部门安排的</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单位基本医疗保险缴费经费，未参加医疗保险的</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单位的公费医疗经费，按国家规定享受离休人员的医疗经费</w:t>
      </w:r>
      <w:r>
        <w:rPr>
          <w:rFonts w:hint="eastAsia" w:ascii="仿宋_GB2312" w:hAnsi="仿宋_GB2312" w:eastAsia="仿宋_GB2312" w:cs="仿宋_GB2312"/>
          <w:color w:val="000000"/>
          <w:sz w:val="32"/>
          <w:szCs w:val="32"/>
          <w:lang w:eastAsia="zh-CN"/>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hAnsi="仿宋_GB2312" w:eastAsia="仿宋_GB2312" w:cs="仿宋_GB2312"/>
          <w:color w:val="000000"/>
          <w:sz w:val="32"/>
          <w:szCs w:val="32"/>
        </w:rPr>
        <w:t>住房保障（类）住房改革支出（款）住房公积金（项）：指反映行政事业单位按人力资源和社会保障部、财政部规定的基本工资和津贴补贴以及规定比例为职工缴纳的住房公积金。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line="560" w:lineRule="exact"/>
        <w:ind w:firstLine="640" w:firstLineChars="200"/>
        <w:rPr>
          <w:rFonts w:ascii="仿宋_GB2312" w:eastAsia="仿宋_GB2312"/>
          <w:color w:val="auto"/>
          <w:sz w:val="32"/>
          <w:szCs w:val="32"/>
          <w:highlight w:val="none"/>
        </w:rPr>
      </w:pPr>
    </w:p>
    <w:p>
      <w:pPr>
        <w:pStyle w:val="2"/>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5"/>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857"/>
        <w:gridCol w:w="1053"/>
        <w:gridCol w:w="2465"/>
        <w:gridCol w:w="2071"/>
        <w:gridCol w:w="217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2021年财政预算绩效管理及评价经费绩效目标自评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区财政局</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1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1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100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1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计划通过公开政府采购服务中介，预计对全区50个项目（其中财政评审的项目30个、扶贫、东西部协作等领域项目20个）的财政支出进行绩效评价，所产生的第三方机构评价服务费用、预算绩效管理文件、资料印刷费等。通过事前评估、事中运行监控、事后评价全过程管理及强化目标引领和结果运用，做到”花钱必问效，无效必问责“，达到全面提高财政资金使用效益。</w:t>
            </w:r>
          </w:p>
        </w:tc>
        <w:tc>
          <w:tcPr>
            <w:tcW w:w="42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highlight w:val="none"/>
                <w:u w:val="none"/>
              </w:rPr>
              <w:t>计划通过公开政府采购服务中介，对全区5</w:t>
            </w:r>
            <w:r>
              <w:rPr>
                <w:rFonts w:hint="eastAsia" w:ascii="宋体" w:hAnsi="宋体" w:cs="宋体"/>
                <w:i w:val="0"/>
                <w:color w:val="auto"/>
                <w:sz w:val="24"/>
                <w:szCs w:val="24"/>
                <w:highlight w:val="none"/>
                <w:u w:val="none"/>
                <w:lang w:val="en-US" w:eastAsia="zh-CN"/>
              </w:rPr>
              <w:t>2</w:t>
            </w:r>
            <w:r>
              <w:rPr>
                <w:rFonts w:hint="eastAsia" w:ascii="宋体" w:hAnsi="宋体" w:eastAsia="宋体" w:cs="宋体"/>
                <w:i w:val="0"/>
                <w:color w:val="auto"/>
                <w:sz w:val="24"/>
                <w:szCs w:val="24"/>
                <w:highlight w:val="none"/>
                <w:u w:val="none"/>
              </w:rPr>
              <w:t>个项目（其中财政评审的项目30个、扶贫、东西部协作等领域项目2</w:t>
            </w:r>
            <w:r>
              <w:rPr>
                <w:rFonts w:hint="eastAsia" w:ascii="宋体" w:hAnsi="宋体" w:cs="宋体"/>
                <w:i w:val="0"/>
                <w:color w:val="auto"/>
                <w:sz w:val="24"/>
                <w:szCs w:val="24"/>
                <w:highlight w:val="none"/>
                <w:u w:val="none"/>
                <w:lang w:val="en-US" w:eastAsia="zh-CN"/>
              </w:rPr>
              <w:t>2</w:t>
            </w:r>
            <w:r>
              <w:rPr>
                <w:rFonts w:hint="eastAsia" w:ascii="宋体" w:hAnsi="宋体" w:eastAsia="宋体" w:cs="宋体"/>
                <w:i w:val="0"/>
                <w:color w:val="auto"/>
                <w:sz w:val="24"/>
                <w:szCs w:val="24"/>
                <w:highlight w:val="none"/>
                <w:u w:val="none"/>
              </w:rPr>
              <w:t>个）的财政支出进行绩效评价</w:t>
            </w:r>
            <w:r>
              <w:rPr>
                <w:rFonts w:hint="eastAsia" w:ascii="宋体" w:hAnsi="宋体" w:cs="宋体"/>
                <w:i w:val="0"/>
                <w:color w:val="auto"/>
                <w:sz w:val="24"/>
                <w:szCs w:val="24"/>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9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0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280" w:firstLineChars="10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现场评价项目个数</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50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05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组织事前评估个数</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05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开展事中监控个数</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50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05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自评重点项目抽查个数</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30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rPr>
            </w:pPr>
          </w:p>
          <w:p>
            <w:pPr>
              <w:pStyle w:val="2"/>
              <w:rPr>
                <w:rFonts w:hint="eastAsia"/>
              </w:rPr>
            </w:pPr>
          </w:p>
        </w:tc>
        <w:tc>
          <w:tcPr>
            <w:tcW w:w="85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05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绩效目标编制培训批次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5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绩效评价报告</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中介服务机构出具的绩效评价报告符合合同约定要求。</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绩效评价报告符合合同约定要求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5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过程管控质量</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达到省厅考核要求</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5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启动时间</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2021年1月</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5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完成时间</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2021年12月</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绩效管理经费（含中介评价服务费、专家评审费、资料印刷费等）</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严格控制成本，减少浪费。</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通过政府采购，确定中介费用40.98万元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按资金管理要求，及时支付</w:t>
            </w:r>
            <w:r>
              <w:rPr>
                <w:rFonts w:hint="eastAsia" w:ascii="宋体" w:hAnsi="宋体" w:cs="宋体"/>
                <w:i w:val="0"/>
                <w:iCs w:val="0"/>
                <w:color w:val="000000"/>
                <w:kern w:val="0"/>
                <w:sz w:val="22"/>
                <w:szCs w:val="22"/>
                <w:u w:val="none"/>
                <w:lang w:val="en-US" w:eastAsia="zh-CN" w:bidi="ar"/>
              </w:rPr>
              <w:t>中介费用及打印费等该项目相关运行推进保障经费</w:t>
            </w:r>
            <w:r>
              <w:rPr>
                <w:rFonts w:hint="eastAsia" w:ascii="宋体" w:hAnsi="宋体" w:eastAsia="宋体" w:cs="宋体"/>
                <w:i w:val="0"/>
                <w:iCs w:val="0"/>
                <w:color w:val="000000"/>
                <w:kern w:val="0"/>
                <w:sz w:val="22"/>
                <w:szCs w:val="22"/>
                <w:u w:val="none"/>
                <w:lang w:val="en-US" w:eastAsia="zh-CN" w:bidi="ar"/>
              </w:rPr>
              <w:t>。</w:t>
            </w:r>
          </w:p>
        </w:tc>
      </w:tr>
    </w:tbl>
    <w:tbl>
      <w:tblPr>
        <w:tblStyle w:val="14"/>
        <w:tblpPr w:leftFromText="180" w:rightFromText="180" w:vertAnchor="text" w:horzAnchor="page" w:tblpX="1295" w:tblpY="3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857"/>
        <w:gridCol w:w="1053"/>
        <w:gridCol w:w="2465"/>
        <w:gridCol w:w="2071"/>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961" w:type="dxa"/>
            <w:vMerge w:val="restar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财政资金使用效益</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大幅度提高财政资金使用效益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资金使用效益有所提高。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96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部门绩效理念提升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部门绩效管理理念增强，实现“花钱必问效、无效要问责”的目标。</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单位绩效意识增强</w:t>
            </w:r>
            <w:r>
              <w:rPr>
                <w:rFonts w:hint="eastAsia" w:ascii="宋体" w:hAnsi="宋体" w:cs="宋体"/>
                <w:i w:val="0"/>
                <w:iCs w:val="0"/>
                <w:color w:val="000000"/>
                <w:kern w:val="0"/>
                <w:sz w:val="22"/>
                <w:szCs w:val="22"/>
                <w:u w:val="none"/>
                <w:lang w:val="en-US" w:eastAsia="zh-CN" w:bidi="ar"/>
              </w:rPr>
              <w:t>，筑牢“花钱必问效、无效要问责”的理念。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满意度指标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r>
    </w:tbl>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1429"/>
        <w:gridCol w:w="1178"/>
        <w:gridCol w:w="1661"/>
        <w:gridCol w:w="190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2021年财政委托业务经费绩效目标自评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区财政局</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260</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260</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2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主要用于中介机构对财政性投资项目工程预算进行评估与审查的服务费。完成送审项目财政投资评审工作。</w:t>
            </w:r>
          </w:p>
        </w:tc>
        <w:tc>
          <w:tcPr>
            <w:tcW w:w="43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面向社会公平公正选取并委托财评中介机构对我区</w:t>
            </w:r>
            <w:r>
              <w:rPr>
                <w:rFonts w:hint="eastAsia" w:ascii="宋体" w:hAnsi="宋体" w:eastAsia="宋体" w:cs="宋体"/>
                <w:i w:val="0"/>
                <w:color w:val="auto"/>
                <w:sz w:val="24"/>
                <w:szCs w:val="24"/>
                <w:u w:val="none"/>
              </w:rPr>
              <w:t>财政性投资项目工程预算进行评估与审查的服务费。</w:t>
            </w:r>
            <w:r>
              <w:rPr>
                <w:rFonts w:hint="eastAsia" w:ascii="宋体" w:hAnsi="宋体" w:cs="宋体"/>
                <w:i w:val="0"/>
                <w:color w:val="auto"/>
                <w:sz w:val="24"/>
                <w:szCs w:val="24"/>
                <w:u w:val="none"/>
                <w:lang w:eastAsia="zh-CN"/>
              </w:rPr>
              <w:t>各中介机构按时</w:t>
            </w:r>
            <w:r>
              <w:rPr>
                <w:rFonts w:hint="eastAsia" w:ascii="宋体" w:hAnsi="宋体" w:eastAsia="宋体" w:cs="宋体"/>
                <w:i w:val="0"/>
                <w:color w:val="auto"/>
                <w:sz w:val="24"/>
                <w:szCs w:val="24"/>
                <w:u w:val="none"/>
              </w:rPr>
              <w:t>完成送审项目财政投资评审工作</w:t>
            </w:r>
            <w:r>
              <w:rPr>
                <w:rFonts w:hint="eastAsia" w:ascii="宋体" w:hAnsi="宋体" w:cs="宋体"/>
                <w:i w:val="0"/>
                <w:color w:val="auto"/>
                <w:sz w:val="24"/>
                <w:szCs w:val="24"/>
                <w:u w:val="none"/>
                <w:lang w:eastAsia="zh-CN"/>
              </w:rPr>
              <w:t>及报告</w:t>
            </w:r>
            <w:r>
              <w:rPr>
                <w:rFonts w:hint="eastAsia" w:ascii="宋体" w:hAnsi="宋体" w:eastAsia="宋体" w:cs="宋体"/>
                <w:i w:val="0"/>
                <w:color w:val="auto"/>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86" w:hRule="atLeast"/>
        </w:trPr>
        <w:tc>
          <w:tcPr>
            <w:tcW w:w="9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4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9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财评项目个数</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9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财评过程资料</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完整、真实</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完整、真实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0" w:hRule="atLeast"/>
        </w:trPr>
        <w:tc>
          <w:tcPr>
            <w:tcW w:w="99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78"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中介机构的财评结论</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真实合法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真实合法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99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项目财评完成时间</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在规定时间内完成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在规定时间内完成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99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中介服务费用</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按评审项目金额及《昭化区财政投资评审管理办法》计算收取中介服务费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rPr>
            </w:pPr>
            <w:r>
              <w:rPr>
                <w:rFonts w:hint="eastAsia" w:ascii="宋体" w:hAnsi="宋体" w:eastAsia="宋体" w:cs="宋体"/>
                <w:i w:val="0"/>
                <w:iCs w:val="0"/>
                <w:color w:val="000000"/>
                <w:kern w:val="0"/>
                <w:sz w:val="22"/>
                <w:szCs w:val="22"/>
                <w:u w:val="none"/>
                <w:lang w:val="en-US" w:eastAsia="zh-CN" w:bidi="ar"/>
              </w:rPr>
              <w:t>按评审项目金额及《昭化区财政投资评审管理办法》计算收取中介服务费</w:t>
            </w:r>
            <w:r>
              <w:rPr>
                <w:rFonts w:hint="eastAsia" w:ascii="宋体" w:hAnsi="宋体" w:cs="宋体"/>
                <w:i w:val="0"/>
                <w:iCs w:val="0"/>
                <w:color w:val="000000"/>
                <w:kern w:val="0"/>
                <w:sz w:val="22"/>
                <w:szCs w:val="22"/>
                <w:highlight w:val="none"/>
                <w:u w:val="none"/>
                <w:lang w:val="en-US" w:eastAsia="zh-CN" w:bidi="ar"/>
              </w:rPr>
              <w:t>，共完成171个，未超出预算金额</w:t>
            </w:r>
            <w:r>
              <w:rPr>
                <w:rFonts w:hint="eastAsia" w:ascii="宋体" w:hAnsi="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99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压减项目成本，节约财政资金，审减率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320" w:firstLineChars="600"/>
              <w:jc w:val="left"/>
              <w:textAlignment w:val="center"/>
              <w:rPr>
                <w:rFonts w:hint="eastAsia" w:ascii="宋体" w:hAnsi="宋体" w:eastAsia="宋体" w:cs="宋体"/>
                <w:i w:val="0"/>
                <w:iCs w:val="0"/>
                <w:color w:val="000000"/>
                <w:kern w:val="2"/>
                <w:sz w:val="22"/>
                <w:szCs w:val="22"/>
                <w:highlight w:val="cyan"/>
                <w:u w:val="none"/>
                <w:lang w:val="en-US" w:eastAsia="zh-CN" w:bidi="ar-SA"/>
              </w:rPr>
            </w:pPr>
            <w:r>
              <w:rPr>
                <w:rFonts w:hint="eastAsia" w:ascii="宋体" w:hAnsi="宋体" w:cs="宋体"/>
                <w:i w:val="0"/>
                <w:iCs w:val="0"/>
                <w:color w:val="000000"/>
                <w:kern w:val="0"/>
                <w:sz w:val="22"/>
                <w:szCs w:val="22"/>
                <w:highlight w:val="none"/>
                <w:u w:val="none"/>
                <w:lang w:val="en-US" w:eastAsia="zh-CN" w:bidi="ar"/>
              </w:rPr>
              <w:t>5.15</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9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5"/>
    </w:p>
    <w:p>
      <w:pPr>
        <w:pStyle w:val="4"/>
        <w:rPr>
          <w:rStyle w:val="26"/>
          <w:rFonts w:hint="eastAsia" w:ascii="仿宋" w:hAnsi="仿宋" w:eastAsia="仿宋"/>
          <w:b w:val="0"/>
          <w:bCs w:val="0"/>
          <w:color w:val="auto"/>
          <w:highlight w:val="none"/>
        </w:rPr>
      </w:pPr>
      <w:bookmarkStart w:id="66"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F7723EA"/>
    <w:multiLevelType w:val="singleLevel"/>
    <w:tmpl w:val="3F7723E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ZDgzODJhODYwZThiODY0NDExNTlmMWFkOGUzN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47A59"/>
    <w:rsid w:val="019404F8"/>
    <w:rsid w:val="01D54D98"/>
    <w:rsid w:val="02296E92"/>
    <w:rsid w:val="02557C87"/>
    <w:rsid w:val="029F6342"/>
    <w:rsid w:val="032B6C3A"/>
    <w:rsid w:val="045B52FD"/>
    <w:rsid w:val="04A86794"/>
    <w:rsid w:val="05926AFC"/>
    <w:rsid w:val="05D610DF"/>
    <w:rsid w:val="06D86211"/>
    <w:rsid w:val="075D3C03"/>
    <w:rsid w:val="07CA6A21"/>
    <w:rsid w:val="07F96AAF"/>
    <w:rsid w:val="087E15BA"/>
    <w:rsid w:val="0A2032A3"/>
    <w:rsid w:val="0ADF0A36"/>
    <w:rsid w:val="0B100BEF"/>
    <w:rsid w:val="0B472137"/>
    <w:rsid w:val="0B4A371F"/>
    <w:rsid w:val="0B8A37D8"/>
    <w:rsid w:val="0BD2245F"/>
    <w:rsid w:val="0D815DD4"/>
    <w:rsid w:val="0F2729AB"/>
    <w:rsid w:val="0F341A2E"/>
    <w:rsid w:val="10B162FD"/>
    <w:rsid w:val="10C055FF"/>
    <w:rsid w:val="10EB7D7B"/>
    <w:rsid w:val="118107EC"/>
    <w:rsid w:val="11DD6519"/>
    <w:rsid w:val="121D3BF2"/>
    <w:rsid w:val="12B5207C"/>
    <w:rsid w:val="12F708E7"/>
    <w:rsid w:val="145D29CB"/>
    <w:rsid w:val="151915EB"/>
    <w:rsid w:val="161D197D"/>
    <w:rsid w:val="163D0D06"/>
    <w:rsid w:val="16BB723D"/>
    <w:rsid w:val="17B60D70"/>
    <w:rsid w:val="17E23913"/>
    <w:rsid w:val="17FA6EAF"/>
    <w:rsid w:val="18015F3F"/>
    <w:rsid w:val="18117D55"/>
    <w:rsid w:val="18292D6F"/>
    <w:rsid w:val="19435F12"/>
    <w:rsid w:val="198D34B8"/>
    <w:rsid w:val="1A923DE5"/>
    <w:rsid w:val="1AFD5D6C"/>
    <w:rsid w:val="1B1F09DB"/>
    <w:rsid w:val="1BE8440E"/>
    <w:rsid w:val="1C50581A"/>
    <w:rsid w:val="1D155CEE"/>
    <w:rsid w:val="1DAC0C4B"/>
    <w:rsid w:val="1E4A3FC0"/>
    <w:rsid w:val="1EFF3796"/>
    <w:rsid w:val="1F2B4E33"/>
    <w:rsid w:val="2020322B"/>
    <w:rsid w:val="20631369"/>
    <w:rsid w:val="20A80DDA"/>
    <w:rsid w:val="20F57F95"/>
    <w:rsid w:val="219A525F"/>
    <w:rsid w:val="22D078AB"/>
    <w:rsid w:val="23A44474"/>
    <w:rsid w:val="23E12CD1"/>
    <w:rsid w:val="240371BF"/>
    <w:rsid w:val="244D480A"/>
    <w:rsid w:val="248F4E23"/>
    <w:rsid w:val="24DE35E4"/>
    <w:rsid w:val="259A75DB"/>
    <w:rsid w:val="25C741E6"/>
    <w:rsid w:val="25D9458E"/>
    <w:rsid w:val="25F211C5"/>
    <w:rsid w:val="26363369"/>
    <w:rsid w:val="26720558"/>
    <w:rsid w:val="26D905D7"/>
    <w:rsid w:val="26EE4083"/>
    <w:rsid w:val="27842671"/>
    <w:rsid w:val="27D668C5"/>
    <w:rsid w:val="28A15125"/>
    <w:rsid w:val="295379D6"/>
    <w:rsid w:val="296F1402"/>
    <w:rsid w:val="29DD218D"/>
    <w:rsid w:val="29F305CF"/>
    <w:rsid w:val="29FD04D3"/>
    <w:rsid w:val="2A9F0F97"/>
    <w:rsid w:val="2AA36F32"/>
    <w:rsid w:val="2ABE7A3E"/>
    <w:rsid w:val="2ADE440E"/>
    <w:rsid w:val="2B7A2ED9"/>
    <w:rsid w:val="2D263E4A"/>
    <w:rsid w:val="2D2C3CCF"/>
    <w:rsid w:val="2D460049"/>
    <w:rsid w:val="2E33681F"/>
    <w:rsid w:val="2E4B3B69"/>
    <w:rsid w:val="2EFA178C"/>
    <w:rsid w:val="30B46D73"/>
    <w:rsid w:val="30D140CD"/>
    <w:rsid w:val="313C59EB"/>
    <w:rsid w:val="319C0B7F"/>
    <w:rsid w:val="319F7F4E"/>
    <w:rsid w:val="32B141B6"/>
    <w:rsid w:val="3364747B"/>
    <w:rsid w:val="33746194"/>
    <w:rsid w:val="33F425AD"/>
    <w:rsid w:val="341C4A20"/>
    <w:rsid w:val="36B85B13"/>
    <w:rsid w:val="37A147F9"/>
    <w:rsid w:val="37CE75B8"/>
    <w:rsid w:val="38685317"/>
    <w:rsid w:val="390B4E92"/>
    <w:rsid w:val="390D5DCA"/>
    <w:rsid w:val="391A5FF8"/>
    <w:rsid w:val="397228F1"/>
    <w:rsid w:val="39AE70AB"/>
    <w:rsid w:val="3A944AE9"/>
    <w:rsid w:val="3AA0348E"/>
    <w:rsid w:val="3B712735"/>
    <w:rsid w:val="3BD45DBD"/>
    <w:rsid w:val="3C0C0783"/>
    <w:rsid w:val="3C0F08EF"/>
    <w:rsid w:val="3C125CC6"/>
    <w:rsid w:val="3CC64D02"/>
    <w:rsid w:val="3D606F05"/>
    <w:rsid w:val="3DFA1107"/>
    <w:rsid w:val="3F054910"/>
    <w:rsid w:val="3F1D3A74"/>
    <w:rsid w:val="3F795B0E"/>
    <w:rsid w:val="3F9F3A96"/>
    <w:rsid w:val="40460794"/>
    <w:rsid w:val="41B36150"/>
    <w:rsid w:val="41BB295C"/>
    <w:rsid w:val="4210089B"/>
    <w:rsid w:val="435A7F52"/>
    <w:rsid w:val="442C476D"/>
    <w:rsid w:val="445A2900"/>
    <w:rsid w:val="45181E73"/>
    <w:rsid w:val="45726CB7"/>
    <w:rsid w:val="45C30031"/>
    <w:rsid w:val="468477C0"/>
    <w:rsid w:val="472471F5"/>
    <w:rsid w:val="47250C35"/>
    <w:rsid w:val="48981C49"/>
    <w:rsid w:val="48AB197C"/>
    <w:rsid w:val="48BA1BBF"/>
    <w:rsid w:val="48F7696F"/>
    <w:rsid w:val="493C27E9"/>
    <w:rsid w:val="496F39ED"/>
    <w:rsid w:val="49FF41D3"/>
    <w:rsid w:val="4A185DC8"/>
    <w:rsid w:val="4B0E1D4E"/>
    <w:rsid w:val="4B36505C"/>
    <w:rsid w:val="4B6677AA"/>
    <w:rsid w:val="4BE068DB"/>
    <w:rsid w:val="4BF6002B"/>
    <w:rsid w:val="4BFC24EE"/>
    <w:rsid w:val="4C0513A3"/>
    <w:rsid w:val="4C0A0767"/>
    <w:rsid w:val="4C115F9A"/>
    <w:rsid w:val="4CFB6302"/>
    <w:rsid w:val="4DBA61BD"/>
    <w:rsid w:val="4EA34EA3"/>
    <w:rsid w:val="4EA446B3"/>
    <w:rsid w:val="4ECE2238"/>
    <w:rsid w:val="4FC11A85"/>
    <w:rsid w:val="5037387C"/>
    <w:rsid w:val="50A70C7B"/>
    <w:rsid w:val="50F03C1A"/>
    <w:rsid w:val="51502641"/>
    <w:rsid w:val="51850890"/>
    <w:rsid w:val="51DB4B86"/>
    <w:rsid w:val="51E27A91"/>
    <w:rsid w:val="524E5126"/>
    <w:rsid w:val="536A5F90"/>
    <w:rsid w:val="53ED0594"/>
    <w:rsid w:val="54554E92"/>
    <w:rsid w:val="54C65EB4"/>
    <w:rsid w:val="55333C3E"/>
    <w:rsid w:val="559E0611"/>
    <w:rsid w:val="56D4639E"/>
    <w:rsid w:val="56FE711B"/>
    <w:rsid w:val="5737262D"/>
    <w:rsid w:val="57771297"/>
    <w:rsid w:val="578735B4"/>
    <w:rsid w:val="591055C5"/>
    <w:rsid w:val="5A0802B0"/>
    <w:rsid w:val="5ADC7773"/>
    <w:rsid w:val="5AEC372E"/>
    <w:rsid w:val="5B21787C"/>
    <w:rsid w:val="5B2D7FCE"/>
    <w:rsid w:val="5BC56459"/>
    <w:rsid w:val="5C142F3C"/>
    <w:rsid w:val="5CB169DD"/>
    <w:rsid w:val="5CD03307"/>
    <w:rsid w:val="5D5201C0"/>
    <w:rsid w:val="5DC56E4C"/>
    <w:rsid w:val="5E792A94"/>
    <w:rsid w:val="5F106EAF"/>
    <w:rsid w:val="5F8132F0"/>
    <w:rsid w:val="5F8D3732"/>
    <w:rsid w:val="612B4FB0"/>
    <w:rsid w:val="61377DF9"/>
    <w:rsid w:val="61BA27D8"/>
    <w:rsid w:val="6263077A"/>
    <w:rsid w:val="62EF200D"/>
    <w:rsid w:val="64CA39A1"/>
    <w:rsid w:val="653F54CE"/>
    <w:rsid w:val="664B51C6"/>
    <w:rsid w:val="668B029F"/>
    <w:rsid w:val="67654F94"/>
    <w:rsid w:val="67915D89"/>
    <w:rsid w:val="679C6C08"/>
    <w:rsid w:val="681F3395"/>
    <w:rsid w:val="685748DD"/>
    <w:rsid w:val="68D157BD"/>
    <w:rsid w:val="691737EF"/>
    <w:rsid w:val="694330B3"/>
    <w:rsid w:val="6ACF4DB3"/>
    <w:rsid w:val="6C4A05C8"/>
    <w:rsid w:val="6CEB5F3B"/>
    <w:rsid w:val="6CF546C4"/>
    <w:rsid w:val="6D036DE1"/>
    <w:rsid w:val="6D0B205B"/>
    <w:rsid w:val="6D282CEC"/>
    <w:rsid w:val="6D920165"/>
    <w:rsid w:val="6D9B7C0A"/>
    <w:rsid w:val="6DFB0400"/>
    <w:rsid w:val="6F7E6BF3"/>
    <w:rsid w:val="70131A31"/>
    <w:rsid w:val="70CC398E"/>
    <w:rsid w:val="70E17439"/>
    <w:rsid w:val="7190214B"/>
    <w:rsid w:val="72734D90"/>
    <w:rsid w:val="73903399"/>
    <w:rsid w:val="73930C4F"/>
    <w:rsid w:val="746565D3"/>
    <w:rsid w:val="74B15375"/>
    <w:rsid w:val="74E366CA"/>
    <w:rsid w:val="757E013E"/>
    <w:rsid w:val="76F123A0"/>
    <w:rsid w:val="78302821"/>
    <w:rsid w:val="789B25C4"/>
    <w:rsid w:val="78D930EC"/>
    <w:rsid w:val="797F5A41"/>
    <w:rsid w:val="79D43A2B"/>
    <w:rsid w:val="79E7B28D"/>
    <w:rsid w:val="7A884DCA"/>
    <w:rsid w:val="7AB21E46"/>
    <w:rsid w:val="7B013CCF"/>
    <w:rsid w:val="7C3C5E6C"/>
    <w:rsid w:val="7DC03851"/>
    <w:rsid w:val="7F2D7CEE"/>
    <w:rsid w:val="7F9F20EE"/>
    <w:rsid w:val="7FC3060F"/>
    <w:rsid w:val="7FFB603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styleId="24">
    <w:name w:val="List Paragraph"/>
    <w:basedOn w:val="1"/>
    <w:qFormat/>
    <w:uiPriority w:val="34"/>
    <w:pPr>
      <w:ind w:firstLine="420" w:firstLineChars="200"/>
    </w:pPr>
  </w:style>
  <w:style w:type="character" w:customStyle="1" w:styleId="25">
    <w:name w:val="标题 1 Char"/>
    <w:basedOn w:val="15"/>
    <w:link w:val="3"/>
    <w:qFormat/>
    <w:uiPriority w:val="9"/>
    <w:rPr>
      <w:rFonts w:ascii="Times New Roman" w:hAnsi="Times New Roman"/>
      <w:b/>
      <w:bCs/>
      <w:kern w:val="44"/>
      <w:sz w:val="44"/>
      <w:szCs w:val="44"/>
    </w:rPr>
  </w:style>
  <w:style w:type="character" w:customStyle="1" w:styleId="26">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5"/>
    <w:link w:val="8"/>
    <w:semiHidden/>
    <w:qFormat/>
    <w:uiPriority w:val="99"/>
    <w:rPr>
      <w:rFonts w:ascii="Times New Roman" w:hAnsi="Times New Roman"/>
      <w:kern w:val="2"/>
      <w:sz w:val="18"/>
      <w:szCs w:val="18"/>
    </w:rPr>
  </w:style>
  <w:style w:type="character" w:customStyle="1" w:styleId="29">
    <w:name w:val="标题 3 Char"/>
    <w:basedOn w:val="15"/>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ln>
                  <a:solidFill>
                    <a:schemeClr val="accent1"/>
                  </a:solidFill>
                </a:ln>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ln>
                      <a:solidFill>
                        <a:schemeClr val="accent1"/>
                      </a:solidFill>
                    </a:ln>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1616.48</c:v>
                </c:pt>
                <c:pt idx="1">
                  <c:v>1616.48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ln>
                      <a:solidFill>
                        <a:schemeClr val="accent1"/>
                      </a:solidFill>
                    </a:ln>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1651.45</c:v>
                </c:pt>
                <c:pt idx="1">
                  <c:v>1651.45</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ln>
                      <a:solidFill>
                        <a:schemeClr val="accent1"/>
                      </a:solidFill>
                    </a:ln>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Sheet1!$D$2:$D$3</c:f>
              <c:numCache>
                <c:formatCode>General</c:formatCode>
                <c:ptCount val="2"/>
              </c:numCache>
            </c:numRef>
          </c:val>
        </c:ser>
        <c:dLbls>
          <c:showLegendKey val="0"/>
          <c:showVal val="1"/>
          <c:showCatName val="0"/>
          <c:showSerName val="0"/>
          <c:showPercent val="0"/>
          <c:showBubbleSize val="0"/>
        </c:dLbls>
        <c:gapWidth val="219"/>
        <c:overlap val="-27"/>
        <c:axId val="452820829"/>
        <c:axId val="99187685"/>
      </c:barChart>
      <c:catAx>
        <c:axId val="4528208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ln>
                  <a:solidFill>
                    <a:schemeClr val="accent1"/>
                  </a:solidFill>
                </a:ln>
                <a:solidFill>
                  <a:schemeClr val="tx1">
                    <a:lumMod val="65000"/>
                    <a:lumOff val="35000"/>
                  </a:schemeClr>
                </a:solidFill>
                <a:latin typeface="+mn-lt"/>
                <a:ea typeface="+mn-ea"/>
                <a:cs typeface="+mn-cs"/>
              </a:defRPr>
            </a:pPr>
          </a:p>
        </c:txPr>
        <c:crossAx val="99187685"/>
        <c:crosses val="autoZero"/>
        <c:auto val="1"/>
        <c:lblAlgn val="ctr"/>
        <c:lblOffset val="100"/>
        <c:noMultiLvlLbl val="0"/>
      </c:catAx>
      <c:valAx>
        <c:axId val="991876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ln>
                  <a:solidFill>
                    <a:schemeClr val="accent1"/>
                  </a:solidFill>
                </a:ln>
                <a:solidFill>
                  <a:schemeClr val="tx1">
                    <a:lumMod val="65000"/>
                    <a:lumOff val="35000"/>
                  </a:schemeClr>
                </a:solidFill>
                <a:latin typeface="+mn-lt"/>
                <a:ea typeface="+mn-ea"/>
                <a:cs typeface="+mn-cs"/>
              </a:defRPr>
            </a:pPr>
          </a:p>
        </c:txPr>
        <c:crossAx val="45282082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ln>
                  <a:solidFill>
                    <a:schemeClr val="accent1"/>
                  </a:solidFill>
                </a:ln>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ln>
                  <a:solidFill>
                    <a:schemeClr val="accent1"/>
                  </a:solidFill>
                </a:ln>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ln>
                <a:solidFill>
                  <a:schemeClr val="accent1"/>
                </a:solidFill>
              </a:ln>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n>
            <a:solidFill>
              <a:schemeClr val="accent1"/>
            </a:solidFill>
          </a:ln>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1280.2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624.68</c:v>
                </c:pt>
                <c:pt idx="1">
                  <c:v>738.56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1280.2</c:v>
                </c:pt>
                <c:pt idx="1">
                  <c:v>1358.06</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2020年</c:v>
                </c:pt>
              </c:strCache>
            </c:strRef>
          </c:cat>
          <c:val>
            <c:numRef>
              <c:f>Sheet1!$C$2:$C$3</c:f>
              <c:numCache>
                <c:formatCode>General</c:formatCode>
                <c:ptCount val="2"/>
                <c:pt idx="0">
                  <c:v>1363.24</c:v>
                </c:pt>
                <c:pt idx="1">
                  <c:v>1165.44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2020年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345805386"/>
        <c:axId val="643226889"/>
      </c:barChart>
      <c:catAx>
        <c:axId val="3458053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3226889"/>
        <c:crosses val="autoZero"/>
        <c:auto val="1"/>
        <c:lblAlgn val="ctr"/>
        <c:lblOffset val="100"/>
        <c:noMultiLvlLbl val="0"/>
      </c:catAx>
      <c:valAx>
        <c:axId val="6432268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80538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2020年</c:v>
                </c:pt>
              </c:strCache>
            </c:strRef>
          </c:cat>
          <c:val>
            <c:numRef>
              <c:f>Sheet1!$B$2:$B$5</c:f>
              <c:numCache>
                <c:formatCode>General</c:formatCode>
                <c:ptCount val="4"/>
                <c:pt idx="0">
                  <c:v>1363.24</c:v>
                </c:pt>
                <c:pt idx="1">
                  <c:v>1165.44</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2020年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2020年</c:v>
                </c:pt>
              </c:strCache>
            </c:strRef>
          </c:cat>
          <c:val>
            <c:numRef>
              <c:f>Sheet1!$D$2:$D$5</c:f>
              <c:numCache>
                <c:formatCode>General</c:formatCode>
                <c:ptCount val="4"/>
              </c:numCache>
            </c:numRef>
          </c:val>
        </c:ser>
        <c:dLbls>
          <c:showLegendKey val="0"/>
          <c:showVal val="1"/>
          <c:showCatName val="0"/>
          <c:showSerName val="0"/>
          <c:showPercent val="0"/>
          <c:showBubbleSize val="0"/>
        </c:dLbls>
        <c:gapWidth val="219"/>
        <c:overlap val="-27"/>
        <c:axId val="420045155"/>
        <c:axId val="246639880"/>
      </c:barChart>
      <c:catAx>
        <c:axId val="4200451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639880"/>
        <c:crosses val="autoZero"/>
        <c:auto val="1"/>
        <c:lblAlgn val="ctr"/>
        <c:lblOffset val="100"/>
        <c:noMultiLvlLbl val="0"/>
      </c:catAx>
      <c:valAx>
        <c:axId val="246639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045155"/>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2388581415671"/>
          <c:y val="0.029261155815654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a:sp3d contourW="25400"/>
          </c:spPr>
          <c:explosion val="0"/>
          <c:dPt>
            <c:idx val="0"/>
            <c:bubble3D val="0"/>
            <c:spPr>
              <a:solidFill>
                <a:schemeClr val="accent1"/>
              </a:solidFill>
              <a:ln w="19050">
                <a:solidFill>
                  <a:schemeClr val="lt1"/>
                </a:solidFill>
              </a:ln>
              <a:effectLst/>
              <a:sp3d contourW="25400"/>
            </c:spPr>
          </c:dPt>
          <c:dPt>
            <c:idx val="1"/>
            <c:bubble3D val="0"/>
            <c:spPr>
              <a:solidFill>
                <a:schemeClr val="accent2"/>
              </a:solidFill>
              <a:ln w="19050">
                <a:solidFill>
                  <a:schemeClr val="lt1"/>
                </a:solidFill>
              </a:ln>
              <a:effectLst/>
              <a:sp3d contourW="25400"/>
            </c:spPr>
          </c:dPt>
          <c:dPt>
            <c:idx val="2"/>
            <c:bubble3D val="0"/>
            <c:spPr>
              <a:solidFill>
                <a:schemeClr val="accent3"/>
              </a:solidFill>
              <a:ln w="19050">
                <a:solidFill>
                  <a:schemeClr val="lt1"/>
                </a:solidFill>
              </a:ln>
              <a:effectLst/>
              <a:sp3d contourW="25400"/>
            </c:spPr>
          </c:dPt>
          <c:dPt>
            <c:idx val="3"/>
            <c:bubble3D val="0"/>
            <c:spPr>
              <a:solidFill>
                <a:schemeClr val="accent4"/>
              </a:solidFill>
              <a:ln w="19050">
                <a:solidFill>
                  <a:schemeClr val="lt1"/>
                </a:solidFill>
              </a:ln>
              <a:effectLst/>
              <a:sp3d contourW="25400"/>
            </c:spPr>
          </c:dPt>
          <c:dLbls>
            <c:dLbl>
              <c:idx val="1"/>
              <c:layout>
                <c:manualLayout>
                  <c:x val="-0.103173035944925"/>
                  <c:y val="-0.005621814467742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55574073444446"/>
                  <c:y val="-0.02313976950032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83936303083709"/>
                  <c:y val="0.018084352234797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58607631808913"/>
                      <c:h val="0.10972933430870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1268.52</c:v>
                </c:pt>
                <c:pt idx="1">
                  <c:v>37.04</c:v>
                </c:pt>
                <c:pt idx="2">
                  <c:v>19.26</c:v>
                </c:pt>
                <c:pt idx="3">
                  <c:v>38.43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0</c:v>
                </c:pt>
                <c:pt idx="2">
                  <c:v>11.04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9694</Words>
  <Characters>11074</Characters>
  <Lines>61</Lines>
  <Paragraphs>17</Paragraphs>
  <TotalTime>13</TotalTime>
  <ScaleCrop>false</ScaleCrop>
  <LinksUpToDate>false</LinksUpToDate>
  <CharactersWithSpaces>11124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2022-08-06T02:23:00Z</cp:lastPrinted>
  <dcterms:modified xsi:type="dcterms:W3CDTF">2023-09-06T09:33:11Z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18C4299B72334D3095585539B3212D20</vt:lpwstr>
  </property>
</Properties>
</file>