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7425"/>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476"/>
      <w:bookmarkStart w:id="8" w:name="_Toc15377426"/>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广元市昭化区财政局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bookmarkStart w:id="72" w:name="_GoBack"/>
      <w:bookmarkEnd w:id="72"/>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pageBreakBefore w:val="0"/>
        <w:widowControl w:val="0"/>
        <w:kinsoku/>
        <w:wordWrap/>
        <w:overflowPunct/>
        <w:topLinePunct w:val="0"/>
        <w:bidi w:val="0"/>
        <w:spacing w:line="560" w:lineRule="exact"/>
        <w:textAlignment w:val="auto"/>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6"/>
        <w:pageBreakBefore w:val="0"/>
        <w:widowControl w:val="0"/>
        <w:kinsoku/>
        <w:wordWrap/>
        <w:overflowPunct/>
        <w:topLinePunct w:val="0"/>
        <w:bidi w:val="0"/>
        <w:adjustRightInd w:val="0"/>
        <w:snapToGrid w:val="0"/>
        <w:spacing w:before="93" w:line="560" w:lineRule="exact"/>
        <w:ind w:firstLine="672" w:firstLineChars="210"/>
        <w:textAlignment w:val="auto"/>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1、拟订和执行全区财政、税收的发展规划、政策和改革方案并组织实施。参与宏观经济分析预测和全区重大宏观经济政策的制定。提出运用财税政策实施宏观经济调控和综合平衡全区财力的建议。</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2、贯彻执行国家财税法律、法规和方针、政策。按照管理权限管理全区税政事项，承办上级要求承担的税政工作。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3、承担各项财政收支管理。负责编制年度区级预决算草案并组织实施。受区政府委托，向区人民代表大会报告全区和区级预算及其执行情况，向区人大常委会报告决算。拟定财政税收收入计划；管理区级各项财政收入、预算外资金（包括政府性基金的行政事业性收费）；组织制定经费开支标准、定额，负责审核批复部分（单位）的年度预决算。完善转移支付制度。</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4、负责政府非税收入管理。负责政府性基金管理，按规定管理行政事业性收费。管理财政票据。按规定管理彩票资金。</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5、制定全区国库管理制度、国库集中收付制度，指导和监督国库业力，组织开展国库现金管理工作。制定政府采购制度，编制政府采购预算，监督管理全区政府采购工作。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6、指导全区行政事业单位国有资产管理制度规定及区级机关事业单位国有资产收益管理办法，并对执行情况进行监督检查，负责区级机关国有资产经营收益财政专户管理工作。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7、审核和汇总编制全区国有资本经营预决算草案，制订国有资本经营预算的制度和办法，收取区本级企业资本收益，组织实施企业财务制度，管理金融类企业国有资产，参与拟订企业国有资产管理相关制度，管理资产评估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8、参与拟订政府性建设投资的有关政策，制定基本建设财务制度，负责投资评审管理工作。负责有关政策性补贴和专项储备资金财政管理工作。负责全区农业综合开发管理工作。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9、负责管理全区社会保障和就业及医疗卫生支出，拟订社会保障资金（基金）的财务管理制度，编制全区社会保障预决算草案。</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10、执行政府债务管理制度和政策，制定具体管理办法，管理政府债务，防范财政风险。管理外国政府和国际金融机构贷（赠）款项目的有关业务。</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11、负责管理全区的会计工作，监督和规范会计行为，组织实施国家统一的会计制度，指导和监督注册会计师和会计师事务所的业务，指导和管理社会审计。</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12、负责财政资金绩效评价工作。监督检查财税法规、政策的执行情况，反映财政收支管理中的重大问题。依法查处违反财经纪律的行为。</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13、负责财政宣传和财政信息管理系统工作。负责全区财政干部业务培训。</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14、承担区农村综合改革领导小组办公室的具体工作。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15、承担区政府公布的有关行政审批事项。</w:t>
      </w:r>
    </w:p>
    <w:p>
      <w:pPr>
        <w:pageBreakBefore w:val="0"/>
        <w:widowControl w:val="0"/>
        <w:kinsoku/>
        <w:wordWrap/>
        <w:overflowPunct/>
        <w:topLinePunct w:val="0"/>
        <w:bidi w:val="0"/>
        <w:spacing w:line="560" w:lineRule="exact"/>
        <w:ind w:firstLine="627" w:firstLineChars="196"/>
        <w:textAlignment w:val="auto"/>
        <w:rPr>
          <w:rFonts w:hint="eastAsia" w:ascii="仿宋" w:hAnsi="仿宋" w:eastAsia="仿宋"/>
          <w:bCs/>
          <w:color w:val="000000"/>
          <w:sz w:val="32"/>
          <w:szCs w:val="32"/>
        </w:rPr>
      </w:pPr>
      <w:r>
        <w:rPr>
          <w:rFonts w:hint="eastAsia" w:eastAsia="仿宋_GB2312"/>
          <w:sz w:val="32"/>
          <w:szCs w:val="32"/>
        </w:rPr>
        <w:t>16、承办区政府交办的其他事项。</w:t>
      </w:r>
    </w:p>
    <w:p>
      <w:pPr>
        <w:pStyle w:val="6"/>
        <w:pageBreakBefore w:val="0"/>
        <w:widowControl w:val="0"/>
        <w:kinsoku/>
        <w:wordWrap/>
        <w:overflowPunct/>
        <w:topLinePunct w:val="0"/>
        <w:bidi w:val="0"/>
        <w:adjustRightInd w:val="0"/>
        <w:snapToGrid w:val="0"/>
        <w:spacing w:before="93" w:line="560" w:lineRule="exact"/>
        <w:ind w:firstLine="672" w:firstLineChars="210"/>
        <w:textAlignment w:val="auto"/>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坚持稳增长，全力以赴抓收入。</w:t>
      </w:r>
      <w:r>
        <w:rPr>
          <w:rFonts w:hint="eastAsia" w:ascii="仿宋_GB2312" w:hAnsi="仿宋_GB2312" w:eastAsia="仿宋_GB2312" w:cs="仿宋_GB2312"/>
          <w:sz w:val="32"/>
          <w:szCs w:val="32"/>
          <w:lang w:eastAsia="zh-CN"/>
        </w:rPr>
        <w:t>当好财政“牵头人”的角色，狠抓收入组织，对年度预期收入计划进行分解，落实到各征管单位。加强协税护税考核，对执收单位实行目标责任考核，按月、季督促收入进度，强化部门协调配合，形成工作合力，加强非税收入等征管。2019年完成地方一般公共预算收入</w:t>
      </w:r>
      <w:r>
        <w:rPr>
          <w:rFonts w:hint="eastAsia" w:ascii="仿宋_GB2312" w:hAnsi="仿宋_GB2312" w:eastAsia="仿宋_GB2312" w:cs="仿宋_GB2312"/>
          <w:sz w:val="32"/>
          <w:szCs w:val="32"/>
          <w:lang w:val="en-US" w:eastAsia="zh-CN"/>
        </w:rPr>
        <w:t>22103万元，完成目标任务21880万元的101%，同比增加236万元，增长1.08%，进度居全市第二 ，增幅居全市第五，税占比54.9%，其中税务部门完成13411万元，同比减少2608万元，下降16.2%；财政部门完成8692万元，同比增加2844万元，增长48.6%。完成政府性基金收入19773万元，占调整预算的100.4%，同比增长173.7%。完成国有资本经营预算收入730万元，占年初预算的100%，同比增长508.3%。完成社会保险基金预算收入6652万元，同比增长5.17%。</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坚持调结构，优化支出惠民生。</w:t>
      </w:r>
      <w:r>
        <w:rPr>
          <w:rFonts w:hint="eastAsia" w:ascii="仿宋_GB2312" w:hAnsi="仿宋_GB2312" w:eastAsia="仿宋_GB2312" w:cs="仿宋_GB2312"/>
          <w:b w:val="0"/>
          <w:bCs w:val="0"/>
          <w:sz w:val="32"/>
          <w:szCs w:val="32"/>
          <w:lang w:eastAsia="zh-CN"/>
        </w:rPr>
        <w:t>足额预算“三保”支出，按月测算“三保”支付需求，新设工资专户，按月足额发放工资。建立了日常公用经费标准体系和“上四下六”的公用经费库款保障机制，制定《区“过紧日子”十条措施》，修订了《区机关单位差旅费管理办法》，大力压减一般性支出，足额保障日常运转。调整支出结构，认真落实民生政策，</w:t>
      </w:r>
      <w:r>
        <w:rPr>
          <w:rFonts w:hint="eastAsia" w:ascii="仿宋_GB2312" w:hAnsi="仿宋_GB2312" w:eastAsia="仿宋_GB2312" w:cs="仿宋_GB2312"/>
          <w:b w:val="0"/>
          <w:bCs w:val="0"/>
          <w:sz w:val="32"/>
          <w:szCs w:val="32"/>
        </w:rPr>
        <w:t>全区民生支出达</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亿</w:t>
      </w:r>
      <w:r>
        <w:rPr>
          <w:rFonts w:hint="eastAsia" w:ascii="仿宋_GB2312" w:hAnsi="仿宋_GB2312" w:eastAsia="仿宋_GB2312" w:cs="仿宋_GB2312"/>
          <w:b w:val="0"/>
          <w:bCs w:val="0"/>
          <w:sz w:val="32"/>
          <w:szCs w:val="32"/>
          <w:lang w:eastAsia="zh-CN"/>
        </w:rPr>
        <w:t>余</w:t>
      </w:r>
      <w:r>
        <w:rPr>
          <w:rFonts w:hint="eastAsia" w:ascii="仿宋_GB2312" w:hAnsi="仿宋_GB2312" w:eastAsia="仿宋_GB2312" w:cs="仿宋_GB2312"/>
          <w:b w:val="0"/>
          <w:bCs w:val="0"/>
          <w:sz w:val="32"/>
          <w:szCs w:val="32"/>
        </w:rPr>
        <w:t>元，民生支出占一般预算支出的65.59%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投入财政资金 215</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支持元坝中学</w:t>
      </w:r>
      <w:r>
        <w:rPr>
          <w:rFonts w:hint="eastAsia" w:ascii="仿宋_GB2312" w:hAnsi="仿宋_GB2312" w:eastAsia="仿宋_GB2312" w:cs="仿宋_GB2312"/>
          <w:b w:val="0"/>
          <w:bCs w:val="0"/>
          <w:sz w:val="32"/>
          <w:szCs w:val="32"/>
        </w:rPr>
        <w:t>创建省二级示范高中，</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顺利通过验收</w:t>
      </w:r>
      <w:r>
        <w:rPr>
          <w:rFonts w:hint="eastAsia" w:ascii="仿宋_GB2312" w:hAnsi="仿宋_GB2312" w:eastAsia="仿宋_GB2312" w:cs="仿宋_GB2312"/>
          <w:b w:val="0"/>
          <w:bCs w:val="0"/>
          <w:sz w:val="32"/>
          <w:szCs w:val="32"/>
          <w:lang w:eastAsia="zh-CN"/>
        </w:rPr>
        <w:t>；安排义务教育和学前教育经费近</w:t>
      </w:r>
      <w:r>
        <w:rPr>
          <w:rFonts w:hint="eastAsia" w:ascii="仿宋_GB2312" w:hAnsi="仿宋_GB2312" w:eastAsia="仿宋_GB2312" w:cs="仿宋_GB2312"/>
          <w:b w:val="0"/>
          <w:bCs w:val="0"/>
          <w:sz w:val="32"/>
          <w:szCs w:val="32"/>
          <w:lang w:val="en-US" w:eastAsia="zh-CN"/>
        </w:rPr>
        <w:t>3000万元，</w:t>
      </w:r>
      <w:r>
        <w:rPr>
          <w:rFonts w:hint="eastAsia" w:ascii="仿宋_GB2312" w:hAnsi="仿宋_GB2312" w:eastAsia="仿宋_GB2312" w:cs="仿宋_GB2312"/>
          <w:b w:val="0"/>
          <w:bCs w:val="0"/>
          <w:sz w:val="32"/>
          <w:szCs w:val="32"/>
        </w:rPr>
        <w:t>全力支持教育事业发展</w:t>
      </w:r>
      <w:r>
        <w:rPr>
          <w:rFonts w:hint="eastAsia" w:ascii="仿宋_GB2312" w:hAnsi="仿宋_GB2312" w:eastAsia="仿宋_GB2312" w:cs="仿宋_GB2312"/>
          <w:b w:val="0"/>
          <w:bCs w:val="0"/>
          <w:sz w:val="32"/>
          <w:szCs w:val="32"/>
          <w:lang w:eastAsia="zh-CN"/>
        </w:rPr>
        <w:t>；安排就业创业、养老、困难群众救助、退役安置、优抚等资金</w:t>
      </w:r>
      <w:r>
        <w:rPr>
          <w:rFonts w:hint="eastAsia" w:ascii="仿宋_GB2312" w:hAnsi="仿宋_GB2312" w:eastAsia="仿宋_GB2312" w:cs="仿宋_GB2312"/>
          <w:b w:val="0"/>
          <w:bCs w:val="0"/>
          <w:sz w:val="32"/>
          <w:szCs w:val="32"/>
          <w:lang w:val="en-US" w:eastAsia="zh-CN"/>
        </w:rPr>
        <w:t>上亿</w:t>
      </w:r>
      <w:r>
        <w:rPr>
          <w:rFonts w:hint="eastAsia" w:ascii="仿宋_GB2312" w:hAnsi="仿宋_GB2312" w:eastAsia="仿宋_GB2312" w:cs="仿宋_GB2312"/>
          <w:b w:val="0"/>
          <w:bCs w:val="0"/>
          <w:sz w:val="32"/>
          <w:szCs w:val="32"/>
          <w:lang w:eastAsia="zh-CN"/>
        </w:rPr>
        <w:t>元，织密社会保障网；筹集医疗救助、公共卫生服务、计划生育奖扶等资金</w:t>
      </w:r>
      <w:r>
        <w:rPr>
          <w:rFonts w:hint="eastAsia" w:ascii="仿宋_GB2312" w:hAnsi="仿宋_GB2312" w:eastAsia="仿宋_GB2312" w:cs="仿宋_GB2312"/>
          <w:b w:val="0"/>
          <w:bCs w:val="0"/>
          <w:sz w:val="32"/>
          <w:szCs w:val="32"/>
          <w:lang w:val="en-US" w:eastAsia="zh-CN"/>
        </w:rPr>
        <w:t>4423万元，深入推进健康昭化建设，切实提升医疗服务水平；</w:t>
      </w:r>
      <w:r>
        <w:rPr>
          <w:rFonts w:hint="eastAsia" w:ascii="仿宋_GB2312" w:hAnsi="仿宋_GB2312" w:eastAsia="仿宋_GB2312" w:cs="仿宋_GB2312"/>
          <w:b w:val="0"/>
          <w:bCs w:val="0"/>
          <w:sz w:val="32"/>
          <w:szCs w:val="32"/>
          <w:lang w:eastAsia="zh-CN"/>
        </w:rPr>
        <w:t>完成文化体育与传媒支出</w:t>
      </w:r>
      <w:r>
        <w:rPr>
          <w:rFonts w:hint="eastAsia" w:ascii="仿宋_GB2312" w:hAnsi="仿宋_GB2312" w:eastAsia="仿宋_GB2312" w:cs="仿宋_GB2312"/>
          <w:b w:val="0"/>
          <w:bCs w:val="0"/>
          <w:sz w:val="32"/>
          <w:szCs w:val="32"/>
          <w:lang w:val="en-US" w:eastAsia="zh-CN"/>
        </w:rPr>
        <w:t>近3000</w:t>
      </w:r>
      <w:r>
        <w:rPr>
          <w:rFonts w:hint="eastAsia" w:ascii="仿宋_GB2312" w:hAnsi="仿宋_GB2312" w:eastAsia="仿宋_GB2312" w:cs="仿宋_GB2312"/>
          <w:b w:val="0"/>
          <w:bCs w:val="0"/>
          <w:sz w:val="32"/>
          <w:szCs w:val="32"/>
          <w:lang w:eastAsia="zh-CN"/>
        </w:rPr>
        <w:t>万元，促进文化体育事业蓬勃发展；统筹发展社会各项事业，投入安全生产、社会综合治理、信访维稳、统战等资金</w:t>
      </w:r>
      <w:r>
        <w:rPr>
          <w:rFonts w:hint="eastAsia" w:ascii="仿宋_GB2312" w:hAnsi="仿宋_GB2312" w:eastAsia="仿宋_GB2312" w:cs="仿宋_GB2312"/>
          <w:b w:val="0"/>
          <w:bCs w:val="0"/>
          <w:sz w:val="32"/>
          <w:szCs w:val="32"/>
          <w:lang w:val="en-US" w:eastAsia="zh-CN"/>
        </w:rPr>
        <w:t>2400万元，</w:t>
      </w:r>
      <w:r>
        <w:rPr>
          <w:rFonts w:hint="eastAsia" w:ascii="仿宋_GB2312" w:hAnsi="仿宋_GB2312" w:eastAsia="仿宋_GB2312" w:cs="仿宋_GB2312"/>
          <w:b w:val="0"/>
          <w:bCs w:val="0"/>
          <w:sz w:val="32"/>
          <w:szCs w:val="32"/>
          <w:lang w:eastAsia="zh-CN"/>
        </w:rPr>
        <w:t>不断加大对社会事业发展的支持力度。</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坚持守底线，打好“三大攻坚战”。</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全力支持脱贫攻坚。</w:t>
      </w:r>
      <w:r>
        <w:rPr>
          <w:rFonts w:hint="eastAsia" w:ascii="仿宋_GB2312" w:hAnsi="仿宋_GB2312" w:eastAsia="仿宋_GB2312" w:cs="仿宋_GB2312"/>
          <w:b w:val="0"/>
          <w:bCs w:val="0"/>
          <w:sz w:val="32"/>
          <w:szCs w:val="32"/>
        </w:rPr>
        <w:t>坚持严格范围，应整尽整</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蓄水统配”模式，</w:t>
      </w:r>
      <w:r>
        <w:rPr>
          <w:rFonts w:hint="eastAsia" w:ascii="仿宋_GB2312" w:hAnsi="仿宋_GB2312" w:eastAsia="仿宋_GB2312" w:cs="仿宋_GB2312"/>
          <w:sz w:val="32"/>
          <w:szCs w:val="32"/>
        </w:rPr>
        <w:t>整合财政涉农资金</w:t>
      </w:r>
      <w:r>
        <w:rPr>
          <w:rFonts w:hint="eastAsia" w:ascii="仿宋_GB2312" w:hAnsi="仿宋_GB2312" w:eastAsia="仿宋_GB2312" w:cs="仿宋_GB2312"/>
          <w:sz w:val="32"/>
          <w:szCs w:val="32"/>
          <w:lang w:val="en-US" w:eastAsia="zh-CN"/>
        </w:rPr>
        <w:t>5.3亿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，安排东西部扶贫协作资金3300万元，大力支持农村基础设施建设和农业产业发展等，为全区的脱贫事业构建了横向到边、纵向到底的巩固保障网。</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全面防范债务风险。</w:t>
      </w:r>
      <w:r>
        <w:rPr>
          <w:rFonts w:hint="eastAsia" w:ascii="Times New Roman" w:eastAsia="仿宋_GB2312"/>
          <w:sz w:val="32"/>
          <w:szCs w:val="32"/>
          <w:lang w:eastAsia="zh-CN"/>
        </w:rPr>
        <w:t>健全</w:t>
      </w:r>
      <w:r>
        <w:rPr>
          <w:rFonts w:ascii="Times New Roman" w:eastAsia="仿宋_GB2312"/>
          <w:sz w:val="32"/>
          <w:szCs w:val="32"/>
        </w:rPr>
        <w:t>债务</w:t>
      </w:r>
      <w:r>
        <w:rPr>
          <w:rFonts w:hint="eastAsia" w:ascii="Times New Roman" w:eastAsia="仿宋_GB2312"/>
          <w:sz w:val="32"/>
          <w:szCs w:val="32"/>
          <w:lang w:eastAsia="zh-CN"/>
        </w:rPr>
        <w:t>防范</w:t>
      </w:r>
      <w:r>
        <w:rPr>
          <w:rFonts w:ascii="Times New Roman" w:eastAsia="仿宋_GB2312"/>
          <w:sz w:val="32"/>
          <w:szCs w:val="32"/>
        </w:rPr>
        <w:t>化解</w:t>
      </w:r>
      <w:r>
        <w:rPr>
          <w:rFonts w:hint="eastAsia" w:ascii="Times New Roman" w:eastAsia="仿宋_GB2312"/>
          <w:sz w:val="32"/>
          <w:szCs w:val="32"/>
          <w:lang w:eastAsia="zh-CN"/>
        </w:rPr>
        <w:t>系列制度，</w:t>
      </w:r>
      <w:r>
        <w:rPr>
          <w:rFonts w:hint="eastAsia" w:ascii="仿宋_GB2312" w:hAnsi="仿宋_GB2312" w:eastAsia="仿宋_GB2312" w:cs="仿宋_GB2312"/>
          <w:sz w:val="32"/>
          <w:szCs w:val="32"/>
          <w:lang w:eastAsia="zh-CN"/>
        </w:rPr>
        <w:t>进一步完善政府性债务动态监控机制和违法违规融资举债联合防控机制，</w:t>
      </w:r>
      <w:r>
        <w:rPr>
          <w:rFonts w:hint="eastAsia" w:ascii="Times New Roman" w:eastAsia="仿宋_GB2312"/>
          <w:sz w:val="32"/>
          <w:szCs w:val="32"/>
          <w:lang w:eastAsia="zh-CN"/>
        </w:rPr>
        <w:t>对债务</w:t>
      </w:r>
      <w:r>
        <w:rPr>
          <w:rFonts w:ascii="Times New Roman" w:eastAsia="仿宋_GB2312"/>
          <w:sz w:val="32"/>
          <w:szCs w:val="32"/>
        </w:rPr>
        <w:t>进行分类管理，因债施策</w:t>
      </w:r>
      <w:r>
        <w:rPr>
          <w:rFonts w:hint="eastAsia" w:ascii="Times New Roman" w:eastAsia="仿宋_GB2312"/>
          <w:sz w:val="32"/>
          <w:szCs w:val="32"/>
          <w:lang w:eastAsia="zh-CN"/>
        </w:rPr>
        <w:t>，</w:t>
      </w:r>
      <w:r>
        <w:rPr>
          <w:rFonts w:ascii="Times New Roman" w:eastAsia="仿宋_GB2312"/>
          <w:sz w:val="32"/>
          <w:szCs w:val="32"/>
        </w:rPr>
        <w:t>将</w:t>
      </w:r>
      <w:r>
        <w:rPr>
          <w:rFonts w:ascii="Times New Roman" w:hAnsi="Times New Roman" w:eastAsia="仿宋_GB2312"/>
          <w:sz w:val="32"/>
          <w:szCs w:val="32"/>
        </w:rPr>
        <w:t>政府债券付息和隐性债务需财政偿还部分纳入年初预算，属单位偿还责任的督促单位落实资金来源按时偿还。</w:t>
      </w:r>
      <w:r>
        <w:rPr>
          <w:rFonts w:hint="eastAsia" w:ascii="仿宋_GB2312" w:hAnsi="仿宋_GB2312" w:eastAsia="仿宋_GB2312" w:cs="仿宋_GB2312"/>
          <w:sz w:val="32"/>
          <w:szCs w:val="32"/>
          <w:lang w:eastAsia="zh-CN"/>
        </w:rPr>
        <w:t>严格债务限额管理，</w:t>
      </w:r>
      <w:r>
        <w:rPr>
          <w:rFonts w:ascii="Times New Roman" w:eastAsia="仿宋_GB2312"/>
          <w:sz w:val="32"/>
          <w:szCs w:val="32"/>
        </w:rPr>
        <w:t>规范地方政府举债行为，所有政府投资建设项目，必须先审批，明确资金来源后才能实施，严禁新增债务</w:t>
      </w:r>
      <w:r>
        <w:rPr>
          <w:rFonts w:hint="eastAsia" w:ascii="Times New Roman" w:eastAsia="仿宋_GB2312"/>
          <w:sz w:val="32"/>
          <w:szCs w:val="32"/>
          <w:lang w:eastAsia="zh-CN"/>
        </w:rPr>
        <w:t>，</w:t>
      </w:r>
      <w:r>
        <w:rPr>
          <w:rFonts w:hint="eastAsia" w:ascii="仿宋" w:hAnsi="仿宋" w:eastAsia="仿宋_GB2312"/>
          <w:sz w:val="32"/>
          <w:szCs w:val="32"/>
          <w:lang w:val="en-US" w:eastAsia="zh-CN"/>
        </w:rPr>
        <w:t>政府债务未突破限额标准，债务安全可控。</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全力支持污染防治。针对薄弱环节，加大财政支持力度，足额保障环保部门工作经费，加强环保项目保障。年初下达环境保护与督查经费</w:t>
      </w:r>
      <w:r>
        <w:rPr>
          <w:rFonts w:hint="eastAsia" w:ascii="仿宋_GB2312" w:hAnsi="仿宋_GB2312" w:eastAsia="仿宋_GB2312" w:cs="仿宋_GB2312"/>
          <w:sz w:val="32"/>
          <w:szCs w:val="32"/>
          <w:lang w:val="en-US" w:eastAsia="zh-CN"/>
        </w:rPr>
        <w:t>35万元，</w:t>
      </w:r>
      <w:r>
        <w:rPr>
          <w:rFonts w:hint="eastAsia" w:ascii="仿宋_GB2312" w:hAnsi="仿宋_GB2312" w:eastAsia="仿宋_GB2312" w:cs="仿宋_GB2312"/>
          <w:sz w:val="32"/>
          <w:szCs w:val="32"/>
          <w:lang w:eastAsia="zh-CN"/>
        </w:rPr>
        <w:t>保障水污染防治、空气质量检测等经费</w:t>
      </w:r>
      <w:r>
        <w:rPr>
          <w:rFonts w:hint="eastAsia" w:ascii="仿宋_GB2312" w:hAnsi="仿宋_GB2312" w:eastAsia="仿宋_GB2312" w:cs="仿宋_GB2312"/>
          <w:sz w:val="32"/>
          <w:szCs w:val="32"/>
          <w:lang w:val="en-US" w:eastAsia="zh-CN"/>
        </w:rPr>
        <w:t>823</w:t>
      </w:r>
      <w:r>
        <w:rPr>
          <w:rFonts w:hint="eastAsia" w:ascii="仿宋_GB2312" w:hAnsi="仿宋_GB2312" w:eastAsia="仿宋_GB2312" w:cs="仿宋_GB2312"/>
          <w:sz w:val="32"/>
          <w:szCs w:val="32"/>
          <w:lang w:eastAsia="zh-CN"/>
        </w:rPr>
        <w:t>万元，安排农村水污染治理“千村示范”工程等资金</w:t>
      </w:r>
      <w:r>
        <w:rPr>
          <w:rFonts w:hint="eastAsia" w:ascii="仿宋_GB2312" w:hAnsi="仿宋_GB2312" w:eastAsia="仿宋_GB2312" w:cs="仿宋_GB2312"/>
          <w:sz w:val="32"/>
          <w:szCs w:val="32"/>
          <w:lang w:val="en-US" w:eastAsia="zh-CN"/>
        </w:rPr>
        <w:t>360万元，</w:t>
      </w:r>
      <w:r>
        <w:rPr>
          <w:rFonts w:hint="eastAsia" w:ascii="仿宋_GB2312" w:hAnsi="仿宋_GB2312" w:eastAsia="仿宋_GB2312" w:cs="仿宋_GB2312"/>
          <w:sz w:val="32"/>
          <w:szCs w:val="32"/>
          <w:lang w:eastAsia="zh-CN"/>
        </w:rPr>
        <w:t>土壤污染防治等专项资金</w:t>
      </w:r>
      <w:r>
        <w:rPr>
          <w:rFonts w:hint="eastAsia" w:ascii="仿宋_GB2312" w:hAnsi="仿宋_GB2312" w:eastAsia="仿宋_GB2312" w:cs="仿宋_GB2312"/>
          <w:sz w:val="32"/>
          <w:szCs w:val="32"/>
          <w:lang w:val="en-US" w:eastAsia="zh-CN"/>
        </w:rPr>
        <w:t>1000万元，下达天然林资源保护专项资金600万元、长江经济带废弃露天矿山生态修复项目690万元，全力支持打好污染防治攻坚战。</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坚持保重点，助力“三大主战场”。</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全力争取资金。</w:t>
      </w:r>
      <w:r>
        <w:rPr>
          <w:rFonts w:hint="eastAsia" w:ascii="仿宋_GB2312" w:hAnsi="仿宋_GB2312" w:eastAsia="仿宋_GB2312" w:cs="仿宋_GB2312"/>
          <w:b w:val="0"/>
          <w:bCs w:val="0"/>
          <w:sz w:val="32"/>
          <w:szCs w:val="32"/>
        </w:rPr>
        <w:t>修订了《争取资金考核办法》，</w:t>
      </w:r>
      <w:r>
        <w:rPr>
          <w:rFonts w:hint="eastAsia" w:ascii="仿宋_GB2312" w:hAnsi="仿宋_GB2312" w:eastAsia="仿宋_GB2312" w:cs="仿宋_GB2312"/>
          <w:b w:val="0"/>
          <w:bCs w:val="0"/>
          <w:sz w:val="32"/>
          <w:szCs w:val="32"/>
          <w:lang w:eastAsia="zh-CN"/>
        </w:rPr>
        <w:t>坚持</w:t>
      </w:r>
      <w:r>
        <w:rPr>
          <w:rFonts w:hint="eastAsia" w:ascii="仿宋_GB2312" w:hAnsi="仿宋_GB2312" w:eastAsia="仿宋_GB2312" w:cs="仿宋_GB2312"/>
          <w:b w:val="0"/>
          <w:bCs w:val="0"/>
          <w:sz w:val="32"/>
          <w:szCs w:val="32"/>
        </w:rPr>
        <w:t>实行月通报</w:t>
      </w:r>
      <w:r>
        <w:rPr>
          <w:rFonts w:hint="eastAsia" w:ascii="仿宋_GB2312" w:hAnsi="仿宋_GB2312" w:eastAsia="仿宋_GB2312" w:cs="仿宋_GB2312"/>
          <w:b w:val="0"/>
          <w:bCs w:val="0"/>
          <w:sz w:val="32"/>
          <w:szCs w:val="32"/>
          <w:lang w:eastAsia="zh-CN"/>
        </w:rPr>
        <w:t>季考核</w:t>
      </w:r>
      <w:r>
        <w:rPr>
          <w:rFonts w:hint="eastAsia" w:ascii="仿宋_GB2312" w:hAnsi="仿宋_GB2312" w:eastAsia="仿宋_GB2312" w:cs="仿宋_GB2312"/>
          <w:b w:val="0"/>
          <w:bCs w:val="0"/>
          <w:sz w:val="32"/>
          <w:szCs w:val="32"/>
        </w:rPr>
        <w:t>、“清单制+责任制”等制度，压实</w:t>
      </w:r>
      <w:r>
        <w:rPr>
          <w:rFonts w:hint="eastAsia" w:ascii="仿宋_GB2312" w:hAnsi="仿宋_GB2312" w:eastAsia="仿宋_GB2312" w:cs="仿宋_GB2312"/>
          <w:b w:val="0"/>
          <w:bCs w:val="0"/>
          <w:sz w:val="32"/>
          <w:szCs w:val="32"/>
          <w:lang w:eastAsia="zh-CN"/>
        </w:rPr>
        <w:t>各部门</w:t>
      </w:r>
      <w:r>
        <w:rPr>
          <w:rFonts w:hint="eastAsia" w:ascii="仿宋_GB2312" w:hAnsi="仿宋_GB2312" w:eastAsia="仿宋_GB2312" w:cs="仿宋_GB2312"/>
          <w:b w:val="0"/>
          <w:bCs w:val="0"/>
          <w:sz w:val="32"/>
          <w:szCs w:val="32"/>
        </w:rPr>
        <w:t>责任，强化经费保障，</w:t>
      </w:r>
      <w:r>
        <w:rPr>
          <w:rFonts w:hint="eastAsia" w:ascii="仿宋_GB2312" w:hAnsi="仿宋_GB2312" w:eastAsia="仿宋_GB2312" w:cs="仿宋_GB2312"/>
          <w:sz w:val="32"/>
          <w:szCs w:val="32"/>
          <w:lang w:eastAsia="zh-CN"/>
        </w:rPr>
        <w:t>争取资金工作取得明显成效</w:t>
      </w:r>
      <w:r>
        <w:rPr>
          <w:rFonts w:hint="eastAsia" w:ascii="仿宋_GB2312" w:hAnsi="仿宋_GB2312" w:eastAsia="仿宋_GB2312" w:cs="仿宋_GB2312"/>
          <w:b w:val="0"/>
          <w:bCs w:val="0"/>
          <w:sz w:val="32"/>
          <w:szCs w:val="32"/>
        </w:rPr>
        <w:t>。共</w:t>
      </w:r>
      <w:r>
        <w:rPr>
          <w:rFonts w:hint="eastAsia" w:ascii="仿宋_GB2312" w:hAnsi="仿宋_GB2312" w:eastAsia="仿宋_GB2312" w:cs="仿宋_GB2312"/>
          <w:sz w:val="32"/>
          <w:szCs w:val="32"/>
        </w:rPr>
        <w:t>争取到位上级财政资金</w:t>
      </w:r>
      <w:r>
        <w:rPr>
          <w:rFonts w:hint="eastAsia" w:ascii="仿宋_GB2312" w:hAnsi="仿宋_GB2312" w:eastAsia="仿宋_GB2312" w:cs="仿宋_GB2312"/>
          <w:sz w:val="32"/>
          <w:szCs w:val="32"/>
          <w:lang w:val="en-US" w:eastAsia="zh-CN"/>
        </w:rPr>
        <w:t>25.47亿元，同比增加1.69亿元，增长7.9%，</w:t>
      </w:r>
      <w:r>
        <w:rPr>
          <w:rFonts w:hint="eastAsia" w:ascii="仿宋_GB2312" w:hAnsi="仿宋_GB2312" w:eastAsia="仿宋_GB2312" w:cs="仿宋_GB2312"/>
          <w:sz w:val="32"/>
          <w:szCs w:val="32"/>
          <w:lang w:eastAsia="zh-CN"/>
        </w:rPr>
        <w:t>加上</w:t>
      </w:r>
      <w:r>
        <w:rPr>
          <w:rFonts w:hint="eastAsia" w:ascii="仿宋_GB2312" w:hAnsi="仿宋_GB2312" w:eastAsia="仿宋_GB2312" w:cs="仿宋_GB2312"/>
          <w:sz w:val="32"/>
          <w:szCs w:val="32"/>
        </w:rPr>
        <w:t>融资类资金</w:t>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亿元、再融资债券类资金</w:t>
      </w:r>
      <w:r>
        <w:rPr>
          <w:rFonts w:hint="eastAsia" w:ascii="仿宋_GB2312" w:hAnsi="仿宋_GB2312" w:eastAsia="仿宋_GB2312" w:cs="仿宋_GB2312"/>
          <w:sz w:val="32"/>
          <w:szCs w:val="32"/>
          <w:lang w:val="en-US" w:eastAsia="zh-CN"/>
        </w:rPr>
        <w:t>4.03</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融资拨款</w:t>
      </w:r>
      <w:r>
        <w:rPr>
          <w:rFonts w:hint="eastAsia" w:ascii="仿宋_GB2312" w:hAnsi="仿宋_GB2312" w:eastAsia="仿宋_GB2312" w:cs="仿宋_GB2312"/>
          <w:sz w:val="32"/>
          <w:szCs w:val="32"/>
          <w:lang w:val="en-US" w:eastAsia="zh-CN"/>
        </w:rPr>
        <w:t>0.41亿</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共计完成</w:t>
      </w:r>
      <w:r>
        <w:rPr>
          <w:rFonts w:hint="eastAsia" w:ascii="仿宋_GB2312" w:hAnsi="仿宋_GB2312" w:eastAsia="仿宋_GB2312" w:cs="仿宋_GB2312"/>
          <w:sz w:val="32"/>
          <w:szCs w:val="32"/>
          <w:lang w:val="en-US" w:eastAsia="zh-CN"/>
        </w:rPr>
        <w:t>36.61</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lang w:eastAsia="zh-CN"/>
        </w:rPr>
        <w:t>全力服务项目投资“大比武”，通过</w:t>
      </w:r>
      <w:r>
        <w:rPr>
          <w:rFonts w:hint="eastAsia" w:ascii="仿宋_GB2312" w:hAnsi="仿宋_GB2312" w:eastAsia="仿宋_GB2312" w:cs="仿宋_GB2312"/>
          <w:sz w:val="32"/>
          <w:szCs w:val="32"/>
          <w:shd w:val="clear"/>
          <w:lang w:val="en-US" w:eastAsia="zh-CN"/>
        </w:rPr>
        <w:t>PPP、社会化融资等</w:t>
      </w:r>
      <w:r>
        <w:rPr>
          <w:rFonts w:hint="eastAsia" w:ascii="仿宋_GB2312" w:hAnsi="仿宋_GB2312" w:eastAsia="仿宋_GB2312" w:cs="仿宋_GB2312"/>
          <w:sz w:val="32"/>
          <w:szCs w:val="32"/>
          <w:shd w:val="clear"/>
          <w:lang w:eastAsia="zh-CN"/>
        </w:rPr>
        <w:t>多渠道投入</w:t>
      </w:r>
      <w:r>
        <w:rPr>
          <w:rFonts w:hint="eastAsia" w:ascii="仿宋_GB2312" w:hAnsi="仿宋_GB2312" w:eastAsia="仿宋_GB2312" w:cs="仿宋_GB2312"/>
          <w:sz w:val="32"/>
          <w:szCs w:val="32"/>
          <w:shd w:val="clear"/>
          <w:lang w:val="en-US" w:eastAsia="zh-CN"/>
        </w:rPr>
        <w:t>资金，</w:t>
      </w:r>
      <w:r>
        <w:rPr>
          <w:rFonts w:hint="eastAsia" w:ascii="仿宋_GB2312" w:hAnsi="仿宋_GB2312" w:eastAsia="仿宋_GB2312" w:cs="仿宋_GB2312"/>
          <w:sz w:val="32"/>
          <w:szCs w:val="32"/>
          <w:shd w:val="clear"/>
          <w:lang w:eastAsia="zh-CN"/>
        </w:rPr>
        <w:t>大力支持“两路一隧”、大寨水库、鸭浮天雄堤防、棚户区改造、射箭嘉陵江大桥、亭子湖环湖旅游公路等重点项目推进。</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支持做强产业。</w:t>
      </w:r>
      <w:r>
        <w:rPr>
          <w:rFonts w:hint="eastAsia" w:ascii="仿宋_GB2312" w:hAnsi="仿宋_GB2312" w:eastAsia="仿宋_GB2312" w:cs="仿宋_GB2312"/>
          <w:sz w:val="32"/>
          <w:szCs w:val="32"/>
          <w:lang w:eastAsia="zh-CN"/>
        </w:rPr>
        <w:t>投入</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lang w:eastAsia="zh-CN"/>
        </w:rPr>
        <w:t>亿元，改造提升滨湖等农业园区，新建小寺山、五房药博园等农业综合体，支持创建双凤省五星级现代农业园区；累计发放产业扶持基金3258万元，小额扶贫信贷基金撬动贷款1.76亿元，立信农业公司担保发放贷款1.5亿元，助力发展农业特色产业。多方式累计投入资金6亿元，竭力支持西部绿色家居产业城和元柳工业园区建设，全面贯彻落实国家减税降费政策，扎实开展减税降费落实情况专项调研，拨付资金1300余万元大力支持工业企业发展，安排农村电商扶贫等资金900余万元，支持商业服务业发展。</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支持乡村振兴。建立健全财政投入保障机制，积极调整财政资金向“三农”倾斜，投</w:t>
      </w:r>
      <w:r>
        <w:rPr>
          <w:rFonts w:hint="eastAsia" w:ascii="仿宋_GB2312" w:hAnsi="仿宋_GB2312" w:eastAsia="仿宋_GB2312" w:cs="仿宋_GB2312"/>
          <w:sz w:val="32"/>
          <w:szCs w:val="32"/>
          <w:lang w:eastAsia="zh-CN"/>
        </w:rPr>
        <w:t>入全区“三农”资金达</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亿元，积极推进“幸福美丽乡村”建设，大力支持乡村振兴示范乡镇、村创建。统筹整合资金</w:t>
      </w:r>
      <w:r>
        <w:rPr>
          <w:rFonts w:hint="eastAsia" w:ascii="仿宋_GB2312" w:hAnsi="仿宋_GB2312" w:eastAsia="仿宋_GB2312" w:cs="仿宋_GB2312"/>
          <w:sz w:val="32"/>
          <w:szCs w:val="32"/>
          <w:lang w:val="en-US" w:eastAsia="zh-CN"/>
        </w:rPr>
        <w:t>1.2亿</w:t>
      </w:r>
      <w:r>
        <w:rPr>
          <w:rFonts w:hint="eastAsia" w:ascii="仿宋_GB2312" w:hAnsi="仿宋_GB2312" w:eastAsia="仿宋_GB2312" w:cs="仿宋_GB2312"/>
          <w:sz w:val="32"/>
          <w:szCs w:val="32"/>
          <w:lang w:eastAsia="zh-CN"/>
        </w:rPr>
        <w:t>元，发展壮大绿色果蔬、有机渔业、高效林业等特色产业。安排资金</w:t>
      </w:r>
      <w:r>
        <w:rPr>
          <w:rFonts w:hint="eastAsia" w:ascii="仿宋_GB2312" w:hAnsi="仿宋_GB2312" w:eastAsia="仿宋_GB2312" w:cs="仿宋_GB2312"/>
          <w:sz w:val="32"/>
          <w:szCs w:val="32"/>
          <w:lang w:val="en-US" w:eastAsia="zh-CN"/>
        </w:rPr>
        <w:t>7000余</w:t>
      </w:r>
      <w:r>
        <w:rPr>
          <w:rFonts w:hint="eastAsia" w:ascii="仿宋_GB2312" w:hAnsi="仿宋_GB2312" w:eastAsia="仿宋_GB2312" w:cs="仿宋_GB2312"/>
          <w:sz w:val="32"/>
          <w:szCs w:val="32"/>
          <w:lang w:eastAsia="zh-CN"/>
        </w:rPr>
        <w:t>万元，实施“四好农村路建设”，支持农村生态恢复和保障农村通信，大力改善农村基础设施条件。安排资金</w:t>
      </w:r>
      <w:r>
        <w:rPr>
          <w:rFonts w:hint="eastAsia" w:ascii="仿宋_GB2312" w:hAnsi="仿宋_GB2312" w:eastAsia="仿宋_GB2312" w:cs="仿宋_GB2312"/>
          <w:sz w:val="32"/>
          <w:szCs w:val="32"/>
          <w:lang w:val="en-US" w:eastAsia="zh-CN"/>
        </w:rPr>
        <w:t>2000余万元，</w:t>
      </w:r>
      <w:r>
        <w:rPr>
          <w:rFonts w:hint="eastAsia" w:ascii="仿宋_GB2312" w:hAnsi="仿宋_GB2312" w:eastAsia="仿宋_GB2312" w:cs="仿宋_GB2312"/>
          <w:sz w:val="32"/>
          <w:szCs w:val="32"/>
          <w:lang w:eastAsia="zh-CN"/>
        </w:rPr>
        <w:t>深入开展农村人居环境整治三年行动，持续开展厕所专项整治，支持污水处理。转变财政支农方式，强力推进“五补五改”，充实并用好用活乡村振兴风险基金</w:t>
      </w:r>
      <w:r>
        <w:rPr>
          <w:rFonts w:hint="eastAsia" w:ascii="仿宋_GB2312" w:hAnsi="仿宋_GB2312" w:eastAsia="仿宋_GB2312" w:cs="仿宋_GB2312"/>
          <w:sz w:val="32"/>
          <w:szCs w:val="32"/>
          <w:lang w:val="en-US" w:eastAsia="zh-CN"/>
        </w:rPr>
        <w:t>1087万元，</w:t>
      </w:r>
      <w:r>
        <w:rPr>
          <w:rFonts w:hint="eastAsia" w:ascii="仿宋_GB2312" w:hAnsi="仿宋_GB2312" w:eastAsia="仿宋_GB2312" w:cs="仿宋_GB2312"/>
          <w:sz w:val="32"/>
          <w:szCs w:val="32"/>
          <w:lang w:eastAsia="zh-CN"/>
        </w:rPr>
        <w:t>建立健全农业信贷担保体系建设，切实分担农民和农业生产组织的经营风险。</w:t>
      </w:r>
      <w:r>
        <w:rPr>
          <w:rFonts w:hint="eastAsia" w:ascii="仿宋_GB2312" w:hAnsi="仿宋_GB2312" w:eastAsia="仿宋_GB2312" w:cs="仿宋_GB2312"/>
          <w:sz w:val="32"/>
          <w:szCs w:val="32"/>
          <w:lang w:val="en-US" w:eastAsia="zh-CN"/>
        </w:rPr>
        <w:t>全力支持打赢“非洲猪瘟”防控战，</w:t>
      </w:r>
      <w:r>
        <w:rPr>
          <w:rFonts w:hint="eastAsia" w:ascii="仿宋_GB2312" w:hAnsi="仿宋_GB2312" w:eastAsia="仿宋_GB2312" w:cs="仿宋_GB2312"/>
          <w:sz w:val="32"/>
          <w:szCs w:val="32"/>
          <w:lang w:eastAsia="zh-CN"/>
        </w:rPr>
        <w:t>扎实开展“涉农保险补贴问题”专项整治，维护农户权益。</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坚持促改革，提升财政管理水平。</w:t>
      </w:r>
      <w:r>
        <w:rPr>
          <w:rFonts w:hint="eastAsia" w:ascii="仿宋_GB2312" w:hAnsi="仿宋_GB2312" w:eastAsia="仿宋_GB2312" w:cs="仿宋_GB2312"/>
          <w:sz w:val="32"/>
          <w:szCs w:val="32"/>
          <w:lang w:eastAsia="zh-CN"/>
        </w:rPr>
        <w:t>聚焦财政改革两年攻坚战，已完成预算管理、国库集中支付等63项改革，销号完成率85%。</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严格预算绩效评价。强化绩效目标设置，首次将部门预算绩效目标纳入预算编制和上人代会，随同年初预算一并批复，严格要求30万元以上专款上政府常务会的同时必须提交项目绩效目标。强化绩效评价结果运用，对2018年已开展绩效评价的50个部门和项目分别奖励、惩扣部门经费3万元、14.8万元。2019年通过公开采购正对全区51个部门财务管理和68个项目开展绩效评价，全覆盖到“四本预算”。</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深化国库集中支付改革。实行“财政资金大统筹”，将所有财政资金纳入国库单一账户体系管理，实现所有财政资金收支“一个口子”进出，破解财政库款调度难题和资金沉淀问题，提高了财政资金使用效益。共收到141个单位转存资金40853万元，</w:t>
      </w:r>
      <w:r>
        <w:rPr>
          <w:rFonts w:hint="eastAsia" w:ascii="仿宋_GB2312" w:hAnsi="仿宋_GB2312" w:eastAsia="仿宋_GB2312" w:cs="仿宋_GB2312"/>
          <w:sz w:val="32"/>
          <w:szCs w:val="32"/>
          <w:shd w:val="clear"/>
          <w:lang w:eastAsia="zh-CN"/>
        </w:rPr>
        <w:t>支付9368万元，结转资金31485万元。</w:t>
      </w:r>
      <w:r>
        <w:rPr>
          <w:rFonts w:hint="eastAsia" w:ascii="仿宋_GB2312" w:hAnsi="仿宋_GB2312" w:eastAsia="仿宋_GB2312" w:cs="仿宋_GB2312"/>
          <w:b w:val="0"/>
          <w:bCs w:val="0"/>
          <w:sz w:val="32"/>
          <w:szCs w:val="32"/>
          <w:shd w:val="clear"/>
          <w:lang w:val="en-US" w:eastAsia="zh-CN"/>
        </w:rPr>
        <w:t>进一步健全“大平台”动态监控规则体系，及时监控和纠正平台违规行为。严格财政资金支付，督促合规合理使用财政资金，确保资金安全有效。</w:t>
      </w: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i w:val="0"/>
          <w:iCs w:val="0"/>
          <w:sz w:val="32"/>
          <w:szCs w:val="32"/>
        </w:rPr>
        <w:t>是</w:t>
      </w:r>
      <w:r>
        <w:rPr>
          <w:rFonts w:hint="eastAsia" w:ascii="仿宋_GB2312" w:hAnsi="仿宋_GB2312" w:eastAsia="仿宋_GB2312" w:cs="仿宋_GB2312"/>
          <w:sz w:val="32"/>
          <w:szCs w:val="32"/>
        </w:rPr>
        <w:t>全面清理盘活存量资金。清理2018年及以前年度部门预算和财政专户存量资金14.4亿元，其中已呈报区政府收回2.19亿元，首次突破2亿元，统筹用于经济社会发展的重要领域和关键环节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安排8933万元用于解决2018年度区政府审批支出缺口，剩余12943万元用于弥补2019年预算缺口。</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坚持强监管，提升财政监督质效</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惠民资金“一卡通”发放长效机制。巩固“一卡通”专项治理成果，将惠民补贴资金统一归集到受益人的社保卡发放，</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免费为农户开通资金到账短信提示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已成功发放</w:t>
      </w:r>
      <w:r>
        <w:rPr>
          <w:rFonts w:hint="eastAsia" w:ascii="仿宋_GB2312" w:hAnsi="仿宋_GB2312" w:eastAsia="仿宋_GB2312" w:cs="仿宋_GB2312"/>
          <w:sz w:val="32"/>
          <w:szCs w:val="32"/>
          <w:lang w:val="en-US" w:eastAsia="zh-CN"/>
        </w:rPr>
        <w:t>31项</w:t>
      </w:r>
      <w:r>
        <w:rPr>
          <w:rFonts w:hint="eastAsia" w:ascii="仿宋_GB2312" w:hAnsi="仿宋_GB2312" w:eastAsia="仿宋_GB2312" w:cs="仿宋_GB2312"/>
          <w:sz w:val="32"/>
          <w:szCs w:val="32"/>
        </w:rPr>
        <w:t>惠民惠农财政补贴资金</w:t>
      </w:r>
      <w:r>
        <w:rPr>
          <w:rFonts w:hint="default" w:ascii="Times New Roman" w:hAnsi="Times New Roman" w:eastAsia="仿宋_GB2312" w:cs="Times New Roman"/>
          <w:color w:val="auto"/>
          <w:spacing w:val="0"/>
          <w:sz w:val="32"/>
          <w:szCs w:val="32"/>
          <w:highlight w:val="none"/>
          <w:lang w:val="en-US" w:eastAsia="zh-CN"/>
        </w:rPr>
        <w:t>5692</w:t>
      </w:r>
      <w:r>
        <w:rPr>
          <w:rFonts w:hint="eastAsia" w:ascii="仿宋_GB2312" w:hAnsi="仿宋_GB2312" w:eastAsia="仿宋_GB2312" w:cs="仿宋_GB2312"/>
          <w:sz w:val="32"/>
          <w:szCs w:val="32"/>
        </w:rPr>
        <w:t>万元，受益对象</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 xml:space="preserve"> 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创新惠民补贴资金微信查询模块和网上“一键投诉直达”</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pacing w:val="0"/>
          <w:sz w:val="32"/>
          <w:szCs w:val="32"/>
          <w:highlight w:val="none"/>
          <w:lang w:val="en-US" w:eastAsia="zh-CN"/>
        </w:rPr>
        <w:t>实现了惠民资金“掌心明白、指尖监督”。</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加强财政监督检查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开展滥发工资奖金津补贴和“三公”经费</w:t>
      </w:r>
      <w:r>
        <w:rPr>
          <w:rFonts w:hint="eastAsia" w:ascii="仿宋_GB2312" w:hAnsi="仿宋_GB2312" w:eastAsia="仿宋_GB2312" w:cs="仿宋_GB2312"/>
          <w:sz w:val="32"/>
          <w:szCs w:val="32"/>
          <w:lang w:eastAsia="zh-CN"/>
        </w:rPr>
        <w:t>专项整治</w:t>
      </w:r>
      <w:r>
        <w:rPr>
          <w:rFonts w:hint="eastAsia" w:ascii="仿宋_GB2312" w:hAnsi="仿宋_GB2312" w:eastAsia="仿宋_GB2312" w:cs="仿宋_GB2312"/>
          <w:sz w:val="32"/>
          <w:szCs w:val="32"/>
        </w:rPr>
        <w:t>，向区纪监委移交线索</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，追缴收回</w:t>
      </w:r>
      <w:r>
        <w:rPr>
          <w:rFonts w:hint="eastAsia" w:ascii="仿宋_GB2312" w:hAnsi="仿宋_GB2312" w:eastAsia="仿宋_GB2312" w:cs="仿宋_GB2312"/>
          <w:sz w:val="32"/>
          <w:szCs w:val="32"/>
          <w:lang w:eastAsia="zh-CN"/>
        </w:rPr>
        <w:t>违纪</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90余</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聚焦扶贫资金违纪违规问题，开展</w:t>
      </w:r>
      <w:r>
        <w:rPr>
          <w:rFonts w:hint="eastAsia" w:ascii="仿宋_GB2312" w:hAnsi="仿宋_GB2312" w:eastAsia="仿宋_GB2312" w:cs="仿宋_GB2312"/>
          <w:sz w:val="32"/>
          <w:szCs w:val="32"/>
        </w:rPr>
        <w:t>以财政专项扶贫资金为重点的综合检查</w:t>
      </w:r>
      <w:r>
        <w:rPr>
          <w:rFonts w:hint="eastAsia" w:ascii="仿宋_GB2312" w:hAnsi="仿宋_GB2312" w:eastAsia="仿宋_GB2312" w:cs="仿宋_GB2312"/>
          <w:sz w:val="32"/>
          <w:szCs w:val="32"/>
          <w:lang w:eastAsia="zh-CN"/>
        </w:rPr>
        <w:t>和以</w:t>
      </w:r>
      <w:r>
        <w:rPr>
          <w:rFonts w:hint="eastAsia" w:ascii="仿宋_GB2312" w:hAnsi="仿宋_GB2312" w:eastAsia="仿宋_GB2312" w:cs="仿宋_GB2312"/>
          <w:sz w:val="32"/>
          <w:szCs w:val="32"/>
        </w:rPr>
        <w:t>“四项基金”</w:t>
      </w:r>
      <w:r>
        <w:rPr>
          <w:rFonts w:hint="eastAsia" w:ascii="仿宋_GB2312" w:hAnsi="仿宋_GB2312" w:eastAsia="仿宋_GB2312" w:cs="仿宋_GB2312"/>
          <w:sz w:val="32"/>
          <w:szCs w:val="32"/>
          <w:lang w:eastAsia="zh-CN"/>
        </w:rPr>
        <w:t>等为重点的</w:t>
      </w:r>
      <w:r>
        <w:rPr>
          <w:rFonts w:hint="eastAsia" w:ascii="仿宋_GB2312" w:hAnsi="仿宋_GB2312" w:eastAsia="仿宋_GB2312" w:cs="仿宋_GB2312"/>
          <w:sz w:val="32"/>
          <w:szCs w:val="32"/>
        </w:rPr>
        <w:t>专项核查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下达处理决定19份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督促收回小额信贷资金216.8万元</w:t>
      </w:r>
      <w:r>
        <w:rPr>
          <w:rFonts w:hint="eastAsia" w:ascii="仿宋_GB2312" w:hAnsi="仿宋_GB2312" w:eastAsia="仿宋_GB2312" w:cs="仿宋_GB2312"/>
          <w:sz w:val="32"/>
          <w:szCs w:val="32"/>
          <w:lang w:eastAsia="zh-CN"/>
        </w:rPr>
        <w:t>，督促乡镇支付滞留资金724.2万元。</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狠抓政府采购</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。印发系列制度文件，减化政府采购审批流程</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4个，严格执行各项采购制度，加强监督考核，进一步提升采购质效。共备案采购项目</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个，执行采购项目</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个，预算金额6459万元，实际采购5992万元,节约资金467万元</w:t>
      </w:r>
      <w:r>
        <w:rPr>
          <w:rFonts w:hint="eastAsia" w:ascii="仿宋_GB2312" w:hAnsi="仿宋_GB2312" w:eastAsia="仿宋_GB2312" w:cs="仿宋_GB2312"/>
          <w:sz w:val="32"/>
          <w:szCs w:val="32"/>
          <w:lang w:eastAsia="zh-CN"/>
        </w:rPr>
        <w:t>。做好全区扶贫新产品采购预留分额工作，预留采购金额313万元，有力的支持了贫困地区经济发展。</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rPr>
        <w:t>打造</w:t>
      </w:r>
      <w:r>
        <w:rPr>
          <w:rFonts w:hint="eastAsia" w:ascii="仿宋_GB2312" w:hAnsi="仿宋_GB2312" w:eastAsia="仿宋_GB2312" w:cs="仿宋_GB2312"/>
          <w:b w:val="0"/>
          <w:bCs w:val="0"/>
          <w:sz w:val="32"/>
          <w:szCs w:val="32"/>
          <w:lang w:eastAsia="zh-CN"/>
        </w:rPr>
        <w:t>高质效</w:t>
      </w:r>
      <w:r>
        <w:rPr>
          <w:rFonts w:hint="eastAsia" w:ascii="仿宋_GB2312" w:hAnsi="仿宋_GB2312" w:eastAsia="仿宋_GB2312" w:cs="仿宋_GB2312"/>
          <w:b w:val="0"/>
          <w:bCs w:val="0"/>
          <w:sz w:val="32"/>
          <w:szCs w:val="32"/>
        </w:rPr>
        <w:t>财评。</w:t>
      </w:r>
      <w:r>
        <w:rPr>
          <w:rFonts w:hint="eastAsia" w:ascii="仿宋_GB2312" w:hAnsi="仿宋_GB2312" w:eastAsia="仿宋_GB2312" w:cs="仿宋_GB2312"/>
          <w:sz w:val="32"/>
          <w:szCs w:val="32"/>
        </w:rPr>
        <w:t>坚持限时办结、“班车轮流”分配、抽查式复审、“容缺”管理等制度，实行面向社会、区领导、服务对象、中介机构公开的“四公开”机制，加强中介监管考核，逗硬奖惩，进一步提升评审质效。共评审项目100个，送审金额7</w:t>
      </w:r>
      <w:r>
        <w:rPr>
          <w:rFonts w:hint="eastAsia" w:ascii="仿宋_GB2312" w:hAnsi="仿宋_GB2312" w:eastAsia="仿宋_GB2312" w:cs="仿宋_GB2312"/>
          <w:sz w:val="32"/>
          <w:szCs w:val="32"/>
          <w:lang w:val="en-US" w:eastAsia="zh-CN"/>
        </w:rPr>
        <w:t>.67亿</w:t>
      </w:r>
      <w:r>
        <w:rPr>
          <w:rFonts w:hint="eastAsia" w:ascii="仿宋_GB2312" w:hAnsi="仿宋_GB2312" w:eastAsia="仿宋_GB2312" w:cs="仿宋_GB2312"/>
          <w:sz w:val="32"/>
          <w:szCs w:val="32"/>
        </w:rPr>
        <w:t>元，审减4931.5万元，审减率6.4%。</w:t>
      </w:r>
      <w:r>
        <w:rPr>
          <w:rFonts w:hint="eastAsia" w:ascii="仿宋_GB2312" w:hAnsi="仿宋_GB2312" w:eastAsia="仿宋_GB2312" w:cs="仿宋_GB2312"/>
          <w:b/>
          <w:bCs/>
          <w:color w:val="auto"/>
          <w:kern w:val="2"/>
          <w:sz w:val="32"/>
          <w:szCs w:val="32"/>
          <w:lang w:val="en-US" w:eastAsia="zh-CN" w:bidi="ar-SA"/>
        </w:rPr>
        <w:t>五是</w:t>
      </w:r>
      <w:r>
        <w:rPr>
          <w:rFonts w:hint="eastAsia" w:ascii="仿宋_GB2312" w:hAnsi="仿宋_GB2312" w:eastAsia="仿宋_GB2312" w:cs="仿宋_GB2312"/>
          <w:color w:val="auto"/>
          <w:kern w:val="2"/>
          <w:sz w:val="32"/>
          <w:szCs w:val="32"/>
          <w:lang w:val="en-US" w:eastAsia="zh-CN" w:bidi="ar-SA"/>
        </w:rPr>
        <w:t>严格国有资产管理。实地核实单位资产情况9个，核实金额75.6万元，审定金额62.9万元，审减率16.8%。按时上报国有资产报告和资产三期信息系统管理工作，受到市局表彰。加强资产信息化管理，强化资产预算管理，资产购置计划未纳入当年预算不得新增资产。切实做好机构改革国有资产管理工作，全面清理资产情况，规范资产划转、处置，严防资产流失。</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lang w:eastAsia="zh-CN"/>
        </w:rPr>
        <w:t>坚持强基础，不断夯实财政队伍。</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高质量开展“不忘初心、牢记使命”主题教育。以习近平新时代中国特色社会主义思想为学习重点，坚持每周“晚间七点半”初心学堂集中研学，加强“四项”教育，开展好专题党课、</w:t>
      </w:r>
      <w:r>
        <w:rPr>
          <w:rFonts w:hint="eastAsia" w:ascii="仿宋_GB2312" w:hAnsi="仿宋_GB2312" w:eastAsia="仿宋_GB2312" w:cs="仿宋_GB2312"/>
          <w:sz w:val="32"/>
          <w:szCs w:val="32"/>
          <w:lang w:eastAsia="zh-CN"/>
        </w:rPr>
        <w:t>专题民主生活会、组织生活会</w:t>
      </w:r>
      <w:r>
        <w:rPr>
          <w:rFonts w:hint="eastAsia" w:ascii="仿宋_GB2312" w:hAnsi="仿宋_GB2312" w:eastAsia="仿宋_GB2312" w:cs="仿宋_GB2312"/>
          <w:b w:val="0"/>
          <w:bCs w:val="0"/>
          <w:sz w:val="32"/>
          <w:szCs w:val="32"/>
          <w:lang w:eastAsia="zh-CN"/>
        </w:rPr>
        <w:t>，创</w:t>
      </w:r>
      <w:r>
        <w:rPr>
          <w:rFonts w:hint="eastAsia" w:ascii="仿宋_GB2312" w:hAnsi="仿宋_GB2312" w:eastAsia="仿宋_GB2312" w:cs="仿宋_GB2312"/>
          <w:sz w:val="32"/>
          <w:szCs w:val="32"/>
          <w:lang w:eastAsia="zh-CN"/>
        </w:rPr>
        <w:t>新开展“主题教育+财政业务”调研活动，形成高质量调研报告8篇，对标“8+8+2+1”专项整治，创建问题整改“3+3清单”，实行销号式整改，注重定向性施策，坚持常态化治理，从根子上补短板、堵漏洞。</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lang w:val="en-US" w:eastAsia="zh-CN"/>
        </w:rPr>
        <w:t>进一步夯实理论和制度基础。印发《局2019年党建工作要点》，严格落实“三会一课”等制度，组织到旺苍木门、广元南山红色基地开展“践行初心使命、强化责任担当”等活动，接受党性和革命传统再教育。</w:t>
      </w:r>
      <w:r>
        <w:rPr>
          <w:rFonts w:hint="eastAsia" w:ascii="仿宋_GB2312" w:hAnsi="仿宋_GB2312" w:eastAsia="仿宋_GB2312" w:cs="仿宋_GB2312"/>
          <w:b w:val="0"/>
          <w:bCs/>
          <w:sz w:val="32"/>
          <w:szCs w:val="32"/>
          <w:lang w:val="en-US" w:eastAsia="zh-CN"/>
        </w:rPr>
        <w:t>制定学习计划，坚持党组会前“五学”，开展理论学习中心</w:t>
      </w:r>
      <w:r>
        <w:rPr>
          <w:rFonts w:hint="eastAsia" w:ascii="仿宋_GB2312" w:hAnsi="仿宋_GB2312" w:eastAsia="仿宋_GB2312" w:cs="仿宋_GB2312"/>
          <w:bCs/>
          <w:sz w:val="32"/>
          <w:szCs w:val="32"/>
          <w:lang w:val="en-US" w:eastAsia="zh-CN"/>
        </w:rPr>
        <w:t>组集体学习12次，宣讲党课9人次，督促通过“学习强国”APP等多种形式加强自主学习，引导全局党员干部进一步树牢“四个意识”，坚定“四个自信”，做到“两个维护”。</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lang w:val="en-US" w:eastAsia="zh-CN"/>
        </w:rPr>
        <w:t>进一步提升财政干部综合素质。组织全局机关干部参加以绩效管理为重点的综合学习培训，强化信息写作培训，科学制定完善目标考核办法，继续实施学历提升和职称考取计划，提升干部综合素质。开展“读书日”、“五四”青年、党小组党建等活动，兑现帮困补助和学历、职称奖励，提升凝聚力。组织财政（财会）干部培训班4期，培训300余人次，严格乡镇财政所考核，并通过交叉检查、派出学习等形式，提高了乡镇财政所人员的综合素质和实操技能。切实做好乡镇行政区划调整改革期间财务清理、资产移交、财政干部稳定等各项财政工作，确保财政干部和乡镇财政工作平稳过度。</w:t>
      </w:r>
      <w:r>
        <w:rPr>
          <w:rFonts w:hint="eastAsia" w:ascii="仿宋_GB2312" w:hAnsi="仿宋_GB2312" w:eastAsia="仿宋_GB2312" w:cs="仿宋_GB2312"/>
          <w:b/>
          <w:bCs w:val="0"/>
          <w:sz w:val="32"/>
          <w:szCs w:val="32"/>
          <w:lang w:val="en-US" w:eastAsia="zh-CN"/>
        </w:rPr>
        <w:t>四是</w:t>
      </w:r>
      <w:r>
        <w:rPr>
          <w:rFonts w:hint="eastAsia" w:ascii="仿宋_GB2312" w:hAnsi="仿宋_GB2312" w:eastAsia="仿宋_GB2312" w:cs="仿宋_GB2312"/>
          <w:bCs/>
          <w:sz w:val="32"/>
          <w:szCs w:val="32"/>
          <w:lang w:val="en-US" w:eastAsia="zh-CN"/>
        </w:rPr>
        <w:t>进一步落实联村帮扶各项工作。调整驻村工作队长2人，制定帮扶力量责任清单，压实派驻第一书记、驻村队员及帮扶干部职责，扎实开展“三同”活动，深入宣讲各类扶贫政策，为贫困户解决困难问题100余个。创新开展订单式“以购代帮”活动，当天购买贫困户产业发展成果1.2万元，签订协议2.7万元，后续“以购代帮”2万余元，激励贫困户大力发展产业增收致富，提升内生动力。3名下派干部分别被评为全区优秀第一书记、全省优秀驻村工作队员。</w:t>
      </w:r>
      <w:r>
        <w:rPr>
          <w:rFonts w:hint="eastAsia" w:ascii="仿宋_GB2312" w:hAnsi="仿宋_GB2312" w:eastAsia="仿宋_GB2312" w:cs="仿宋_GB2312"/>
          <w:sz w:val="32"/>
          <w:szCs w:val="32"/>
          <w:lang w:eastAsia="zh-CN"/>
        </w:rPr>
        <w:t>配合做好省厅联系的24个村相关脱贫攻坚工作，为省厅领导、处室走基层开展脱贫帮扶工作搞好沟通协调，提供好后勤保障，做好资料收集管理。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31"/>
        <w:textAlignment w:val="auto"/>
        <w:outlineLvl w:val="9"/>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bCs w:val="0"/>
          <w:sz w:val="32"/>
          <w:szCs w:val="32"/>
          <w:lang w:val="en-US" w:eastAsia="zh-CN"/>
        </w:rPr>
        <w:t>8、坚持防风险，持续抓好廉政建设。</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进一步压紧压</w:t>
      </w:r>
      <w:r>
        <w:rPr>
          <w:rFonts w:hint="eastAsia" w:ascii="仿宋_GB2312" w:hAnsi="仿宋_GB2312" w:eastAsia="仿宋_GB2312" w:cs="仿宋_GB2312"/>
          <w:bCs/>
          <w:sz w:val="32"/>
          <w:szCs w:val="32"/>
          <w:lang w:val="en-US" w:eastAsia="zh-CN"/>
        </w:rPr>
        <w:t>实责任。切实担起局党组从严治党“主体责任”和履行“一岗双责”，制订了《2019年党风廉政建设和反腐工作要点》以及《“作风纪律深化年”专项整治工作实施方案》，细化了目标和责任。与局班子成员签订了党风廉政“一岗双责”目标责任书5份，听取了领导班子成员“一岗双责”的履行情况16人次，向上报告党风建设情况4次。严格执行“三重一大”等民主议事决策制度，用好法律顾问，继续健全完善各项内控规章制度，扎实筑牢拒腐防变制度防火墙。积极支持驻局纪检监察组工作。</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进一步强化警示教育。系统学习了党规党纪和上级纪委会议精神，</w:t>
      </w:r>
      <w:r>
        <w:rPr>
          <w:rFonts w:hint="eastAsia" w:ascii="仿宋_GB2312" w:hAnsi="仿宋_GB2312" w:eastAsia="仿宋_GB2312" w:cs="仿宋_GB2312"/>
          <w:bCs/>
          <w:sz w:val="32"/>
          <w:szCs w:val="32"/>
          <w:lang w:val="en-US" w:eastAsia="zh-CN"/>
        </w:rPr>
        <w:t>改选机关支部纪检委员1人，负责机关日常党风廉政工作。</w:t>
      </w:r>
      <w:r>
        <w:rPr>
          <w:rFonts w:hint="eastAsia" w:ascii="仿宋_GB2312" w:hAnsi="仿宋_GB2312" w:eastAsia="仿宋_GB2312" w:cs="仿宋_GB2312"/>
          <w:b w:val="0"/>
          <w:bCs/>
          <w:sz w:val="32"/>
          <w:szCs w:val="32"/>
          <w:lang w:val="en-US" w:eastAsia="zh-CN"/>
        </w:rPr>
        <w:t>组织观</w:t>
      </w:r>
      <w:r>
        <w:rPr>
          <w:rFonts w:hint="eastAsia" w:ascii="仿宋_GB2312" w:hAnsi="仿宋_GB2312" w:eastAsia="仿宋_GB2312" w:cs="仿宋_GB2312"/>
          <w:bCs/>
          <w:sz w:val="32"/>
          <w:szCs w:val="32"/>
          <w:lang w:val="en-US" w:eastAsia="zh-CN"/>
        </w:rPr>
        <w:t>看了《滥权之鉴》警示教育片，坚持常态通报发生在群众身边、严重侵害群众利益的作风和腐败问题，扎实做好蒲波严重违纪违法案件、赵自学履行主体责任不力案“以案促改”工作，进一步加强关键岗位和重点领域廉政风险防控，对全局干部开展廉政谈话100余人次，让财政系统干部从身边的反面典型中吸取教训，坚持重要时间节点在单位QQ群、微信群，发送廉洁信息，做到提醒在先，预防在先，筑牢拒腐防变的思想红线，争做廉洁自律，做忠诚、干净、担当、有为的合格党员干部。</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进一步狠抓</w:t>
      </w:r>
      <w:r>
        <w:rPr>
          <w:rFonts w:hint="eastAsia" w:ascii="仿宋_GB2312" w:hAnsi="仿宋_GB2312" w:eastAsia="仿宋_GB2312" w:cs="仿宋_GB2312"/>
          <w:bCs/>
          <w:sz w:val="32"/>
          <w:szCs w:val="32"/>
          <w:lang w:val="en-US" w:eastAsia="zh-CN"/>
        </w:rPr>
        <w:t>作风纪律。持续深入开展“作风纪律深化年活动”九大整治，坚决整治形式主义、官僚主义，重点抓好首问负责、限时办结等工作制度的落实，大力精文减会，提高办事效率。对标对表徐令义同志来川调研财政扶贫资金使用管理等讲话精神，对存在的一些形式主义、官僚主义现象，高度警醒、引以为戒，举一反三，坚决整改。扎实开展“党员干部、公职人员赌博敛财”、“利用地方特产谋取私利”专项整治，厉行勤俭节约，坚持过“紧日子”，实现压缩机关运行经费10%的目标。</w:t>
      </w:r>
    </w:p>
    <w:p>
      <w:pPr>
        <w:pStyle w:val="4"/>
        <w:pageBreakBefore w:val="0"/>
        <w:widowControl w:val="0"/>
        <w:kinsoku/>
        <w:wordWrap/>
        <w:overflowPunct/>
        <w:topLinePunct w:val="0"/>
        <w:autoSpaceDE/>
        <w:autoSpaceDN/>
        <w:bidi w:val="0"/>
        <w:adjustRightInd/>
        <w:snapToGrid/>
        <w:spacing w:line="560" w:lineRule="exact"/>
        <w:textAlignment w:val="auto"/>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区财政局</w:t>
      </w:r>
      <w:r>
        <w:rPr>
          <w:rFonts w:hint="eastAsia" w:ascii="仿宋" w:hAnsi="仿宋" w:eastAsia="仿宋"/>
          <w:sz w:val="32"/>
          <w:szCs w:val="32"/>
        </w:rPr>
        <w:t>下属二级单位</w:t>
      </w:r>
      <w:r>
        <w:rPr>
          <w:rFonts w:hint="eastAsia" w:ascii="仿宋" w:hAnsi="仿宋" w:eastAsia="仿宋"/>
          <w:sz w:val="32"/>
          <w:szCs w:val="32"/>
          <w:lang w:val="en-US" w:eastAsia="zh-CN"/>
        </w:rPr>
        <w:t>6</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4</w:t>
      </w:r>
      <w:r>
        <w:rPr>
          <w:rFonts w:hint="eastAsia" w:ascii="仿宋" w:hAnsi="仿宋" w:eastAsia="仿宋"/>
          <w:sz w:val="32"/>
          <w:szCs w:val="32"/>
        </w:rPr>
        <w:t>个。</w:t>
      </w:r>
    </w:p>
    <w:p>
      <w:pPr>
        <w:pStyle w:val="3"/>
        <w:ind w:right="440"/>
        <w:jc w:val="right"/>
        <w:rPr>
          <w:rFonts w:hint="eastAsia" w:ascii="黑体" w:hAnsi="黑体" w:eastAsia="黑体"/>
          <w:b w:val="0"/>
          <w:color w:val="000000"/>
        </w:rPr>
      </w:pPr>
      <w:bookmarkStart w:id="22" w:name="_Toc15377204"/>
      <w:bookmarkStart w:id="23" w:name="_Toc15396602"/>
    </w:p>
    <w:p>
      <w:pPr>
        <w:rPr>
          <w:rFonts w:hint="eastAsia"/>
        </w:rPr>
      </w:pPr>
    </w:p>
    <w:p>
      <w:pPr>
        <w:pStyle w:val="3"/>
        <w:ind w:right="44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580" w:lineRule="exact"/>
        <w:ind w:firstLine="640" w:firstLineChars="200"/>
        <w:rPr>
          <w:rFonts w:hint="default"/>
          <w:lang w:val="en-US" w:eastAsia="zh-CN"/>
        </w:rPr>
      </w:pPr>
      <w:r>
        <w:rPr>
          <w:rFonts w:hint="eastAsia" w:eastAsia="FangSong_GB2312"/>
          <w:color w:val="000000"/>
          <w:sz w:val="32"/>
          <w:szCs w:val="32"/>
        </w:rPr>
        <w:t>201</w:t>
      </w:r>
      <w:r>
        <w:rPr>
          <w:rFonts w:hint="eastAsia" w:eastAsia="FangSong_GB2312"/>
          <w:color w:val="000000"/>
          <w:sz w:val="32"/>
          <w:szCs w:val="32"/>
          <w:lang w:val="en-US" w:eastAsia="zh-CN"/>
        </w:rPr>
        <w:t>9</w:t>
      </w:r>
      <w:r>
        <w:rPr>
          <w:rFonts w:hint="eastAsia" w:ascii="FangSong_GB2312" w:eastAsia="FangSong_GB2312"/>
          <w:color w:val="000000"/>
          <w:sz w:val="32"/>
          <w:szCs w:val="32"/>
        </w:rPr>
        <w:t>年度总收入</w:t>
      </w:r>
      <w:r>
        <w:rPr>
          <w:rFonts w:hint="eastAsia" w:eastAsia="仿宋_GB2312"/>
          <w:sz w:val="32"/>
          <w:szCs w:val="32"/>
          <w:highlight w:val="none"/>
        </w:rPr>
        <w:t>1409.95</w:t>
      </w:r>
      <w:r>
        <w:rPr>
          <w:rFonts w:hint="eastAsia" w:ascii="FangSong_GB2312" w:eastAsia="FangSong_GB2312"/>
          <w:color w:val="000000"/>
          <w:sz w:val="32"/>
          <w:szCs w:val="32"/>
        </w:rPr>
        <w:t>万元，其中本年收入</w:t>
      </w:r>
      <w:r>
        <w:rPr>
          <w:rFonts w:hint="eastAsia" w:eastAsia="FangSong_GB2312"/>
          <w:color w:val="000000"/>
          <w:sz w:val="32"/>
          <w:szCs w:val="32"/>
          <w:lang w:val="en-US" w:eastAsia="zh-CN"/>
        </w:rPr>
        <w:t>1359.74</w:t>
      </w:r>
      <w:r>
        <w:rPr>
          <w:rFonts w:hint="eastAsia" w:ascii="FangSong_GB2312" w:eastAsia="FangSong_GB2312"/>
          <w:color w:val="000000"/>
          <w:sz w:val="32"/>
          <w:szCs w:val="32"/>
        </w:rPr>
        <w:t>万元</w:t>
      </w:r>
      <w:r>
        <w:rPr>
          <w:rFonts w:hint="eastAsia" w:ascii="FangSong_GB2312" w:eastAsia="FangSong_GB2312"/>
          <w:color w:val="000000"/>
          <w:sz w:val="32"/>
          <w:szCs w:val="32"/>
          <w:lang w:eastAsia="zh-CN"/>
        </w:rPr>
        <w:t>，</w:t>
      </w:r>
      <w:r>
        <w:rPr>
          <w:rFonts w:hint="eastAsia" w:ascii="FangSong_GB2312" w:eastAsia="FangSong_GB2312"/>
          <w:color w:val="000000"/>
          <w:sz w:val="32"/>
          <w:szCs w:val="32"/>
        </w:rPr>
        <w:t>上年结转</w:t>
      </w:r>
      <w:r>
        <w:rPr>
          <w:rFonts w:hint="eastAsia" w:eastAsia="FangSong_GB2312"/>
          <w:color w:val="000000"/>
          <w:sz w:val="32"/>
          <w:szCs w:val="32"/>
          <w:lang w:val="en-US" w:eastAsia="zh-CN"/>
        </w:rPr>
        <w:t>50.21</w:t>
      </w:r>
      <w:r>
        <w:rPr>
          <w:rFonts w:hint="eastAsia" w:ascii="FangSong_GB2312" w:eastAsia="FangSong_GB2312"/>
          <w:color w:val="000000"/>
          <w:sz w:val="32"/>
          <w:szCs w:val="32"/>
        </w:rPr>
        <w:t>万元；2</w:t>
      </w:r>
      <w:r>
        <w:rPr>
          <w:rFonts w:hint="eastAsia" w:eastAsia="FangSong_GB2312"/>
          <w:color w:val="000000"/>
          <w:sz w:val="32"/>
          <w:szCs w:val="32"/>
        </w:rPr>
        <w:t>01</w:t>
      </w:r>
      <w:r>
        <w:rPr>
          <w:rFonts w:hint="eastAsia" w:eastAsia="FangSong_GB2312"/>
          <w:color w:val="000000"/>
          <w:sz w:val="32"/>
          <w:szCs w:val="32"/>
          <w:lang w:val="en-US" w:eastAsia="zh-CN"/>
        </w:rPr>
        <w:t>9</w:t>
      </w:r>
      <w:r>
        <w:rPr>
          <w:rFonts w:hint="eastAsia" w:ascii="FangSong_GB2312" w:eastAsia="FangSong_GB2312"/>
          <w:color w:val="000000"/>
          <w:sz w:val="32"/>
          <w:szCs w:val="32"/>
        </w:rPr>
        <w:t>年度总支出</w:t>
      </w:r>
      <w:r>
        <w:rPr>
          <w:rFonts w:hint="eastAsia" w:eastAsia="仿宋_GB2312"/>
          <w:sz w:val="32"/>
          <w:szCs w:val="32"/>
          <w:highlight w:val="none"/>
        </w:rPr>
        <w:t>1409.95</w:t>
      </w:r>
      <w:r>
        <w:rPr>
          <w:rFonts w:hint="eastAsia" w:ascii="FangSong_GB2312" w:eastAsia="FangSong_GB2312"/>
          <w:color w:val="000000"/>
          <w:sz w:val="32"/>
          <w:szCs w:val="32"/>
        </w:rPr>
        <w:t>万元，其中本年支出</w:t>
      </w:r>
      <w:r>
        <w:rPr>
          <w:rFonts w:hint="eastAsia" w:eastAsia="FangSong_GB2312"/>
          <w:color w:val="000000"/>
          <w:sz w:val="32"/>
          <w:szCs w:val="32"/>
          <w:lang w:val="en-US" w:eastAsia="zh-CN"/>
        </w:rPr>
        <w:t>1116.57</w:t>
      </w:r>
      <w:r>
        <w:rPr>
          <w:rFonts w:hint="eastAsia" w:ascii="FangSong_GB2312" w:eastAsia="FangSong_GB2312"/>
          <w:color w:val="000000"/>
          <w:sz w:val="32"/>
          <w:szCs w:val="32"/>
        </w:rPr>
        <w:t>万元，年末结转</w:t>
      </w:r>
      <w:r>
        <w:rPr>
          <w:rFonts w:hint="eastAsia" w:eastAsia="FangSong_GB2312"/>
          <w:color w:val="000000"/>
          <w:sz w:val="32"/>
          <w:szCs w:val="32"/>
          <w:lang w:val="en-US" w:eastAsia="zh-CN"/>
        </w:rPr>
        <w:t>293.38</w:t>
      </w:r>
      <w:r>
        <w:rPr>
          <w:rFonts w:hint="eastAsia" w:ascii="FangSong_GB2312" w:eastAsia="FangSong_GB2312"/>
          <w:color w:val="000000"/>
          <w:sz w:val="32"/>
          <w:szCs w:val="32"/>
        </w:rPr>
        <w:t>万元。</w:t>
      </w:r>
    </w:p>
    <w:p>
      <w:pPr>
        <w:pStyle w:val="24"/>
        <w:numPr>
          <w:ilvl w:val="0"/>
          <w:numId w:val="1"/>
        </w:numPr>
        <w:spacing w:line="600" w:lineRule="exact"/>
        <w:ind w:firstLineChars="0"/>
        <w:outlineLvl w:val="1"/>
        <w:rPr>
          <w:rStyle w:val="26"/>
          <w:rFonts w:ascii="黑体" w:hAnsi="黑体" w:eastAsia="黑体"/>
          <w:b w:val="0"/>
          <w:highlight w:val="none"/>
        </w:rPr>
      </w:pPr>
      <w:bookmarkStart w:id="26" w:name="_Toc15377206"/>
      <w:bookmarkStart w:id="27" w:name="_Toc15396604"/>
      <w:r>
        <w:rPr>
          <w:rFonts w:hint="eastAsia" w:ascii="黑体" w:hAnsi="黑体" w:eastAsia="黑体"/>
          <w:color w:val="000000"/>
          <w:sz w:val="32"/>
          <w:szCs w:val="32"/>
          <w:highlight w:val="none"/>
        </w:rPr>
        <w:t>收</w:t>
      </w:r>
      <w:r>
        <w:rPr>
          <w:rStyle w:val="26"/>
          <w:rFonts w:hint="eastAsia" w:ascii="黑体" w:hAnsi="黑体" w:eastAsia="黑体"/>
          <w:b w:val="0"/>
          <w:highlight w:val="none"/>
        </w:rPr>
        <w:t>入决算情况说明</w:t>
      </w:r>
      <w:bookmarkEnd w:id="26"/>
      <w:bookmarkEnd w:id="27"/>
    </w:p>
    <w:p>
      <w:pPr>
        <w:spacing w:line="600" w:lineRule="exact"/>
        <w:ind w:firstLine="640" w:firstLineChars="200"/>
        <w:outlineLvl w:val="1"/>
        <w:rPr>
          <w:rFonts w:ascii="仿宋_GB2312" w:eastAsia="仿宋_GB2312"/>
          <w:color w:val="FF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9年本年收入合计</w:t>
      </w:r>
      <w:r>
        <w:rPr>
          <w:rFonts w:hint="eastAsia" w:ascii="仿宋" w:hAnsi="仿宋" w:eastAsia="仿宋"/>
          <w:color w:val="000000"/>
          <w:sz w:val="32"/>
          <w:szCs w:val="32"/>
          <w:highlight w:val="none"/>
          <w:lang w:val="en-US" w:eastAsia="zh-CN"/>
        </w:rPr>
        <w:t>1359.74</w:t>
      </w:r>
      <w:r>
        <w:rPr>
          <w:rFonts w:hint="eastAsia" w:ascii="仿宋" w:hAnsi="仿宋" w:eastAsia="仿宋"/>
          <w:color w:val="000000"/>
          <w:sz w:val="32"/>
          <w:szCs w:val="32"/>
          <w:highlight w:val="none"/>
        </w:rPr>
        <w:t>万元，其中：一般公共预算财政拨款收入</w:t>
      </w:r>
      <w:r>
        <w:rPr>
          <w:rFonts w:hint="eastAsia" w:ascii="仿宋" w:hAnsi="仿宋" w:eastAsia="仿宋"/>
          <w:color w:val="000000"/>
          <w:sz w:val="32"/>
          <w:szCs w:val="32"/>
          <w:highlight w:val="none"/>
          <w:lang w:val="en-US" w:eastAsia="zh-CN"/>
        </w:rPr>
        <w:t>1359.74</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r>
        <w:rPr>
          <w:rFonts w:hint="eastAsia" w:ascii="FangSong_GB2312" w:eastAsia="FangSong_GB2312"/>
          <w:color w:val="000000"/>
          <w:sz w:val="32"/>
          <w:szCs w:val="32"/>
        </w:rPr>
        <w:t>与</w:t>
      </w:r>
      <w:r>
        <w:rPr>
          <w:rFonts w:hint="eastAsia" w:eastAsia="FangSong_GB2312"/>
          <w:color w:val="000000"/>
          <w:sz w:val="32"/>
          <w:szCs w:val="32"/>
        </w:rPr>
        <w:t>201</w:t>
      </w:r>
      <w:r>
        <w:rPr>
          <w:rFonts w:hint="eastAsia" w:eastAsia="FangSong_GB2312"/>
          <w:color w:val="000000"/>
          <w:sz w:val="32"/>
          <w:szCs w:val="32"/>
          <w:lang w:val="en-US" w:eastAsia="zh-CN"/>
        </w:rPr>
        <w:t>8</w:t>
      </w:r>
      <w:r>
        <w:rPr>
          <w:rFonts w:hint="eastAsia" w:eastAsia="FangSong_GB2312"/>
          <w:color w:val="000000"/>
          <w:sz w:val="32"/>
          <w:szCs w:val="32"/>
        </w:rPr>
        <w:t>年</w:t>
      </w:r>
      <w:r>
        <w:rPr>
          <w:rFonts w:hint="eastAsia" w:ascii="FangSong_GB2312" w:eastAsia="FangSong_GB2312"/>
          <w:color w:val="000000"/>
          <w:sz w:val="32"/>
          <w:szCs w:val="32"/>
        </w:rPr>
        <w:t>相比，一般公共预算财政拨款增加</w:t>
      </w:r>
      <w:r>
        <w:rPr>
          <w:rFonts w:hint="eastAsia" w:eastAsia="FangSong_GB2312"/>
          <w:color w:val="000000"/>
          <w:sz w:val="32"/>
          <w:szCs w:val="32"/>
          <w:lang w:val="en-US" w:eastAsia="zh-CN"/>
        </w:rPr>
        <w:t>207.69</w:t>
      </w:r>
      <w:r>
        <w:rPr>
          <w:rFonts w:hint="eastAsia" w:ascii="FangSong_GB2312" w:eastAsia="FangSong_GB2312"/>
          <w:color w:val="000000"/>
          <w:sz w:val="32"/>
          <w:szCs w:val="32"/>
        </w:rPr>
        <w:t>万元</w:t>
      </w:r>
      <w:r>
        <w:rPr>
          <w:rFonts w:hint="eastAsia" w:eastAsia="FangSong_GB2312"/>
          <w:sz w:val="32"/>
          <w:szCs w:val="32"/>
        </w:rPr>
        <w:t>，增长</w:t>
      </w:r>
      <w:r>
        <w:rPr>
          <w:rFonts w:hint="eastAsia" w:eastAsia="FangSong_GB2312"/>
          <w:sz w:val="32"/>
          <w:szCs w:val="32"/>
          <w:lang w:val="en-US" w:eastAsia="zh-CN"/>
        </w:rPr>
        <w:t>18.03</w:t>
      </w:r>
      <w:r>
        <w:rPr>
          <w:rFonts w:hint="eastAsia" w:eastAsia="FangSong_GB2312"/>
          <w:sz w:val="32"/>
          <w:szCs w:val="32"/>
        </w:rPr>
        <w:t>%</w:t>
      </w:r>
      <w:r>
        <w:rPr>
          <w:rFonts w:hint="eastAsia" w:eastAsia="FangSong_GB2312"/>
          <w:sz w:val="32"/>
          <w:szCs w:val="32"/>
          <w:lang w:eastAsia="zh-CN"/>
        </w:rPr>
        <w:t>，</w:t>
      </w:r>
      <w:r>
        <w:rPr>
          <w:rFonts w:hint="eastAsia" w:ascii="仿宋_GB2312" w:eastAsia="仿宋_GB2312"/>
          <w:color w:val="000000"/>
          <w:sz w:val="32"/>
          <w:szCs w:val="32"/>
          <w:highlight w:val="none"/>
          <w:lang w:eastAsia="zh-CN"/>
        </w:rPr>
        <w:t>主要变动原因：信息化建设经费、政府购买服务等经费增加</w:t>
      </w:r>
      <w:r>
        <w:rPr>
          <w:rFonts w:hint="eastAsia" w:ascii="FangSong_GB2312" w:eastAsia="FangSong_GB2312"/>
          <w:color w:val="000000"/>
          <w:sz w:val="32"/>
          <w:szCs w:val="32"/>
        </w:rPr>
        <w:t>。</w:t>
      </w:r>
    </w:p>
    <w:p>
      <w:pPr>
        <w:pStyle w:val="24"/>
        <w:numPr>
          <w:ilvl w:val="0"/>
          <w:numId w:val="1"/>
        </w:numPr>
        <w:spacing w:line="600" w:lineRule="exact"/>
        <w:ind w:firstLineChars="0"/>
        <w:outlineLvl w:val="1"/>
        <w:rPr>
          <w:rStyle w:val="26"/>
          <w:rFonts w:ascii="黑体" w:hAnsi="黑体" w:eastAsia="黑体"/>
          <w:b w:val="0"/>
          <w:highlight w:val="none"/>
        </w:rPr>
      </w:pPr>
      <w:bookmarkStart w:id="28" w:name="_Toc15377207"/>
      <w:bookmarkStart w:id="29" w:name="_Toc15396605"/>
      <w:r>
        <w:rPr>
          <w:rFonts w:hint="eastAsia" w:ascii="黑体" w:hAnsi="黑体" w:eastAsia="黑体"/>
          <w:color w:val="000000"/>
          <w:sz w:val="32"/>
          <w:szCs w:val="32"/>
          <w:highlight w:val="none"/>
        </w:rPr>
        <w:t>支</w:t>
      </w:r>
      <w:r>
        <w:rPr>
          <w:rStyle w:val="26"/>
          <w:rFonts w:hint="eastAsia" w:ascii="黑体" w:hAnsi="黑体" w:eastAsia="黑体"/>
          <w:b w:val="0"/>
          <w:highlight w:val="none"/>
        </w:rPr>
        <w:t>出决算情况说明</w:t>
      </w:r>
      <w:bookmarkEnd w:id="28"/>
      <w:bookmarkEnd w:id="29"/>
    </w:p>
    <w:p>
      <w:pPr>
        <w:spacing w:line="600" w:lineRule="exact"/>
        <w:ind w:firstLine="640" w:firstLineChars="200"/>
        <w:outlineLvl w:val="1"/>
        <w:rPr>
          <w:rFonts w:ascii="仿宋_GB2312" w:eastAsia="仿宋_GB2312"/>
          <w:color w:val="FF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9年本年支出合计</w:t>
      </w:r>
      <w:r>
        <w:rPr>
          <w:rFonts w:hint="eastAsia" w:ascii="仿宋" w:hAnsi="仿宋" w:eastAsia="仿宋"/>
          <w:color w:val="000000"/>
          <w:sz w:val="32"/>
          <w:szCs w:val="32"/>
          <w:highlight w:val="none"/>
          <w:lang w:val="en-US" w:eastAsia="zh-CN"/>
        </w:rPr>
        <w:t>1116.57</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615.13</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55.1</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项目支出</w:t>
      </w:r>
      <w:r>
        <w:rPr>
          <w:rFonts w:hint="eastAsia" w:eastAsia="FangSong_GB2312"/>
          <w:color w:val="000000"/>
          <w:sz w:val="32"/>
          <w:szCs w:val="32"/>
          <w:highlight w:val="none"/>
          <w:lang w:val="en-US" w:eastAsia="zh-CN"/>
        </w:rPr>
        <w:t>501.44</w:t>
      </w:r>
      <w:r>
        <w:rPr>
          <w:rFonts w:hint="eastAsia" w:ascii="仿宋" w:hAnsi="仿宋" w:eastAsia="仿宋"/>
          <w:color w:val="000000"/>
          <w:sz w:val="32"/>
          <w:szCs w:val="32"/>
          <w:highlight w:val="none"/>
        </w:rPr>
        <w:t>万元，占</w:t>
      </w:r>
      <w:r>
        <w:rPr>
          <w:rFonts w:hint="eastAsia" w:eastAsia="FangSong_GB2312"/>
          <w:color w:val="000000"/>
          <w:sz w:val="32"/>
          <w:szCs w:val="32"/>
          <w:highlight w:val="none"/>
          <w:lang w:val="en-US" w:eastAsia="zh-CN"/>
        </w:rPr>
        <w:t>44.9</w:t>
      </w:r>
      <w:r>
        <w:rPr>
          <w:rFonts w:eastAsia="FangSong_GB2312"/>
          <w:color w:val="000000"/>
          <w:sz w:val="32"/>
          <w:szCs w:val="32"/>
          <w:highlight w:val="none"/>
        </w:rPr>
        <w:t>%</w:t>
      </w:r>
      <w:r>
        <w:rPr>
          <w:rFonts w:hint="eastAsia" w:ascii="仿宋" w:hAnsi="仿宋" w:eastAsia="仿宋"/>
          <w:color w:val="000000"/>
          <w:sz w:val="32"/>
          <w:szCs w:val="32"/>
          <w:highlight w:val="none"/>
        </w:rPr>
        <w:t>。</w:t>
      </w:r>
      <w:r>
        <w:rPr>
          <w:rFonts w:hint="eastAsia" w:ascii="仿宋_GB2312" w:eastAsia="仿宋_GB2312"/>
          <w:color w:val="000000"/>
          <w:sz w:val="32"/>
          <w:szCs w:val="32"/>
          <w:highlight w:val="none"/>
        </w:rPr>
        <w:t>与</w:t>
      </w:r>
      <w:r>
        <w:rPr>
          <w:rFonts w:hint="eastAsia" w:eastAsia="仿宋_GB2312"/>
          <w:color w:val="000000"/>
          <w:sz w:val="32"/>
          <w:szCs w:val="32"/>
          <w:highlight w:val="none"/>
        </w:rPr>
        <w:t>2018年</w:t>
      </w:r>
      <w:r>
        <w:rPr>
          <w:rFonts w:hint="eastAsia" w:ascii="仿宋_GB2312" w:eastAsia="仿宋_GB2312"/>
          <w:color w:val="000000"/>
          <w:sz w:val="32"/>
          <w:szCs w:val="32"/>
          <w:highlight w:val="none"/>
        </w:rPr>
        <w:t>相比，一般公共预算财政拨款</w:t>
      </w:r>
      <w:r>
        <w:rPr>
          <w:rFonts w:hint="eastAsia" w:ascii="仿宋_GB2312" w:eastAsia="仿宋_GB2312"/>
          <w:color w:val="000000"/>
          <w:sz w:val="32"/>
          <w:szCs w:val="32"/>
          <w:highlight w:val="none"/>
          <w:lang w:eastAsia="zh-CN"/>
        </w:rPr>
        <w:t>减少</w:t>
      </w:r>
      <w:r>
        <w:rPr>
          <w:rFonts w:hint="eastAsia" w:ascii="仿宋_GB2312" w:eastAsia="仿宋_GB2312"/>
          <w:color w:val="000000"/>
          <w:sz w:val="32"/>
          <w:szCs w:val="32"/>
          <w:highlight w:val="none"/>
        </w:rPr>
        <w:t>166.3万元，</w:t>
      </w:r>
      <w:r>
        <w:rPr>
          <w:rFonts w:hint="eastAsia" w:eastAsia="仿宋_GB2312"/>
          <w:sz w:val="32"/>
          <w:szCs w:val="32"/>
          <w:highlight w:val="none"/>
        </w:rPr>
        <w:t>下降12.96%</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主要变动原因：</w:t>
      </w:r>
      <w:r>
        <w:rPr>
          <w:rFonts w:hint="eastAsia" w:ascii="仿宋_GB2312" w:eastAsia="仿宋_GB2312"/>
          <w:color w:val="000000"/>
          <w:sz w:val="32"/>
          <w:szCs w:val="32"/>
          <w:highlight w:val="none"/>
        </w:rPr>
        <w:t>部分委托业务等支出次年支付</w:t>
      </w:r>
      <w:r>
        <w:rPr>
          <w:rFonts w:hint="eastAsia" w:ascii="仿宋_GB2312" w:eastAsia="仿宋_GB2312"/>
          <w:color w:val="000000"/>
          <w:sz w:val="32"/>
          <w:szCs w:val="32"/>
          <w:highlight w:val="none"/>
          <w:lang w:eastAsia="zh-CN"/>
        </w:rPr>
        <w:t>及厉行节约、压减行政开支</w:t>
      </w:r>
      <w:r>
        <w:rPr>
          <w:rFonts w:hint="eastAsia" w:ascii="仿宋_GB2312" w:eastAsia="仿宋_GB2312"/>
          <w:color w:val="000000"/>
          <w:sz w:val="32"/>
          <w:szCs w:val="32"/>
          <w:highlight w:val="none"/>
          <w:lang w:val="en-US" w:eastAsia="zh-CN"/>
        </w:rPr>
        <w:t>。</w:t>
      </w:r>
    </w:p>
    <w:p>
      <w:pPr>
        <w:spacing w:line="600" w:lineRule="exact"/>
        <w:ind w:firstLine="640" w:firstLineChars="200"/>
        <w:outlineLvl w:val="1"/>
        <w:rPr>
          <w:rStyle w:val="26"/>
          <w:rFonts w:ascii="黑体" w:hAnsi="黑体" w:eastAsia="黑体"/>
          <w:b w:val="0"/>
          <w:highlight w:val="none"/>
        </w:rPr>
      </w:pPr>
      <w:bookmarkStart w:id="30" w:name="_Toc15396606"/>
      <w:bookmarkStart w:id="31" w:name="_Toc15377208"/>
      <w:r>
        <w:rPr>
          <w:rFonts w:hint="eastAsia" w:ascii="黑体" w:hAnsi="黑体" w:eastAsia="黑体"/>
          <w:color w:val="000000"/>
          <w:sz w:val="32"/>
          <w:szCs w:val="32"/>
          <w:highlight w:val="none"/>
        </w:rPr>
        <w:t>四、财</w:t>
      </w:r>
      <w:r>
        <w:rPr>
          <w:rStyle w:val="26"/>
          <w:rFonts w:hint="eastAsia" w:ascii="黑体" w:hAnsi="黑体" w:eastAsia="黑体"/>
          <w:b w:val="0"/>
          <w:highlight w:val="none"/>
        </w:rPr>
        <w:t>政拨款收入支出决算总体情况说明</w:t>
      </w:r>
      <w:bookmarkEnd w:id="30"/>
      <w:bookmarkEnd w:id="31"/>
    </w:p>
    <w:p>
      <w:pPr>
        <w:spacing w:line="580" w:lineRule="exact"/>
        <w:ind w:firstLine="640" w:firstLineChars="200"/>
        <w:rPr>
          <w:rFonts w:ascii="仿宋" w:hAnsi="仿宋" w:eastAsia="仿宋"/>
          <w:b/>
          <w:color w:val="00B050"/>
          <w:sz w:val="32"/>
          <w:szCs w:val="32"/>
          <w:highlight w:val="none"/>
        </w:rPr>
      </w:pPr>
      <w:r>
        <w:rPr>
          <w:rFonts w:hint="eastAsia" w:ascii="仿宋_GB2312" w:eastAsia="仿宋_GB2312"/>
          <w:color w:val="000000"/>
          <w:sz w:val="32"/>
          <w:szCs w:val="32"/>
          <w:highlight w:val="none"/>
        </w:rPr>
        <w:t>2019年度财政拨款收入</w:t>
      </w:r>
      <w:r>
        <w:rPr>
          <w:rFonts w:hint="eastAsia" w:ascii="仿宋" w:hAnsi="仿宋" w:eastAsia="仿宋"/>
          <w:color w:val="000000"/>
          <w:sz w:val="32"/>
          <w:szCs w:val="32"/>
          <w:highlight w:val="none"/>
          <w:lang w:val="en-US" w:eastAsia="zh-CN"/>
        </w:rPr>
        <w:t>1359.74</w:t>
      </w:r>
      <w:r>
        <w:rPr>
          <w:rFonts w:hint="eastAsia" w:ascii="仿宋_GB2312" w:eastAsia="仿宋_GB2312"/>
          <w:color w:val="000000"/>
          <w:sz w:val="32"/>
          <w:szCs w:val="32"/>
          <w:highlight w:val="none"/>
        </w:rPr>
        <w:t>万元。</w:t>
      </w:r>
      <w:r>
        <w:rPr>
          <w:rFonts w:hint="eastAsia" w:eastAsia="仿宋_GB2312"/>
          <w:spacing w:val="10"/>
          <w:sz w:val="32"/>
          <w:szCs w:val="32"/>
          <w:highlight w:val="none"/>
        </w:rPr>
        <w:t>与2018年相比，财政拨款收入增加</w:t>
      </w:r>
      <w:r>
        <w:rPr>
          <w:rFonts w:hint="eastAsia" w:eastAsia="FangSong_GB2312"/>
          <w:color w:val="000000"/>
          <w:sz w:val="32"/>
          <w:szCs w:val="32"/>
          <w:lang w:val="en-US" w:eastAsia="zh-CN"/>
        </w:rPr>
        <w:t>207.69</w:t>
      </w:r>
      <w:r>
        <w:rPr>
          <w:rFonts w:hint="eastAsia" w:ascii="FangSong_GB2312" w:eastAsia="FangSong_GB2312"/>
          <w:color w:val="000000"/>
          <w:sz w:val="32"/>
          <w:szCs w:val="32"/>
        </w:rPr>
        <w:t>万元</w:t>
      </w:r>
      <w:r>
        <w:rPr>
          <w:rFonts w:hint="eastAsia" w:eastAsia="FangSong_GB2312"/>
          <w:sz w:val="32"/>
          <w:szCs w:val="32"/>
        </w:rPr>
        <w:t>，增长</w:t>
      </w:r>
      <w:r>
        <w:rPr>
          <w:rFonts w:hint="eastAsia" w:eastAsia="FangSong_GB2312"/>
          <w:sz w:val="32"/>
          <w:szCs w:val="32"/>
          <w:lang w:val="en-US" w:eastAsia="zh-CN"/>
        </w:rPr>
        <w:t>18.03</w:t>
      </w:r>
      <w:r>
        <w:rPr>
          <w:rFonts w:hint="eastAsia" w:eastAsia="FangSong_GB2312"/>
          <w:sz w:val="32"/>
          <w:szCs w:val="32"/>
        </w:rPr>
        <w:t>%</w:t>
      </w:r>
      <w:r>
        <w:rPr>
          <w:rFonts w:hint="eastAsia" w:eastAsia="仿宋_GB2312"/>
          <w:sz w:val="32"/>
          <w:szCs w:val="32"/>
          <w:highlight w:val="none"/>
          <w:lang w:eastAsia="zh-CN"/>
        </w:rPr>
        <w:t>，</w:t>
      </w:r>
      <w:r>
        <w:rPr>
          <w:rFonts w:hint="eastAsia" w:ascii="仿宋_GB2312" w:eastAsia="仿宋_GB2312"/>
          <w:color w:val="000000"/>
          <w:sz w:val="32"/>
          <w:szCs w:val="32"/>
          <w:highlight w:val="none"/>
          <w:lang w:eastAsia="zh-CN"/>
        </w:rPr>
        <w:t>主要变动原因：信息化建设经费、政府购买服务等经费增加</w:t>
      </w:r>
      <w:r>
        <w:rPr>
          <w:rFonts w:hint="eastAsia" w:eastAsia="仿宋_GB2312"/>
          <w:sz w:val="32"/>
          <w:szCs w:val="32"/>
          <w:highlight w:val="none"/>
        </w:rPr>
        <w:t>；</w:t>
      </w:r>
      <w:r>
        <w:rPr>
          <w:rFonts w:hint="eastAsia" w:ascii="仿宋_GB2312" w:eastAsia="仿宋_GB2312"/>
          <w:color w:val="000000"/>
          <w:sz w:val="32"/>
          <w:szCs w:val="32"/>
          <w:highlight w:val="none"/>
        </w:rPr>
        <w:t>财政拨款支出</w:t>
      </w:r>
      <w:r>
        <w:rPr>
          <w:rFonts w:hint="eastAsia" w:eastAsia="仿宋_GB2312"/>
          <w:sz w:val="32"/>
          <w:szCs w:val="32"/>
          <w:highlight w:val="none"/>
        </w:rPr>
        <w:t>1116.57</w:t>
      </w:r>
      <w:r>
        <w:rPr>
          <w:rFonts w:hint="eastAsia" w:ascii="仿宋_GB2312" w:eastAsia="仿宋_GB2312"/>
          <w:color w:val="000000"/>
          <w:sz w:val="32"/>
          <w:szCs w:val="32"/>
          <w:highlight w:val="none"/>
        </w:rPr>
        <w:t>万元，与</w:t>
      </w:r>
      <w:r>
        <w:rPr>
          <w:rFonts w:hint="eastAsia" w:eastAsia="仿宋_GB2312"/>
          <w:spacing w:val="10"/>
          <w:sz w:val="32"/>
          <w:szCs w:val="32"/>
          <w:highlight w:val="none"/>
        </w:rPr>
        <w:t>2018年相比，财政拨款支出</w:t>
      </w:r>
      <w:r>
        <w:rPr>
          <w:rFonts w:hint="eastAsia" w:ascii="仿宋_GB2312" w:eastAsia="仿宋_GB2312"/>
          <w:color w:val="000000"/>
          <w:sz w:val="32"/>
          <w:szCs w:val="32"/>
          <w:highlight w:val="none"/>
          <w:lang w:eastAsia="zh-CN"/>
        </w:rPr>
        <w:t>减少</w:t>
      </w:r>
      <w:r>
        <w:rPr>
          <w:rFonts w:hint="eastAsia" w:ascii="仿宋_GB2312" w:eastAsia="仿宋_GB2312"/>
          <w:color w:val="000000"/>
          <w:sz w:val="32"/>
          <w:szCs w:val="32"/>
          <w:highlight w:val="none"/>
        </w:rPr>
        <w:t>166.3万元，</w:t>
      </w:r>
      <w:r>
        <w:rPr>
          <w:rFonts w:hint="eastAsia" w:eastAsia="仿宋_GB2312"/>
          <w:sz w:val="32"/>
          <w:szCs w:val="32"/>
          <w:highlight w:val="none"/>
        </w:rPr>
        <w:t>下降12.96%</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主要变动原因：</w:t>
      </w:r>
      <w:r>
        <w:rPr>
          <w:rFonts w:hint="eastAsia" w:ascii="仿宋_GB2312" w:eastAsia="仿宋_GB2312"/>
          <w:color w:val="000000"/>
          <w:sz w:val="32"/>
          <w:szCs w:val="32"/>
          <w:highlight w:val="none"/>
        </w:rPr>
        <w:t>部分委托业务等支出次年支付</w:t>
      </w:r>
      <w:r>
        <w:rPr>
          <w:rFonts w:hint="eastAsia" w:ascii="仿宋_GB2312" w:eastAsia="仿宋_GB2312"/>
          <w:color w:val="000000"/>
          <w:sz w:val="32"/>
          <w:szCs w:val="32"/>
          <w:highlight w:val="none"/>
          <w:lang w:eastAsia="zh-CN"/>
        </w:rPr>
        <w:t>及厉行节约、压减行政开支</w:t>
      </w:r>
      <w:r>
        <w:rPr>
          <w:rFonts w:hint="eastAsia" w:ascii="仿宋_GB2312" w:eastAsia="仿宋_GB2312"/>
          <w:color w:val="000000"/>
          <w:sz w:val="32"/>
          <w:szCs w:val="32"/>
          <w:highlight w:val="none"/>
          <w:lang w:val="en-US" w:eastAsia="zh-CN"/>
        </w:rPr>
        <w:t>。</w:t>
      </w:r>
    </w:p>
    <w:p>
      <w:pPr>
        <w:spacing w:line="600" w:lineRule="exact"/>
        <w:ind w:firstLine="640" w:firstLineChars="200"/>
        <w:outlineLvl w:val="1"/>
        <w:rPr>
          <w:rStyle w:val="26"/>
          <w:rFonts w:ascii="黑体" w:hAnsi="黑体" w:eastAsia="黑体"/>
          <w:b w:val="0"/>
          <w:highlight w:val="none"/>
        </w:rPr>
      </w:pPr>
      <w:bookmarkStart w:id="32" w:name="_Toc15396607"/>
      <w:bookmarkStart w:id="33" w:name="_Toc15377209"/>
      <w:r>
        <w:rPr>
          <w:rFonts w:hint="eastAsia" w:ascii="黑体" w:hAnsi="黑体" w:eastAsia="黑体"/>
          <w:color w:val="000000"/>
          <w:sz w:val="32"/>
          <w:szCs w:val="32"/>
          <w:highlight w:val="none"/>
        </w:rPr>
        <w:t>五、</w:t>
      </w:r>
      <w:r>
        <w:rPr>
          <w:rFonts w:hint="eastAsia" w:ascii="黑体" w:hAnsi="黑体" w:eastAsia="黑体"/>
          <w:b/>
          <w:color w:val="000000"/>
          <w:sz w:val="32"/>
          <w:szCs w:val="32"/>
          <w:highlight w:val="none"/>
        </w:rPr>
        <w:t>一</w:t>
      </w:r>
      <w:r>
        <w:rPr>
          <w:rStyle w:val="26"/>
          <w:rFonts w:hint="eastAsia" w:ascii="黑体" w:hAnsi="黑体" w:eastAsia="黑体"/>
          <w:b w:val="0"/>
          <w:highlight w:val="none"/>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highlight w:val="none"/>
        </w:rPr>
      </w:pPr>
      <w:bookmarkStart w:id="34" w:name="_Toc15377210"/>
      <w:r>
        <w:rPr>
          <w:rFonts w:hint="eastAsia" w:ascii="仿宋" w:hAnsi="仿宋" w:eastAsia="仿宋"/>
          <w:b/>
          <w:color w:val="000000"/>
          <w:sz w:val="32"/>
          <w:szCs w:val="32"/>
          <w:highlight w:val="none"/>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highlight w:val="none"/>
        </w:rPr>
      </w:pPr>
      <w:r>
        <w:rPr>
          <w:rFonts w:hint="eastAsia"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年度一般公共预算财政拨款支出</w:t>
      </w:r>
      <w:r>
        <w:rPr>
          <w:rFonts w:hint="eastAsia" w:eastAsia="仿宋_GB2312"/>
          <w:sz w:val="32"/>
          <w:szCs w:val="32"/>
          <w:highlight w:val="none"/>
        </w:rPr>
        <w:t>1116.57</w:t>
      </w:r>
      <w:r>
        <w:rPr>
          <w:rFonts w:hint="eastAsia" w:ascii="仿宋_GB2312" w:eastAsia="仿宋_GB2312"/>
          <w:color w:val="000000"/>
          <w:sz w:val="32"/>
          <w:szCs w:val="32"/>
          <w:highlight w:val="none"/>
        </w:rPr>
        <w:t>万元，占本年支出合计的</w:t>
      </w:r>
      <w:r>
        <w:rPr>
          <w:rFonts w:hint="eastAsia" w:eastAsia="仿宋_GB2312"/>
          <w:color w:val="000000"/>
          <w:sz w:val="32"/>
          <w:szCs w:val="32"/>
          <w:highlight w:val="none"/>
        </w:rPr>
        <w:t>100%</w:t>
      </w:r>
      <w:r>
        <w:rPr>
          <w:rFonts w:hint="eastAsia" w:ascii="仿宋_GB2312" w:eastAsia="仿宋_GB2312"/>
          <w:color w:val="000000"/>
          <w:sz w:val="32"/>
          <w:szCs w:val="32"/>
          <w:highlight w:val="none"/>
        </w:rPr>
        <w:t>。与</w:t>
      </w:r>
      <w:r>
        <w:rPr>
          <w:rFonts w:hint="eastAsia" w:eastAsia="仿宋_GB2312"/>
          <w:color w:val="000000"/>
          <w:sz w:val="32"/>
          <w:szCs w:val="32"/>
          <w:highlight w:val="none"/>
        </w:rPr>
        <w:t>2018年</w:t>
      </w:r>
      <w:r>
        <w:rPr>
          <w:rFonts w:hint="eastAsia" w:ascii="仿宋_GB2312" w:eastAsia="仿宋_GB2312"/>
          <w:color w:val="000000"/>
          <w:sz w:val="32"/>
          <w:szCs w:val="32"/>
          <w:highlight w:val="none"/>
        </w:rPr>
        <w:t>相比，一般公共预算财政拨款</w:t>
      </w:r>
      <w:r>
        <w:rPr>
          <w:rFonts w:hint="eastAsia" w:ascii="仿宋_GB2312" w:eastAsia="仿宋_GB2312"/>
          <w:color w:val="000000"/>
          <w:sz w:val="32"/>
          <w:szCs w:val="32"/>
          <w:highlight w:val="none"/>
          <w:lang w:eastAsia="zh-CN"/>
        </w:rPr>
        <w:t>减少</w:t>
      </w:r>
      <w:r>
        <w:rPr>
          <w:rFonts w:hint="eastAsia" w:ascii="仿宋_GB2312" w:eastAsia="仿宋_GB2312"/>
          <w:color w:val="000000"/>
          <w:sz w:val="32"/>
          <w:szCs w:val="32"/>
          <w:highlight w:val="none"/>
        </w:rPr>
        <w:t>166.3万元，</w:t>
      </w:r>
      <w:r>
        <w:rPr>
          <w:rFonts w:hint="eastAsia" w:eastAsia="仿宋_GB2312"/>
          <w:sz w:val="32"/>
          <w:szCs w:val="32"/>
          <w:highlight w:val="none"/>
        </w:rPr>
        <w:t>下降12.96%</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主要变动原因：</w:t>
      </w:r>
      <w:r>
        <w:rPr>
          <w:rFonts w:hint="eastAsia" w:ascii="仿宋_GB2312" w:eastAsia="仿宋_GB2312"/>
          <w:color w:val="000000"/>
          <w:sz w:val="32"/>
          <w:szCs w:val="32"/>
          <w:highlight w:val="none"/>
        </w:rPr>
        <w:t>部分委托业务等支出次年支付</w:t>
      </w:r>
      <w:r>
        <w:rPr>
          <w:rFonts w:hint="eastAsia" w:ascii="仿宋_GB2312" w:eastAsia="仿宋_GB2312"/>
          <w:color w:val="000000"/>
          <w:sz w:val="32"/>
          <w:szCs w:val="32"/>
          <w:highlight w:val="none"/>
          <w:lang w:eastAsia="zh-CN"/>
        </w:rPr>
        <w:t>及厉行节约、压减行政开支</w:t>
      </w:r>
      <w:r>
        <w:rPr>
          <w:rFonts w:hint="eastAsia" w:ascii="仿宋_GB2312" w:eastAsia="仿宋_GB2312"/>
          <w:color w:val="000000"/>
          <w:sz w:val="32"/>
          <w:szCs w:val="32"/>
          <w:highlight w:val="none"/>
          <w:lang w:val="en-US" w:eastAsia="zh-CN"/>
        </w:rPr>
        <w:t>。</w:t>
      </w:r>
    </w:p>
    <w:p>
      <w:pPr>
        <w:spacing w:line="600" w:lineRule="exact"/>
        <w:ind w:firstLine="643" w:firstLineChars="200"/>
        <w:outlineLvl w:val="2"/>
        <w:rPr>
          <w:rFonts w:ascii="仿宋" w:hAnsi="仿宋" w:eastAsia="仿宋"/>
          <w:b/>
          <w:color w:val="000000"/>
          <w:sz w:val="32"/>
          <w:szCs w:val="32"/>
          <w:highlight w:val="none"/>
        </w:rPr>
      </w:pPr>
      <w:bookmarkStart w:id="35" w:name="_Toc15377211"/>
      <w:r>
        <w:rPr>
          <w:rFonts w:hint="eastAsia" w:ascii="仿宋" w:hAnsi="仿宋" w:eastAsia="仿宋"/>
          <w:b/>
          <w:color w:val="000000"/>
          <w:sz w:val="32"/>
          <w:szCs w:val="32"/>
          <w:highlight w:val="none"/>
        </w:rPr>
        <w:t>（二）一般公共预算财政拨款支出决算结构情况</w:t>
      </w:r>
      <w:bookmarkEnd w:id="35"/>
    </w:p>
    <w:p>
      <w:pPr>
        <w:spacing w:line="600" w:lineRule="exac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2019年一般公共预算财政拨款支出</w:t>
      </w:r>
      <w:r>
        <w:rPr>
          <w:rFonts w:hint="eastAsia" w:eastAsia="仿宋_GB2312"/>
          <w:color w:val="000000"/>
          <w:sz w:val="32"/>
          <w:szCs w:val="32"/>
          <w:highlight w:val="none"/>
        </w:rPr>
        <w:t>1116.57</w:t>
      </w:r>
      <w:r>
        <w:rPr>
          <w:rFonts w:hint="eastAsia" w:ascii="仿宋_GB2312" w:eastAsia="仿宋_GB2312"/>
          <w:color w:val="000000"/>
          <w:sz w:val="32"/>
          <w:szCs w:val="32"/>
          <w:highlight w:val="none"/>
        </w:rPr>
        <w:t>万元，主要用于以下方面:一般公共服务支出</w:t>
      </w:r>
      <w:r>
        <w:rPr>
          <w:rFonts w:hint="eastAsia" w:eastAsia="仿宋_GB2312"/>
          <w:color w:val="000000"/>
          <w:sz w:val="32"/>
          <w:szCs w:val="32"/>
          <w:highlight w:val="none"/>
        </w:rPr>
        <w:t>1032.55</w:t>
      </w:r>
      <w:r>
        <w:rPr>
          <w:rFonts w:hint="eastAsia" w:ascii="仿宋_GB2312" w:eastAsia="仿宋_GB2312"/>
          <w:color w:val="000000"/>
          <w:sz w:val="32"/>
          <w:szCs w:val="32"/>
          <w:highlight w:val="none"/>
        </w:rPr>
        <w:t>万元，占92.48</w:t>
      </w:r>
      <w:r>
        <w:rPr>
          <w:rFonts w:hint="eastAsia" w:eastAsia="仿宋_GB2312"/>
          <w:color w:val="000000"/>
          <w:sz w:val="32"/>
          <w:szCs w:val="32"/>
          <w:highlight w:val="none"/>
        </w:rPr>
        <w:t>%</w:t>
      </w:r>
      <w:r>
        <w:rPr>
          <w:rFonts w:hint="eastAsia" w:ascii="仿宋_GB2312" w:eastAsia="仿宋_GB2312"/>
          <w:color w:val="000000"/>
          <w:sz w:val="32"/>
          <w:szCs w:val="32"/>
          <w:highlight w:val="none"/>
        </w:rPr>
        <w:t>；</w:t>
      </w:r>
      <w:r>
        <w:rPr>
          <w:rFonts w:eastAsia="仿宋_GB2312"/>
          <w:color w:val="000000"/>
          <w:sz w:val="32"/>
          <w:szCs w:val="32"/>
          <w:highlight w:val="none"/>
        </w:rPr>
        <w:t>社会保障和就业</w:t>
      </w:r>
      <w:r>
        <w:rPr>
          <w:rFonts w:hint="eastAsia" w:eastAsia="仿宋_GB2312"/>
          <w:color w:val="000000"/>
          <w:sz w:val="32"/>
          <w:szCs w:val="32"/>
          <w:highlight w:val="none"/>
        </w:rPr>
        <w:t>40.13</w:t>
      </w:r>
      <w:r>
        <w:rPr>
          <w:rFonts w:eastAsia="仿宋_GB2312"/>
          <w:color w:val="000000"/>
          <w:sz w:val="32"/>
          <w:szCs w:val="32"/>
          <w:highlight w:val="none"/>
        </w:rPr>
        <w:t>万元</w:t>
      </w:r>
      <w:r>
        <w:rPr>
          <w:rFonts w:hint="eastAsia" w:eastAsia="仿宋_GB2312"/>
          <w:color w:val="000000"/>
          <w:sz w:val="32"/>
          <w:szCs w:val="32"/>
          <w:highlight w:val="none"/>
        </w:rPr>
        <w:t>，占3.59%；</w:t>
      </w:r>
      <w:r>
        <w:rPr>
          <w:rFonts w:hint="eastAsia" w:eastAsia="仿宋_GB2312"/>
          <w:color w:val="000000"/>
          <w:sz w:val="32"/>
          <w:szCs w:val="32"/>
          <w:highlight w:val="none"/>
          <w:lang w:eastAsia="zh-CN"/>
        </w:rPr>
        <w:t>卫生健康支出</w:t>
      </w:r>
      <w:r>
        <w:rPr>
          <w:rFonts w:hint="eastAsia" w:eastAsia="仿宋_GB2312"/>
          <w:color w:val="000000"/>
          <w:sz w:val="32"/>
          <w:szCs w:val="32"/>
          <w:highlight w:val="none"/>
        </w:rPr>
        <w:t>16.73万元，占1.5%；</w:t>
      </w:r>
      <w:r>
        <w:rPr>
          <w:rFonts w:eastAsia="仿宋_GB2312"/>
          <w:color w:val="000000"/>
          <w:sz w:val="32"/>
          <w:szCs w:val="32"/>
          <w:highlight w:val="none"/>
        </w:rPr>
        <w:t>住房保障支出</w:t>
      </w:r>
      <w:r>
        <w:rPr>
          <w:rFonts w:hint="eastAsia" w:eastAsia="仿宋_GB2312"/>
          <w:color w:val="000000"/>
          <w:sz w:val="32"/>
          <w:szCs w:val="32"/>
          <w:highlight w:val="none"/>
        </w:rPr>
        <w:t>27.16</w:t>
      </w:r>
      <w:r>
        <w:rPr>
          <w:rFonts w:eastAsia="仿宋_GB2312"/>
          <w:color w:val="000000"/>
          <w:sz w:val="32"/>
          <w:szCs w:val="32"/>
          <w:highlight w:val="none"/>
        </w:rPr>
        <w:t>万元</w:t>
      </w:r>
      <w:r>
        <w:rPr>
          <w:rFonts w:hint="eastAsia" w:eastAsia="仿宋_GB2312"/>
          <w:color w:val="000000"/>
          <w:sz w:val="32"/>
          <w:szCs w:val="32"/>
          <w:highlight w:val="none"/>
        </w:rPr>
        <w:t>，占2.43%。</w:t>
      </w:r>
    </w:p>
    <w:p>
      <w:pPr>
        <w:spacing w:line="600" w:lineRule="exact"/>
        <w:ind w:firstLine="643" w:firstLineChars="200"/>
        <w:outlineLvl w:val="2"/>
        <w:rPr>
          <w:rFonts w:ascii="仿宋" w:hAnsi="仿宋" w:eastAsia="仿宋"/>
          <w:b/>
          <w:color w:val="000000"/>
          <w:sz w:val="32"/>
          <w:szCs w:val="32"/>
          <w:highlight w:val="none"/>
        </w:rPr>
      </w:pPr>
      <w:bookmarkStart w:id="36" w:name="_Toc15377212"/>
      <w:r>
        <w:rPr>
          <w:rFonts w:hint="eastAsia" w:ascii="仿宋" w:hAnsi="仿宋" w:eastAsia="仿宋"/>
          <w:b/>
          <w:color w:val="000000"/>
          <w:sz w:val="32"/>
          <w:szCs w:val="32"/>
          <w:highlight w:val="none"/>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highlight w:val="none"/>
        </w:rPr>
      </w:pPr>
      <w:bookmarkStart w:id="37" w:name="_Toc15378460"/>
      <w:bookmarkStart w:id="38" w:name="_Toc15377213"/>
      <w:bookmarkStart w:id="39" w:name="_Toc15377444"/>
      <w:r>
        <w:rPr>
          <w:rFonts w:hint="eastAsia" w:ascii="仿宋" w:hAnsi="仿宋" w:eastAsia="仿宋"/>
          <w:b/>
          <w:color w:val="000000" w:themeColor="text1"/>
          <w:sz w:val="32"/>
          <w:szCs w:val="32"/>
          <w:highlight w:val="none"/>
        </w:rPr>
        <w:t>2019年般公共预算支出决算数为</w:t>
      </w:r>
      <w:r>
        <w:rPr>
          <w:rFonts w:hint="eastAsia" w:ascii="仿宋" w:hAnsi="仿宋" w:eastAsia="仿宋"/>
          <w:b/>
          <w:color w:val="000000" w:themeColor="text1"/>
          <w:sz w:val="32"/>
          <w:szCs w:val="32"/>
          <w:highlight w:val="none"/>
          <w:lang w:val="en-US" w:eastAsia="zh-CN"/>
        </w:rPr>
        <w:t>1116.57万元</w:t>
      </w:r>
      <w:r>
        <w:rPr>
          <w:rFonts w:hint="eastAsia" w:ascii="仿宋" w:hAnsi="仿宋" w:eastAsia="仿宋"/>
          <w:color w:val="000000" w:themeColor="text1"/>
          <w:sz w:val="32"/>
          <w:szCs w:val="32"/>
          <w:highlight w:val="none"/>
        </w:rPr>
        <w:t>，</w:t>
      </w:r>
      <w:r>
        <w:rPr>
          <w:rStyle w:val="16"/>
          <w:rFonts w:hint="eastAsia" w:ascii="仿宋" w:hAnsi="仿宋" w:eastAsia="仿宋"/>
          <w:bCs/>
          <w:color w:val="000000" w:themeColor="text1"/>
          <w:sz w:val="32"/>
          <w:szCs w:val="32"/>
          <w:highlight w:val="none"/>
        </w:rPr>
        <w:t>完成</w:t>
      </w:r>
      <w:r>
        <w:rPr>
          <w:rStyle w:val="16"/>
          <w:rFonts w:hint="eastAsia" w:ascii="仿宋" w:hAnsi="仿宋" w:eastAsia="仿宋"/>
          <w:bCs/>
          <w:color w:val="000000"/>
          <w:sz w:val="32"/>
          <w:szCs w:val="32"/>
          <w:highlight w:val="none"/>
        </w:rPr>
        <w:t>预算</w:t>
      </w:r>
      <w:r>
        <w:rPr>
          <w:rStyle w:val="16"/>
          <w:rFonts w:hint="eastAsia" w:ascii="仿宋" w:hAnsi="仿宋" w:eastAsia="仿宋"/>
          <w:bCs/>
          <w:color w:val="000000"/>
          <w:sz w:val="32"/>
          <w:szCs w:val="32"/>
          <w:highlight w:val="none"/>
          <w:lang w:val="en-US" w:eastAsia="zh-CN"/>
        </w:rPr>
        <w:t>82.7</w:t>
      </w:r>
      <w:r>
        <w:rPr>
          <w:rStyle w:val="16"/>
          <w:rFonts w:ascii="仿宋" w:hAnsi="仿宋" w:eastAsia="仿宋"/>
          <w:bCs/>
          <w:color w:val="000000"/>
          <w:sz w:val="32"/>
          <w:szCs w:val="32"/>
          <w:highlight w:val="none"/>
        </w:rPr>
        <w:t>%</w:t>
      </w:r>
      <w:r>
        <w:rPr>
          <w:rStyle w:val="16"/>
          <w:rFonts w:hint="eastAsia" w:ascii="仿宋" w:hAnsi="仿宋" w:eastAsia="仿宋"/>
          <w:bCs/>
          <w:color w:val="000000"/>
          <w:sz w:val="32"/>
          <w:szCs w:val="32"/>
          <w:highlight w:val="none"/>
        </w:rPr>
        <w:t>。其中：</w:t>
      </w:r>
      <w:bookmarkEnd w:id="37"/>
      <w:bookmarkEnd w:id="38"/>
      <w:bookmarkEnd w:id="39"/>
    </w:p>
    <w:p>
      <w:pPr>
        <w:spacing w:line="580" w:lineRule="exact"/>
        <w:ind w:firstLine="680" w:firstLineChars="200"/>
        <w:rPr>
          <w:rFonts w:hint="eastAsia" w:eastAsia="仿宋_GB2312"/>
          <w:spacing w:val="10"/>
          <w:sz w:val="32"/>
          <w:szCs w:val="32"/>
          <w:highlight w:val="none"/>
        </w:rPr>
      </w:pPr>
      <w:r>
        <w:rPr>
          <w:rFonts w:hint="eastAsia" w:eastAsia="仿宋_GB2312"/>
          <w:spacing w:val="10"/>
          <w:sz w:val="32"/>
          <w:szCs w:val="32"/>
          <w:highlight w:val="none"/>
        </w:rPr>
        <w:t>1、一般公共服务支出（类）财政事务（款）行政运行（项）：2019年决算数为</w:t>
      </w:r>
      <w:r>
        <w:rPr>
          <w:rFonts w:hint="eastAsia" w:eastAsia="仿宋_GB2312"/>
          <w:spacing w:val="10"/>
          <w:sz w:val="32"/>
          <w:szCs w:val="32"/>
          <w:highlight w:val="none"/>
          <w:lang w:val="en-US" w:eastAsia="zh-CN"/>
        </w:rPr>
        <w:t>531.11</w:t>
      </w:r>
      <w:r>
        <w:rPr>
          <w:rFonts w:hint="eastAsia" w:eastAsia="仿宋_GB2312"/>
          <w:spacing w:val="10"/>
          <w:sz w:val="32"/>
          <w:szCs w:val="32"/>
          <w:highlight w:val="none"/>
        </w:rPr>
        <w:t>万元，完成预算100%。</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2、一般公共服务支出（类）财政事务（款）财政国库业务（项）：2019年决算数为42.71万元，完成预算94.9%</w:t>
      </w:r>
      <w:r>
        <w:rPr>
          <w:rFonts w:hint="eastAsia" w:eastAsia="仿宋_GB2312"/>
          <w:color w:val="000000"/>
          <w:spacing w:val="10"/>
          <w:sz w:val="32"/>
          <w:szCs w:val="32"/>
          <w:highlight w:val="none"/>
          <w:lang w:eastAsia="zh-CN"/>
        </w:rPr>
        <w:t>，决</w:t>
      </w:r>
      <w:r>
        <w:rPr>
          <w:rStyle w:val="16"/>
          <w:rFonts w:hint="eastAsia" w:ascii="仿宋" w:hAnsi="仿宋" w:eastAsia="仿宋"/>
          <w:b w:val="0"/>
          <w:bCs/>
          <w:color w:val="000000"/>
          <w:sz w:val="32"/>
          <w:szCs w:val="32"/>
          <w:highlight w:val="none"/>
        </w:rPr>
        <w:t>算数小于预算数的主要原因是</w:t>
      </w:r>
      <w:r>
        <w:rPr>
          <w:rStyle w:val="16"/>
          <w:rFonts w:hint="eastAsia" w:ascii="仿宋" w:hAnsi="仿宋" w:eastAsia="仿宋"/>
          <w:b w:val="0"/>
          <w:bCs/>
          <w:color w:val="000000"/>
          <w:sz w:val="32"/>
          <w:szCs w:val="32"/>
          <w:highlight w:val="none"/>
          <w:lang w:eastAsia="zh-CN"/>
        </w:rPr>
        <w:t>部分支出次年结算</w:t>
      </w:r>
      <w:r>
        <w:rPr>
          <w:rFonts w:hint="eastAsia" w:ascii="仿宋_GB2312" w:eastAsia="仿宋_GB2312"/>
          <w:color w:val="000000"/>
          <w:sz w:val="32"/>
          <w:szCs w:val="32"/>
          <w:highlight w:val="none"/>
          <w:lang w:eastAsia="zh-CN"/>
        </w:rPr>
        <w:t>及厉行节约、压减行政开支</w:t>
      </w:r>
      <w:r>
        <w:rPr>
          <w:rFonts w:hint="eastAsia" w:eastAsia="仿宋_GB2312"/>
          <w:color w:val="000000"/>
          <w:spacing w:val="10"/>
          <w:sz w:val="32"/>
          <w:szCs w:val="32"/>
          <w:highlight w:val="none"/>
        </w:rPr>
        <w:t>。</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3、一般公共服务支出（类）财政事务（款）信息化建设（项）：2019年决算数为203.52万元，完成预算96.9%</w:t>
      </w:r>
      <w:r>
        <w:rPr>
          <w:rFonts w:hint="eastAsia" w:eastAsia="仿宋_GB2312"/>
          <w:color w:val="000000"/>
          <w:spacing w:val="10"/>
          <w:sz w:val="32"/>
          <w:szCs w:val="32"/>
          <w:highlight w:val="none"/>
          <w:lang w:eastAsia="zh-CN"/>
        </w:rPr>
        <w:t>，决</w:t>
      </w:r>
      <w:r>
        <w:rPr>
          <w:rStyle w:val="16"/>
          <w:rFonts w:hint="eastAsia" w:ascii="仿宋" w:hAnsi="仿宋" w:eastAsia="仿宋"/>
          <w:b w:val="0"/>
          <w:bCs/>
          <w:color w:val="000000"/>
          <w:sz w:val="32"/>
          <w:szCs w:val="32"/>
          <w:highlight w:val="none"/>
        </w:rPr>
        <w:t>算数小于预算数的主要原因是</w:t>
      </w:r>
      <w:r>
        <w:rPr>
          <w:rStyle w:val="16"/>
          <w:rFonts w:hint="eastAsia" w:ascii="仿宋" w:hAnsi="仿宋" w:eastAsia="仿宋"/>
          <w:b w:val="0"/>
          <w:bCs/>
          <w:color w:val="000000"/>
          <w:sz w:val="32"/>
          <w:szCs w:val="32"/>
          <w:highlight w:val="none"/>
          <w:lang w:eastAsia="zh-CN"/>
        </w:rPr>
        <w:t>部分支出次年结算</w:t>
      </w:r>
      <w:r>
        <w:rPr>
          <w:rFonts w:hint="eastAsia" w:eastAsia="仿宋_GB2312"/>
          <w:color w:val="000000"/>
          <w:spacing w:val="10"/>
          <w:sz w:val="32"/>
          <w:szCs w:val="32"/>
          <w:highlight w:val="none"/>
        </w:rPr>
        <w:t>。</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4、一般公共服务支出（类）财政事务（款）财政委托业务支出（项）：2019年决算数为255.21万元，完成预算54.3%</w:t>
      </w:r>
      <w:r>
        <w:rPr>
          <w:rFonts w:hint="eastAsia" w:eastAsia="仿宋_GB2312"/>
          <w:color w:val="000000"/>
          <w:spacing w:val="10"/>
          <w:sz w:val="32"/>
          <w:szCs w:val="32"/>
          <w:highlight w:val="none"/>
          <w:lang w:eastAsia="zh-CN"/>
        </w:rPr>
        <w:t>，决</w:t>
      </w:r>
      <w:r>
        <w:rPr>
          <w:rStyle w:val="16"/>
          <w:rFonts w:hint="eastAsia" w:ascii="仿宋" w:hAnsi="仿宋" w:eastAsia="仿宋"/>
          <w:b w:val="0"/>
          <w:bCs/>
          <w:color w:val="000000"/>
          <w:sz w:val="32"/>
          <w:szCs w:val="32"/>
          <w:highlight w:val="none"/>
        </w:rPr>
        <w:t>算数小于预算数的主要原因是</w:t>
      </w:r>
      <w:r>
        <w:rPr>
          <w:rFonts w:hint="eastAsia" w:ascii="仿宋_GB2312" w:eastAsia="仿宋_GB2312"/>
          <w:color w:val="000000"/>
          <w:sz w:val="32"/>
          <w:szCs w:val="32"/>
          <w:highlight w:val="none"/>
        </w:rPr>
        <w:t>部分委托业务等支出次年支付</w:t>
      </w:r>
      <w:r>
        <w:rPr>
          <w:rFonts w:hint="eastAsia" w:eastAsia="仿宋_GB2312"/>
          <w:color w:val="000000"/>
          <w:spacing w:val="10"/>
          <w:sz w:val="32"/>
          <w:szCs w:val="32"/>
          <w:highlight w:val="none"/>
        </w:rPr>
        <w:t>。</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5、社会保障和就业支出（类）行政事业单位离退休（款）机关事业单位基本养老保险缴费支出（项）：2019年决算数为37.78万元，完成预算100%。</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6、社会保障和就业支出（类）行政事业单位离退休（款）机关事业单位职业年金缴费支出（项）：2019年决算数为2.35万元，完成预算100%。</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7、</w:t>
      </w:r>
      <w:r>
        <w:rPr>
          <w:rFonts w:hint="eastAsia" w:eastAsia="仿宋_GB2312"/>
          <w:color w:val="000000"/>
          <w:spacing w:val="10"/>
          <w:sz w:val="32"/>
          <w:szCs w:val="32"/>
          <w:highlight w:val="none"/>
          <w:lang w:eastAsia="zh-CN"/>
        </w:rPr>
        <w:t>卫生健康支出</w:t>
      </w:r>
      <w:r>
        <w:rPr>
          <w:rFonts w:hint="eastAsia" w:eastAsia="仿宋_GB2312"/>
          <w:color w:val="000000"/>
          <w:spacing w:val="10"/>
          <w:sz w:val="32"/>
          <w:szCs w:val="32"/>
          <w:highlight w:val="none"/>
        </w:rPr>
        <w:t>（类）</w:t>
      </w:r>
      <w:r>
        <w:rPr>
          <w:rFonts w:hint="eastAsia" w:eastAsia="仿宋_GB2312"/>
          <w:color w:val="000000"/>
          <w:spacing w:val="10"/>
          <w:sz w:val="32"/>
          <w:szCs w:val="32"/>
          <w:highlight w:val="none"/>
          <w:lang w:eastAsia="zh-CN"/>
        </w:rPr>
        <w:t>行政事业单位医疗</w:t>
      </w:r>
      <w:r>
        <w:rPr>
          <w:rFonts w:hint="eastAsia" w:eastAsia="仿宋_GB2312"/>
          <w:color w:val="000000"/>
          <w:spacing w:val="10"/>
          <w:sz w:val="32"/>
          <w:szCs w:val="32"/>
          <w:highlight w:val="none"/>
        </w:rPr>
        <w:t>（款）行政单位医疗（项）：2019年决算数为16.73万元，完成预算100%。</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8、住房保障支出（类）住房改革支出（款）住房公积金（项）：2019年决算数为27.16万元，完成预算100%。</w:t>
      </w:r>
    </w:p>
    <w:p>
      <w:pPr>
        <w:tabs>
          <w:tab w:val="right" w:pos="8306"/>
        </w:tabs>
        <w:spacing w:line="600" w:lineRule="exact"/>
        <w:ind w:firstLine="640"/>
        <w:outlineLvl w:val="1"/>
        <w:rPr>
          <w:rStyle w:val="26"/>
          <w:highlight w:val="none"/>
        </w:rPr>
      </w:pPr>
      <w:bookmarkStart w:id="40" w:name="_Toc15396608"/>
      <w:bookmarkStart w:id="41" w:name="_Toc15377214"/>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26"/>
          <w:rFonts w:hint="eastAsia" w:ascii="黑体" w:hAnsi="黑体" w:eastAsia="黑体"/>
          <w:b w:val="0"/>
          <w:highlight w:val="none"/>
        </w:rPr>
        <w:t>般公共预算财政拨款基本支出决算情况说明</w:t>
      </w:r>
      <w:bookmarkEnd w:id="40"/>
      <w:bookmarkEnd w:id="41"/>
      <w:r>
        <w:rPr>
          <w:rStyle w:val="26"/>
          <w:rFonts w:ascii="黑体" w:hAnsi="黑体" w:eastAsia="黑体"/>
          <w:b w:val="0"/>
          <w:highlight w:val="none"/>
        </w:rPr>
        <w:tab/>
      </w:r>
    </w:p>
    <w:p>
      <w:pPr>
        <w:spacing w:line="600" w:lineRule="exact"/>
        <w:ind w:firstLine="645"/>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2019年度一般公共预算财政拨款基本支出</w:t>
      </w:r>
      <w:r>
        <w:rPr>
          <w:rFonts w:hint="eastAsia" w:eastAsia="仿宋_GB2312"/>
          <w:color w:val="000000"/>
          <w:spacing w:val="10"/>
          <w:sz w:val="32"/>
          <w:szCs w:val="32"/>
          <w:highlight w:val="none"/>
        </w:rPr>
        <w:t>615.13</w:t>
      </w:r>
      <w:r>
        <w:rPr>
          <w:rFonts w:hint="eastAsia" w:ascii="仿宋_GB2312" w:eastAsia="仿宋_GB2312"/>
          <w:color w:val="000000"/>
          <w:sz w:val="32"/>
          <w:szCs w:val="32"/>
          <w:highlight w:val="none"/>
        </w:rPr>
        <w:t>万元，其中：</w:t>
      </w:r>
    </w:p>
    <w:p>
      <w:pPr>
        <w:spacing w:line="580" w:lineRule="exact"/>
        <w:ind w:firstLine="680" w:firstLineChars="200"/>
        <w:rPr>
          <w:rFonts w:hint="eastAsia" w:eastAsia="仿宋_GB2312"/>
          <w:color w:val="000000"/>
          <w:spacing w:val="10"/>
          <w:sz w:val="32"/>
          <w:szCs w:val="32"/>
          <w:highlight w:val="none"/>
        </w:rPr>
      </w:pPr>
      <w:r>
        <w:rPr>
          <w:rFonts w:hint="eastAsia" w:eastAsia="仿宋_GB2312"/>
          <w:color w:val="000000"/>
          <w:spacing w:val="10"/>
          <w:sz w:val="32"/>
          <w:szCs w:val="32"/>
          <w:highlight w:val="none"/>
        </w:rPr>
        <w:t>人员经费420.58万元，主要包括：</w:t>
      </w:r>
      <w:r>
        <w:rPr>
          <w:rFonts w:hint="eastAsia" w:ascii="仿宋_GB2312" w:eastAsia="仿宋_GB2312"/>
          <w:color w:val="000000"/>
          <w:sz w:val="32"/>
          <w:szCs w:val="32"/>
          <w:highlight w:val="none"/>
        </w:rPr>
        <w:t>基本工资、津贴补贴、奖金、其他社会保障缴费、绩效工资、机关事业单位基本养老保险缴费、职业年金缴费、</w:t>
      </w:r>
      <w:r>
        <w:rPr>
          <w:rFonts w:hint="eastAsia" w:ascii="仿宋_GB2312" w:eastAsia="仿宋_GB2312"/>
          <w:color w:val="000000"/>
          <w:sz w:val="32"/>
          <w:szCs w:val="32"/>
          <w:highlight w:val="none"/>
          <w:lang w:eastAsia="zh-CN"/>
        </w:rPr>
        <w:t>其他工资福利、</w:t>
      </w:r>
      <w:r>
        <w:rPr>
          <w:rFonts w:hint="eastAsia" w:ascii="仿宋_GB2312" w:eastAsia="仿宋_GB2312"/>
          <w:color w:val="000000"/>
          <w:sz w:val="32"/>
          <w:szCs w:val="32"/>
          <w:highlight w:val="none"/>
        </w:rPr>
        <w:t>生活补助、奖励金、住房公积金。</w:t>
      </w:r>
    </w:p>
    <w:p>
      <w:pPr>
        <w:spacing w:line="600" w:lineRule="exact"/>
        <w:ind w:firstLine="645"/>
        <w:rPr>
          <w:rFonts w:ascii="仿宋" w:hAnsi="仿宋" w:eastAsia="仿宋"/>
          <w:color w:val="000000"/>
          <w:sz w:val="32"/>
          <w:szCs w:val="32"/>
        </w:rPr>
      </w:pPr>
      <w:r>
        <w:rPr>
          <w:rFonts w:hint="eastAsia" w:eastAsia="仿宋_GB2312"/>
          <w:color w:val="000000"/>
          <w:spacing w:val="10"/>
          <w:sz w:val="32"/>
          <w:szCs w:val="32"/>
          <w:highlight w:val="none"/>
        </w:rPr>
        <w:t>日常公用经费194.55万元，主要包括：</w:t>
      </w:r>
      <w:r>
        <w:rPr>
          <w:rFonts w:hint="eastAsia" w:ascii="仿宋_GB2312" w:eastAsia="仿宋_GB2312"/>
          <w:color w:val="000000"/>
          <w:sz w:val="32"/>
          <w:szCs w:val="32"/>
          <w:highlight w:val="none"/>
        </w:rPr>
        <w:t>办公费、印刷费、咨询费、水费、电费、邮电费、物业管理费、差旅费、</w:t>
      </w:r>
      <w:r>
        <w:rPr>
          <w:rFonts w:hint="eastAsia" w:ascii="仿宋_GB2312" w:eastAsia="仿宋_GB2312"/>
          <w:color w:val="000000"/>
          <w:sz w:val="32"/>
          <w:szCs w:val="32"/>
        </w:rPr>
        <w:t>维修（护）费、租赁费、会议费、培训费、公务接待费、工会经费、其他交通费、其他商品和服务支出、办公设备购置</w:t>
      </w:r>
      <w:r>
        <w:rPr>
          <w:rFonts w:hint="eastAsia" w:ascii="仿宋_GB2312" w:eastAsia="仿宋_GB2312"/>
          <w:color w:val="000000"/>
          <w:sz w:val="32"/>
          <w:szCs w:val="32"/>
          <w:lang w:eastAsia="zh-CN"/>
        </w:rPr>
        <w:t>、大型修缮</w:t>
      </w:r>
      <w:r>
        <w:rPr>
          <w:rFonts w:hint="eastAsia" w:ascii="仿宋_GB2312" w:eastAsia="仿宋_GB2312"/>
          <w:color w:val="000000"/>
          <w:sz w:val="32"/>
          <w:szCs w:val="32"/>
        </w:rPr>
        <w:t>。</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highlight w:val="none"/>
          <w:lang w:val="en-US" w:eastAsia="zh-CN"/>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9年“三公”经费财政拨款支出决算为</w:t>
      </w:r>
      <w:r>
        <w:rPr>
          <w:rFonts w:hint="eastAsia" w:ascii="仿宋" w:hAnsi="仿宋" w:eastAsia="仿宋"/>
          <w:color w:val="000000"/>
          <w:sz w:val="32"/>
          <w:szCs w:val="32"/>
          <w:highlight w:val="none"/>
          <w:lang w:val="en-US" w:eastAsia="zh-CN"/>
        </w:rPr>
        <w:t>10.07</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10.07</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highlight w:val="none"/>
        </w:rPr>
        <w:t>1.</w:t>
      </w:r>
      <w:r>
        <w:rPr>
          <w:rFonts w:hint="eastAsia" w:ascii="仿宋_GB2312" w:eastAsia="仿宋_GB2312"/>
          <w:b/>
          <w:color w:val="000000"/>
          <w:sz w:val="32"/>
          <w:szCs w:val="32"/>
          <w:highlight w:val="none"/>
        </w:rPr>
        <w:t>因公出国（境）经</w:t>
      </w:r>
      <w:r>
        <w:rPr>
          <w:rFonts w:hint="eastAsia" w:ascii="仿宋_GB2312" w:eastAsia="仿宋_GB2312"/>
          <w:b/>
          <w:color w:val="000000"/>
          <w:sz w:val="32"/>
          <w:szCs w:val="32"/>
        </w:rPr>
        <w:t>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辆。截至</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pStyle w:val="2"/>
        <w:ind w:firstLine="643" w:firstLineChars="200"/>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10.07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230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1322</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10.07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具体内容包括：</w:t>
      </w:r>
      <w:r>
        <w:rPr>
          <w:rFonts w:hint="eastAsia" w:ascii="仿宋_GB2312" w:eastAsia="仿宋_GB2312"/>
          <w:color w:val="auto"/>
          <w:sz w:val="32"/>
          <w:szCs w:val="32"/>
          <w:lang w:eastAsia="zh-CN"/>
        </w:rPr>
        <w:t>各类检查等接待</w:t>
      </w:r>
      <w:r>
        <w:rPr>
          <w:rFonts w:hint="eastAsia" w:ascii="仿宋_GB2312" w:eastAsia="仿宋_GB2312"/>
          <w:color w:val="auto"/>
          <w:sz w:val="32"/>
          <w:szCs w:val="32"/>
        </w:rPr>
        <w:t>。</w:t>
      </w:r>
      <w:r>
        <w:rPr>
          <w:rFonts w:hint="eastAsia" w:ascii="仿宋_GB2312" w:eastAsia="仿宋_GB2312"/>
          <w:color w:val="000000"/>
          <w:sz w:val="32"/>
          <w:szCs w:val="32"/>
          <w:lang w:eastAsia="zh-CN"/>
        </w:rPr>
        <w:t>其中：</w:t>
      </w:r>
    </w:p>
    <w:p>
      <w:pPr>
        <w:pStyle w:val="2"/>
        <w:ind w:firstLine="643" w:firstLineChars="200"/>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w:t>
      </w:r>
    </w:p>
    <w:p>
      <w:pPr>
        <w:spacing w:line="600" w:lineRule="exact"/>
        <w:ind w:firstLine="640"/>
        <w:rPr>
          <w:rFonts w:hint="eastAsia" w:ascii="黑体" w:eastAsia="仿宋_GB2312"/>
          <w:color w:val="000000"/>
          <w:sz w:val="32"/>
          <w:szCs w:val="32"/>
          <w:lang w:eastAsia="zh-CN"/>
        </w:rPr>
      </w:pPr>
      <w:r>
        <w:rPr>
          <w:rFonts w:hint="eastAsia" w:ascii="仿宋" w:hAnsi="仿宋" w:eastAsia="仿宋"/>
          <w:b/>
          <w:color w:val="000000"/>
          <w:sz w:val="32"/>
          <w:szCs w:val="32"/>
          <w:lang w:eastAsia="zh-CN"/>
        </w:rPr>
        <w:t>其他</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10.07</w:t>
      </w:r>
      <w:r>
        <w:rPr>
          <w:rFonts w:hint="eastAsia" w:ascii="仿宋_GB2312" w:eastAsia="仿宋_GB2312"/>
          <w:color w:val="000000"/>
          <w:sz w:val="32"/>
          <w:szCs w:val="32"/>
        </w:rPr>
        <w:t>万元，主要用于执行公务、开展业务活动开支的交通费、住宿费、用餐费等。</w:t>
      </w: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80" w:firstLineChars="200"/>
        <w:rPr>
          <w:rFonts w:hint="eastAsia" w:eastAsia="仿宋_GB2312"/>
          <w:color w:val="000000"/>
          <w:spacing w:val="10"/>
          <w:sz w:val="32"/>
          <w:szCs w:val="32"/>
        </w:rPr>
      </w:pPr>
      <w:r>
        <w:rPr>
          <w:rFonts w:hint="eastAsia" w:eastAsia="仿宋_GB2312"/>
          <w:color w:val="000000"/>
          <w:spacing w:val="10"/>
          <w:sz w:val="32"/>
          <w:szCs w:val="32"/>
        </w:rPr>
        <w:t>2019年度，区财政局机关运行经费支出306.93万元，比201</w:t>
      </w:r>
      <w:r>
        <w:rPr>
          <w:rFonts w:hint="eastAsia" w:eastAsia="仿宋_GB2312"/>
          <w:color w:val="000000"/>
          <w:spacing w:val="10"/>
          <w:sz w:val="32"/>
          <w:szCs w:val="32"/>
          <w:lang w:val="en-US" w:eastAsia="zh-CN"/>
        </w:rPr>
        <w:t>8</w:t>
      </w:r>
      <w:r>
        <w:rPr>
          <w:rFonts w:hint="eastAsia" w:eastAsia="仿宋_GB2312"/>
          <w:color w:val="000000"/>
          <w:spacing w:val="10"/>
          <w:sz w:val="32"/>
          <w:szCs w:val="32"/>
        </w:rPr>
        <w:t>减少112.3万元，下降36.6%，主要下降原因为部分委托业务等支出次年支付。</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hint="eastAsia" w:ascii="仿宋" w:hAnsi="仿宋" w:eastAsia="仿宋_GB2312"/>
          <w:b/>
          <w:color w:val="FF0000"/>
          <w:sz w:val="32"/>
          <w:szCs w:val="32"/>
          <w:lang w:eastAsia="zh-CN"/>
        </w:rPr>
      </w:pPr>
      <w:r>
        <w:rPr>
          <w:rFonts w:hint="eastAsia" w:ascii="仿宋_GB2312" w:eastAsia="仿宋_GB2312"/>
          <w:color w:val="000000"/>
          <w:sz w:val="32"/>
          <w:szCs w:val="32"/>
        </w:rPr>
        <w:t>2019年度，</w:t>
      </w:r>
      <w:r>
        <w:rPr>
          <w:rFonts w:hint="eastAsia" w:eastAsia="仿宋_GB2312"/>
          <w:color w:val="000000"/>
          <w:spacing w:val="10"/>
          <w:sz w:val="32"/>
          <w:szCs w:val="32"/>
        </w:rPr>
        <w:t>区财政局政府采购支出总额0万元</w:t>
      </w:r>
      <w:r>
        <w:rPr>
          <w:rFonts w:hint="eastAsia" w:eastAsia="仿宋_GB2312"/>
          <w:color w:val="000000"/>
          <w:spacing w:val="1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eastAsia="仿宋_GB2312"/>
          <w:color w:val="000000"/>
          <w:spacing w:val="10"/>
          <w:sz w:val="32"/>
          <w:szCs w:val="32"/>
        </w:rPr>
        <w:t>区财政局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eastAsia="zh-CN"/>
        </w:rPr>
        <w:t>财政绩效评价经费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华文中宋" w:eastAsia="仿宋_GB2312"/>
          <w:sz w:val="32"/>
          <w:szCs w:val="32"/>
        </w:rPr>
        <w:t>201</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年我部门整体支出绩效评价自查自评结果较好，政策执行有力，资金管理规范，有效发挥了财政资金的使用效益，全年基本支出保证了部门的正常运行和日常工作的正常开展，项目支出保障了重点工作的开展，达到了预期绩效目标</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财政绩效评价经费主要用于完成绩效评价中介服务机构的</w:t>
      </w:r>
      <w:r>
        <w:rPr>
          <w:rFonts w:hint="eastAsia" w:ascii="仿宋" w:hAnsi="仿宋" w:eastAsia="仿宋" w:cs="仿宋"/>
          <w:sz w:val="32"/>
          <w:szCs w:val="32"/>
          <w:lang w:eastAsia="zh-CN"/>
        </w:rPr>
        <w:t>采购</w:t>
      </w:r>
      <w:r>
        <w:rPr>
          <w:rFonts w:hint="eastAsia" w:ascii="仿宋" w:hAnsi="仿宋" w:eastAsia="仿宋" w:cs="仿宋"/>
          <w:sz w:val="32"/>
          <w:szCs w:val="32"/>
        </w:rPr>
        <w:t>，完成全年</w:t>
      </w:r>
      <w:r>
        <w:rPr>
          <w:rFonts w:hint="eastAsia" w:ascii="仿宋" w:hAnsi="仿宋" w:eastAsia="仿宋" w:cs="仿宋"/>
          <w:sz w:val="32"/>
          <w:szCs w:val="32"/>
          <w:lang w:val="en-US" w:eastAsia="zh-CN"/>
        </w:rPr>
        <w:t>48</w:t>
      </w:r>
      <w:r>
        <w:rPr>
          <w:rFonts w:hint="eastAsia" w:ascii="仿宋" w:hAnsi="仿宋" w:eastAsia="仿宋" w:cs="仿宋"/>
          <w:sz w:val="32"/>
          <w:szCs w:val="32"/>
        </w:rPr>
        <w:t>个项目支出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1个政策</w:t>
      </w:r>
      <w:r>
        <w:rPr>
          <w:rFonts w:hint="eastAsia" w:ascii="仿宋" w:hAnsi="仿宋" w:eastAsia="仿宋" w:cs="仿宋"/>
          <w:sz w:val="32"/>
          <w:szCs w:val="32"/>
        </w:rPr>
        <w:t>绩效评价，提高资金使用效益。</w:t>
      </w:r>
    </w:p>
    <w:p>
      <w:pPr>
        <w:numPr>
          <w:ilvl w:val="0"/>
          <w:numId w:val="3"/>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财政绩效评价经费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财政绩效评价经费</w:t>
      </w:r>
      <w:r>
        <w:rPr>
          <w:rFonts w:hint="eastAsia" w:ascii="仿宋_GB2312" w:hAnsi="仿宋_GB2312" w:eastAsia="仿宋_GB2312" w:cs="仿宋_GB2312"/>
          <w:sz w:val="32"/>
          <w:szCs w:val="32"/>
        </w:rPr>
        <w:t>项目绩效目标完成情况综述。通过项目实施，</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部门预算绩效管理理念和财政资金使用效益。</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财政绩效评价经费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广元市昭化区财政局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完成全年部门财务管理绩效评价、项目支出绩效评价，提高财政资金使用效益。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w:t>
            </w:r>
            <w:r>
              <w:rPr>
                <w:rFonts w:hint="eastAsia" w:ascii="宋体" w:hAnsi="宋体" w:cs="宋体"/>
                <w:color w:val="000000"/>
                <w:sz w:val="24"/>
                <w:lang w:val="en-US" w:eastAsia="zh-CN"/>
              </w:rPr>
              <w:t>40个部门整体绩效评价，及48个项目支出绩效评价，1个政策性绩效评价。</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项目支出绩效评价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48个</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部门财务管理绩效评价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政策性绩效评价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财政资金使用效益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实现大幅度财政资金使用效益的提高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实现大幅度财政资金使用效益的提高</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部门绩效管理理念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提高部门预算绩效管理理念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提高部门预算绩效管理理念，逐步实现“花钱必问效”目标。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大于等于</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大于等于</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广元市昭化区财政局</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财政绩效评价经费项目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财政绩效评价经费</w:t>
      </w:r>
      <w:r>
        <w:rPr>
          <w:rFonts w:hint="eastAsia" w:ascii="仿宋_GB2312" w:hAnsi="仿宋_GB2312" w:eastAsia="仿宋_GB2312" w:cs="仿宋_GB2312"/>
          <w:sz w:val="32"/>
          <w:szCs w:val="32"/>
        </w:rPr>
        <w:t>项目2019年绩效评价报告》见附件（附件2）。</w:t>
      </w:r>
    </w:p>
    <w:p>
      <w:pPr>
        <w:pStyle w:val="2"/>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财政拨款收入：指单位从同级财政部门取得的财政预算资金。</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3、年末结转和结余：指单位按有关规定结转到下年或以后年度继续使用的资金。</w:t>
      </w:r>
    </w:p>
    <w:p>
      <w:pPr>
        <w:spacing w:line="580" w:lineRule="exact"/>
        <w:ind w:firstLine="680" w:firstLineChars="200"/>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4、一般公共服务支出（类）财政事务（款）行政运行（项）</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反映行政单位</w:t>
      </w:r>
      <w:r>
        <w:rPr>
          <w:rFonts w:hint="eastAsia" w:ascii="仿宋_GB2312" w:hAnsi="仿宋_GB2312" w:eastAsia="仿宋_GB2312" w:cs="仿宋_GB2312"/>
          <w:spacing w:val="10"/>
          <w:sz w:val="32"/>
          <w:szCs w:val="32"/>
          <w:lang w:eastAsia="zh-CN"/>
        </w:rPr>
        <w:t>的</w:t>
      </w:r>
      <w:r>
        <w:rPr>
          <w:rFonts w:hint="eastAsia" w:ascii="仿宋_GB2312" w:hAnsi="仿宋_GB2312" w:eastAsia="仿宋_GB2312" w:cs="仿宋_GB2312"/>
          <w:spacing w:val="10"/>
          <w:sz w:val="32"/>
          <w:szCs w:val="32"/>
        </w:rPr>
        <w:t>基本支出。</w:t>
      </w:r>
    </w:p>
    <w:p>
      <w:pPr>
        <w:spacing w:line="580" w:lineRule="exact"/>
        <w:ind w:firstLine="680" w:firstLineChars="200"/>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5、一般公共服务支出（类）财政事务（款）预算改革业务（项）：反映财政部门用于预算改革方面的支出。</w:t>
      </w:r>
    </w:p>
    <w:p>
      <w:pPr>
        <w:spacing w:line="580" w:lineRule="exact"/>
        <w:ind w:firstLine="680" w:firstLineChars="200"/>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6、一般公共服务支出（类）财政事务（款）财政国库业务（项）：反映财政部门用于财政国库集中收付业务方面的支出。</w:t>
      </w:r>
    </w:p>
    <w:p>
      <w:pPr>
        <w:spacing w:line="580" w:lineRule="exact"/>
        <w:ind w:firstLine="680" w:firstLineChars="200"/>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7、一般公共服务支出（类）财政事务（款）信息化建设（项）：反映财政部门用于信息化建设方面的支出。</w:t>
      </w:r>
    </w:p>
    <w:p>
      <w:pPr>
        <w:spacing w:line="580" w:lineRule="exact"/>
        <w:ind w:firstLine="680" w:firstLineChars="200"/>
        <w:rPr>
          <w:rFonts w:hint="default" w:eastAsia="仿宋_GB2312"/>
          <w:lang w:val="en-US" w:eastAsia="zh-CN"/>
        </w:rPr>
      </w:pPr>
      <w:r>
        <w:rPr>
          <w:rFonts w:hint="eastAsia" w:ascii="仿宋_GB2312" w:hAnsi="仿宋_GB2312" w:eastAsia="仿宋_GB2312" w:cs="仿宋_GB2312"/>
          <w:color w:val="000000" w:themeColor="text1"/>
          <w:spacing w:val="10"/>
          <w:sz w:val="32"/>
          <w:szCs w:val="32"/>
        </w:rPr>
        <w:t>8、一般公共服务支出（类）财政事务（款）财政委</w:t>
      </w:r>
      <w:r>
        <w:rPr>
          <w:rFonts w:hint="eastAsia" w:ascii="仿宋_GB2312" w:hAnsi="仿宋_GB2312" w:eastAsia="仿宋_GB2312" w:cs="仿宋_GB2312"/>
          <w:color w:val="000000"/>
          <w:spacing w:val="10"/>
          <w:sz w:val="32"/>
          <w:szCs w:val="32"/>
        </w:rPr>
        <w:t>托业务支出（项）：反映财政委托评审机构进行财政投资评审和委托建设银行等代理机构代理业务发生的支出。</w:t>
      </w:r>
    </w:p>
    <w:p>
      <w:pPr>
        <w:ind w:firstLine="68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0"/>
          <w:sz w:val="32"/>
          <w:szCs w:val="32"/>
        </w:rPr>
        <w:t>9、</w:t>
      </w:r>
      <w:r>
        <w:rPr>
          <w:rFonts w:hint="eastAsia" w:ascii="仿宋_GB2312" w:hAnsi="仿宋_GB2312" w:eastAsia="仿宋_GB2312" w:cs="仿宋_GB2312"/>
          <w:color w:val="000000" w:themeColor="text1"/>
          <w:spacing w:val="10"/>
          <w:sz w:val="32"/>
          <w:szCs w:val="32"/>
        </w:rPr>
        <w:t>社会保障和就业支出（类）行政事业单位离退休（款）机关事业单位基本养老保险缴费支出（项）：</w:t>
      </w:r>
      <w:r>
        <w:rPr>
          <w:rFonts w:hint="eastAsia" w:ascii="仿宋_GB2312" w:hAnsi="仿宋_GB2312" w:eastAsia="仿宋_GB2312" w:cs="仿宋_GB2312"/>
          <w:color w:val="000000"/>
          <w:sz w:val="32"/>
          <w:szCs w:val="32"/>
        </w:rPr>
        <w:t>指机关事业单位实施养老保险制度由单位缴纳的基本养老保险费支出。</w:t>
      </w:r>
    </w:p>
    <w:p>
      <w:pPr>
        <w:ind w:firstLine="640" w:firstLineChars="200"/>
        <w:rPr>
          <w:rFonts w:hint="default" w:eastAsia="仿宋_GB2312"/>
          <w:lang w:val="en-US" w:eastAsia="zh-CN"/>
        </w:rPr>
      </w:pPr>
      <w:r>
        <w:rPr>
          <w:rFonts w:hint="eastAsia" w:ascii="FangSong_GB2312" w:eastAsia="FangSong_GB2312"/>
          <w:color w:val="000000"/>
          <w:sz w:val="32"/>
          <w:szCs w:val="32"/>
          <w:lang w:val="en-US" w:eastAsia="zh-CN"/>
        </w:rPr>
        <w:t>10、</w:t>
      </w:r>
      <w:r>
        <w:rPr>
          <w:rFonts w:hint="eastAsia" w:eastAsia="FangSong_GB2312"/>
          <w:color w:val="000000" w:themeColor="text1"/>
          <w:spacing w:val="10"/>
          <w:sz w:val="32"/>
          <w:szCs w:val="32"/>
        </w:rPr>
        <w:t>社会保障和就业支出（类）行政事业单位离退休（款）机关事业单位</w:t>
      </w:r>
      <w:r>
        <w:rPr>
          <w:rFonts w:hint="eastAsia" w:eastAsia="FangSong_GB2312"/>
          <w:color w:val="000000" w:themeColor="text1"/>
          <w:spacing w:val="10"/>
          <w:sz w:val="32"/>
          <w:szCs w:val="32"/>
          <w:lang w:eastAsia="zh-CN"/>
        </w:rPr>
        <w:t>职业年金缴费</w:t>
      </w:r>
      <w:r>
        <w:rPr>
          <w:rFonts w:hint="eastAsia" w:eastAsia="FangSong_GB2312"/>
          <w:color w:val="000000" w:themeColor="text1"/>
          <w:spacing w:val="10"/>
          <w:sz w:val="32"/>
          <w:szCs w:val="32"/>
        </w:rPr>
        <w:t>支出（项）：</w:t>
      </w:r>
      <w:r>
        <w:rPr>
          <w:rFonts w:hint="eastAsia" w:eastAsia="FangSong_GB2312"/>
          <w:color w:val="000000" w:themeColor="text1"/>
          <w:spacing w:val="10"/>
          <w:sz w:val="32"/>
          <w:szCs w:val="32"/>
          <w:lang w:eastAsia="zh-CN"/>
        </w:rPr>
        <w:t>反映机关事业单位实施养老保险制度有单位实际缴纳的职业年金支出。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hAnsi="仿宋_GB2312" w:eastAsia="仿宋_GB2312" w:cs="仿宋_GB2312"/>
          <w:color w:val="000000" w:themeColor="text1"/>
          <w:spacing w:val="1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.住房保障（类）住房改革支出（款）住房公积金（项）：指反映行政事业单位按人力资源和社会保障部、财政部规定的基本工资和津贴补贴以及规定比例为职工缴纳的住房公积金。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pStyle w:val="2"/>
        <w:rPr>
          <w:rFonts w:ascii="仿宋" w:hAnsi="仿宋" w:eastAsia="仿宋"/>
          <w:b/>
          <w:color w:val="000000"/>
          <w:sz w:val="32"/>
          <w:szCs w:val="32"/>
        </w:rPr>
      </w:pPr>
    </w:p>
    <w:p>
      <w:pPr>
        <w:spacing w:line="600" w:lineRule="exact"/>
        <w:jc w:val="center"/>
        <w:outlineLvl w:val="0"/>
        <w:rPr>
          <w:rStyle w:val="25"/>
          <w:rFonts w:ascii="黑体" w:hAnsi="黑体" w:eastAsia="黑体"/>
          <w:b w:val="0"/>
        </w:rPr>
      </w:pPr>
      <w:bookmarkStart w:id="57" w:name="_Toc15377226"/>
      <w:r>
        <w:rPr>
          <w:rFonts w:hint="eastAsia" w:ascii="黑体" w:hAnsi="黑体" w:eastAsia="黑体"/>
          <w:color w:val="000000"/>
          <w:sz w:val="44"/>
          <w:szCs w:val="44"/>
        </w:rPr>
        <w:t>第</w:t>
      </w:r>
      <w:r>
        <w:rPr>
          <w:rStyle w:val="25"/>
          <w:rFonts w:hint="eastAsia" w:ascii="黑体" w:hAnsi="黑体" w:eastAsia="黑体"/>
          <w:b w:val="0"/>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广元市昭化区财政局</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firstLine="800" w:firstLineChars="25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 w:hAnsi="仿宋" w:eastAsia="仿宋"/>
          <w:sz w:val="32"/>
          <w:szCs w:val="32"/>
          <w:lang w:eastAsia="zh-CN"/>
        </w:rPr>
        <w:t>区财政局</w:t>
      </w:r>
      <w:r>
        <w:rPr>
          <w:rFonts w:hint="eastAsia" w:ascii="仿宋" w:hAnsi="仿宋" w:eastAsia="仿宋"/>
          <w:sz w:val="32"/>
          <w:szCs w:val="32"/>
        </w:rPr>
        <w:t>下属二级单位</w:t>
      </w:r>
      <w:r>
        <w:rPr>
          <w:rFonts w:hint="eastAsia" w:ascii="仿宋" w:hAnsi="仿宋" w:eastAsia="仿宋"/>
          <w:sz w:val="32"/>
          <w:szCs w:val="32"/>
          <w:lang w:val="en-US" w:eastAsia="zh-CN"/>
        </w:rPr>
        <w:t>6</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4</w:t>
      </w:r>
      <w:r>
        <w:rPr>
          <w:rFonts w:hint="eastAsia" w:ascii="仿宋" w:hAnsi="仿宋" w:eastAsia="仿宋"/>
          <w:sz w:val="32"/>
          <w:szCs w:val="32"/>
        </w:rPr>
        <w:t>个。</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1、拟订和执行全区财政、税收的发展规划、政策和改革方案并组织实施。参与宏观经济分析预测和全区重大宏观经济政策的制定。提出运用财税政策实施宏观经济调控和综合平衡全区财力的建议。</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2、贯彻执行国家财税法律、法规和方针、政策。按照管理权限管理全区税政事项，承办上级要求承担的税政工作。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3、承担各项财政收支管理。负责编制年度区级预决算草案并组织实施。受区政府委托，向区人民代表大会报告全区和区级预算及其执行情况，向区人大常委会报告决算。拟定财政税收收入计划；管理区级各项财政收入、预算外资金（包括政府性基金的行政事业性收费）；组织制定经费开支标准、定额，负责审核批复部分（单位）的年度预决算。完善转移支付制度。</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4、负责政府非税收入管理。负责政府性基金管理，按规定管理行政事业性收费。管理财政票据。按规定管理彩票资金。</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5、制定全区国库管理制度、国库集中收付制度，指导和监督国库业力，组织开展国库现金管理工作。制定政府采购制度，编制政府采购预算，监督管理全区政府采购工作。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6、指导全区行政事业单位国有资产管理制度规定及区级机关事业单位国有资产收益管理办法，并对执行情况进行监督检查，负责区级机关国有资产经营收益财政专户管理工作。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7、审核和汇总编制全区国有资本经营预决算草案，制订国有资本经营预算的制度和办法，收取区本级企业资本收益，组织实施企业财务制度，管理金融类企业国有资产，参与拟订企业国有资产管理相关制度，管理资产评估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8、参与拟订政府性建设投资的有关政策，制定基本建设财务制度，负责投资评审管理工作。负责有关政策性补贴和专项储备资金财政管理工作。负责全区农业综合开发管理工作。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9、负责管理全区社会保障和就业及医疗卫生支出，拟订社会保障资金（基金）的财务管理制度，编制全区社会保障预决算草案。</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10、执行政府债务管理制度和政策，制定具体管理办法，管理政府债务，防范财政风险。管理外国政府和国际金融机构贷（赠）款项目的有关业务。</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11、负责管理全区的会计工作，监督和规范会计行为，组织实施国家统一的会计制度，指导和监督注册会计师和会计师事务所的业务，指导和管理社会审计。</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12、负责财政资金绩效评价工作。监督检查财税法规、政策的执行情况，反映财政收支管理中的重大问题。依法查处违反财经纪律的行为。</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13、负责财政宣传和财政信息管理系统工作。负责全区财政干部业务培训。</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14、承担区农村综合改革领导小组办公室的具体工作。</w:t>
      </w:r>
    </w:p>
    <w:p>
      <w:pPr>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15、承担区政府公布的有关行政审批事项。</w:t>
      </w:r>
    </w:p>
    <w:p>
      <w:pPr>
        <w:pStyle w:val="2"/>
        <w:rPr>
          <w:lang w:val="zh-CN"/>
        </w:rPr>
      </w:pPr>
      <w:r>
        <w:rPr>
          <w:rFonts w:hint="eastAsia" w:eastAsia="仿宋_GB2312"/>
          <w:sz w:val="32"/>
          <w:szCs w:val="32"/>
        </w:rPr>
        <w:t>16、承办区政府交办的其他事项。</w:t>
      </w:r>
    </w:p>
    <w:p>
      <w:pPr>
        <w:widowControl/>
        <w:adjustRightInd w:val="0"/>
        <w:snapToGrid w:val="0"/>
        <w:spacing w:line="580" w:lineRule="exact"/>
        <w:ind w:firstLine="640" w:firstLineChars="200"/>
        <w:contextualSpacing/>
        <w:jc w:val="left"/>
        <w:rPr>
          <w:rFonts w:hint="default" w:eastAsia="仿宋_GB2312"/>
          <w:lang w:val="en-US" w:eastAsia="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s="宋体"/>
          <w:color w:val="000000"/>
          <w:kern w:val="0"/>
          <w:sz w:val="32"/>
          <w:szCs w:val="32"/>
          <w:shd w:val="clear" w:color="auto" w:fill="FFFFFF"/>
          <w:lang w:val="zh-CN" w:eastAsia="zh-CN"/>
        </w:rPr>
        <w:t>局机关在编在职</w:t>
      </w:r>
      <w:r>
        <w:rPr>
          <w:rFonts w:hint="eastAsia" w:ascii="仿宋_GB2312" w:hAnsi="宋体" w:eastAsia="仿宋_GB2312" w:cs="宋体"/>
          <w:color w:val="000000"/>
          <w:kern w:val="0"/>
          <w:sz w:val="32"/>
          <w:szCs w:val="32"/>
          <w:shd w:val="clear" w:color="auto" w:fill="FFFFFF"/>
          <w:lang w:val="en-US" w:eastAsia="zh-CN"/>
        </w:rPr>
        <w:t>36人，其中行政编制人员16人，参公管理事业人员5人，事业单位人员15人。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600" w:lineRule="exact"/>
        <w:ind w:firstLine="640" w:firstLineChars="200"/>
        <w:outlineLvl w:val="1"/>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1359.74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1359.74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1116.57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615.13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55.1</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项目支出</w:t>
      </w:r>
      <w:r>
        <w:rPr>
          <w:rFonts w:hint="eastAsia" w:eastAsia="FangSong_GB2312"/>
          <w:color w:val="000000"/>
          <w:sz w:val="32"/>
          <w:szCs w:val="32"/>
          <w:lang w:val="en-US" w:eastAsia="zh-CN"/>
        </w:rPr>
        <w:t>501.44</w:t>
      </w:r>
      <w:r>
        <w:rPr>
          <w:rFonts w:hint="eastAsia" w:ascii="仿宋" w:hAnsi="仿宋" w:eastAsia="仿宋"/>
          <w:color w:val="000000"/>
          <w:sz w:val="32"/>
          <w:szCs w:val="32"/>
        </w:rPr>
        <w:t>万元，占</w:t>
      </w:r>
      <w:r>
        <w:rPr>
          <w:rFonts w:hint="eastAsia" w:eastAsia="FangSong_GB2312"/>
          <w:color w:val="000000"/>
          <w:sz w:val="32"/>
          <w:szCs w:val="32"/>
          <w:lang w:val="en-US" w:eastAsia="zh-CN"/>
        </w:rPr>
        <w:t>44.9</w:t>
      </w:r>
      <w:r>
        <w:rPr>
          <w:rFonts w:eastAsia="FangSong_GB2312"/>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56"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1、部门预算编制情况。我局严格按照规定编制预算，正确使用功能科目和经济科目、准确编列资金性质和资金级次、按政府审定的方案规范编制项目支出，不漏报、错报。</w:t>
      </w:r>
      <w:r>
        <w:rPr>
          <w:rFonts w:ascii="FangSong_GB2312" w:eastAsia="FangSong_GB2312"/>
          <w:color w:val="000000"/>
          <w:sz w:val="32"/>
          <w:szCs w:val="32"/>
        </w:rPr>
        <w:t xml:space="preserve"> </w:t>
      </w:r>
    </w:p>
    <w:p>
      <w:pPr>
        <w:spacing w:line="556" w:lineRule="exact"/>
        <w:rPr>
          <w:rFonts w:ascii="FangSong_GB2312" w:eastAsia="FangSong_GB2312"/>
          <w:color w:val="000000"/>
          <w:sz w:val="32"/>
          <w:szCs w:val="32"/>
        </w:rPr>
      </w:pPr>
      <w:r>
        <w:rPr>
          <w:rFonts w:hint="eastAsia" w:ascii="FangSong_GB2312" w:eastAsia="FangSong_GB2312"/>
          <w:color w:val="000000"/>
          <w:sz w:val="32"/>
          <w:szCs w:val="32"/>
        </w:rPr>
        <w:t xml:space="preserve">    2、预算执行情况。一是严格加强对各项财政资金的监督管理，确保资金支付及时、专款专用；二是严格执行财政集中支付制度，按规定使用公务卡，严格控制现金支付。三是严格自检自查，做好资金使用工作，充分发挥各项资金的使用效益。</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8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我单位对部门预算绩效管理工作开展情况进行了自查自评，今后将充分利用评价结果，作为预算安排的重要依据，不断强化绩效管理理念，推动我单位绩效管理水平不断提升。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r>
        <w:rPr>
          <w:rFonts w:hint="eastAsia" w:ascii="FangSong_GB2312" w:eastAsia="FangSong_GB2312"/>
          <w:color w:val="000000"/>
          <w:sz w:val="32"/>
          <w:szCs w:val="32"/>
        </w:rPr>
        <w:t>201</w:t>
      </w:r>
      <w:r>
        <w:rPr>
          <w:rFonts w:hint="eastAsia" w:ascii="FangSong_GB2312" w:eastAsia="FangSong_GB2312"/>
          <w:color w:val="000000"/>
          <w:sz w:val="32"/>
          <w:szCs w:val="32"/>
          <w:lang w:val="en-US" w:eastAsia="zh-CN"/>
        </w:rPr>
        <w:t>9</w:t>
      </w:r>
      <w:r>
        <w:rPr>
          <w:rFonts w:hint="eastAsia" w:ascii="FangSong_GB2312" w:eastAsia="FangSong_GB2312"/>
          <w:color w:val="000000"/>
          <w:sz w:val="32"/>
          <w:szCs w:val="32"/>
        </w:rPr>
        <w:t>年我部门整体支出绩效评价自查自评结果良好，全年基本支出保证了部门的正常运行和日常工作的正常开展，项目支出保障了重点工作的开展，达到了预期绩效目标。</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r>
        <w:rPr>
          <w:rFonts w:hint="eastAsia" w:ascii="FangSong_GB2312" w:eastAsia="FangSong_GB2312"/>
          <w:color w:val="000000"/>
          <w:sz w:val="32"/>
          <w:szCs w:val="32"/>
        </w:rPr>
        <w:t>绩效目标设定有待更科学更合理。</w:t>
      </w:r>
    </w:p>
    <w:p>
      <w:pPr>
        <w:spacing w:line="580" w:lineRule="exact"/>
        <w:ind w:firstLine="640" w:firstLineChars="200"/>
        <w:rPr>
          <w:rFonts w:hint="eastAsia" w:ascii="FangSong_GB2312" w:eastAsia="FangSong_GB2312"/>
          <w:color w:val="000000"/>
          <w:sz w:val="32"/>
          <w:szCs w:val="32"/>
        </w:rPr>
      </w:pPr>
      <w:r>
        <w:rPr>
          <w:rFonts w:hint="eastAsia" w:ascii="仿宋_GB2312" w:hAnsi="宋体" w:eastAsia="仿宋_GB2312" w:cs="宋体"/>
          <w:color w:val="000000"/>
          <w:kern w:val="0"/>
          <w:sz w:val="32"/>
          <w:szCs w:val="32"/>
          <w:shd w:val="clear" w:color="auto" w:fill="FFFFFF"/>
          <w:lang w:val="zh-CN"/>
        </w:rPr>
        <w:t>（三）改进建议。</w:t>
      </w:r>
      <w:r>
        <w:rPr>
          <w:rFonts w:hint="eastAsia" w:ascii="FangSong_GB2312" w:eastAsia="FangSong_GB2312"/>
          <w:color w:val="000000"/>
          <w:sz w:val="32"/>
          <w:szCs w:val="32"/>
        </w:rPr>
        <w:t>下一步，我们将进一步科学设定绩效目标，加强预算执行管理。一是夯实预算基础工作，提高预算编制质量；二是认真研究政策，加强项目绩效目标审核，力求科学合理；三是认真研究项目绩效，确保项目顺利实施，进一步提高财政资金使用效益。</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eastAsia="zh-CN"/>
        </w:rPr>
        <w:t>财政绩效评价经费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根据中共广元市昭化区委办公室、广元市昭化区人民政府办公室关于印发《广元市昭化区预算管理暂行办法》的规定全面推进预算绩效管理的，</w:t>
      </w:r>
      <w:r>
        <w:rPr>
          <w:rFonts w:hint="eastAsia" w:ascii="仿宋_GB2312" w:hAnsi="仿宋_GB2312" w:eastAsia="仿宋_GB2312" w:cs="仿宋_GB2312"/>
          <w:kern w:val="2"/>
          <w:sz w:val="32"/>
          <w:szCs w:val="32"/>
        </w:rPr>
        <w:t>财政绩效评价项目于201</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sz w:val="32"/>
          <w:szCs w:val="32"/>
        </w:rPr>
        <w:t>年年初通过预算进行申报，由区财政下达预算指标</w:t>
      </w:r>
      <w:r>
        <w:rPr>
          <w:rFonts w:hint="eastAsia" w:ascii="仿宋_GB2312" w:hAnsi="仿宋_GB2312" w:eastAsia="仿宋_GB2312" w:cs="仿宋_GB2312"/>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主要内容。（1）安排督促相关单位进行项目绩效自评，（2）委托事务所进行现场绩效评价，包含昭化区辖区内50个部门及50个项目的现场绩效评价，（3）整改落实阶段，根据现场评价情况，督促相关单位进行整改并提交整改报告。总体上看，该项目绩效目标明确，项目管理基本合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通过查看相关资料，区财政绩效评价工作为每年常规性项目，无需制定中长期实施规划。通过查看相关资料，专项资金的使用范围、申报条件、拨付程序明确。项目资金管理制度、决策程序明确。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华文中宋" w:eastAsia="仿宋_GB2312"/>
          <w:sz w:val="32"/>
          <w:szCs w:val="32"/>
          <w:lang w:eastAsia="zh-CN"/>
        </w:rPr>
      </w:pPr>
      <w:r>
        <w:rPr>
          <w:rFonts w:hint="eastAsia" w:ascii="仿宋_GB2312" w:hAnsi="华文中宋" w:eastAsia="仿宋_GB2312"/>
          <w:sz w:val="32"/>
          <w:szCs w:val="32"/>
        </w:rPr>
        <w:t>财政绩效评价项目经费纳入201</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年年初部门预算，区财政全额下达项目指标，经费保障足额、及时</w:t>
      </w:r>
      <w:r>
        <w:rPr>
          <w:rFonts w:hint="eastAsia" w:ascii="仿宋_GB2312" w:hAnsi="华文中宋" w:eastAsia="仿宋_GB2312"/>
          <w:sz w:val="32"/>
          <w:szCs w:val="32"/>
          <w:lang w:eastAsia="zh-CN"/>
        </w:rPr>
        <w:t>，由于该经费属于绩效工作经费，无相关发改批复。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楷体_GB2312" w:hAnsi="宋体" w:eastAsia="楷体_GB2312"/>
          <w:sz w:val="32"/>
          <w:szCs w:val="32"/>
          <w:lang w:val="zh-CN"/>
        </w:rPr>
        <w:t>1．资金计划。</w:t>
      </w:r>
      <w:r>
        <w:rPr>
          <w:rFonts w:hint="eastAsia" w:ascii="仿宋_GB2312" w:hAnsi="华文中宋" w:eastAsia="仿宋_GB2312"/>
          <w:sz w:val="32"/>
          <w:szCs w:val="32"/>
        </w:rPr>
        <w:t>财政绩效评价项目经费纳入201</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年年初部门预算，区财政全额下达项目指标</w:t>
      </w:r>
      <w:r>
        <w:rPr>
          <w:rFonts w:hint="eastAsia" w:ascii="仿宋_GB2312" w:hAnsi="华文中宋" w:eastAsia="仿宋_GB2312"/>
          <w:sz w:val="32"/>
          <w:szCs w:val="32"/>
          <w:lang w:eastAsia="zh-CN"/>
        </w:rPr>
        <w:t>。</w:t>
      </w:r>
    </w:p>
    <w:p>
      <w:pPr>
        <w:adjustRightInd w:val="0"/>
        <w:snapToGrid w:val="0"/>
        <w:spacing w:line="600" w:lineRule="exact"/>
        <w:ind w:firstLine="720"/>
        <w:rPr>
          <w:rFonts w:hint="eastAsia" w:ascii="仿宋_GB2312" w:hAnsi="华文中宋" w:eastAsia="仿宋_GB2312"/>
          <w:sz w:val="32"/>
          <w:szCs w:val="32"/>
          <w:lang w:eastAsia="zh-CN"/>
        </w:rPr>
      </w:pPr>
      <w:r>
        <w:rPr>
          <w:rFonts w:hint="eastAsia" w:ascii="楷体_GB2312" w:hAnsi="宋体" w:eastAsia="楷体_GB2312"/>
          <w:sz w:val="32"/>
          <w:szCs w:val="32"/>
          <w:lang w:val="zh-CN"/>
        </w:rPr>
        <w:t>2．资金到位。</w:t>
      </w:r>
      <w:r>
        <w:rPr>
          <w:rFonts w:hint="eastAsia" w:ascii="仿宋_GB2312" w:hAnsi="华文中宋" w:eastAsia="仿宋_GB2312"/>
          <w:sz w:val="32"/>
          <w:szCs w:val="32"/>
        </w:rPr>
        <w:t>财政绩效评价项目经费纳入201</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年年初部门预算，区财政全额下达项目指标，</w:t>
      </w:r>
      <w:r>
        <w:rPr>
          <w:rFonts w:hint="eastAsia" w:ascii="仿宋_GB2312" w:hAnsi="华文中宋" w:eastAsia="仿宋_GB2312"/>
          <w:sz w:val="32"/>
          <w:szCs w:val="32"/>
          <w:lang w:eastAsia="zh-CN"/>
        </w:rPr>
        <w:t>并及时到位。</w:t>
      </w:r>
    </w:p>
    <w:p>
      <w:pPr>
        <w:spacing w:line="576" w:lineRule="exact"/>
        <w:ind w:firstLine="640" w:firstLineChars="200"/>
        <w:rPr>
          <w:rFonts w:hint="eastAsia" w:ascii="仿宋" w:hAnsi="仿宋" w:eastAsia="仿宋" w:cs="仿宋"/>
          <w:sz w:val="32"/>
          <w:szCs w:val="32"/>
        </w:rPr>
      </w:pPr>
      <w:r>
        <w:rPr>
          <w:rFonts w:hint="eastAsia" w:ascii="楷体_GB2312" w:hAnsi="宋体" w:eastAsia="楷体_GB2312"/>
          <w:sz w:val="32"/>
          <w:szCs w:val="32"/>
          <w:lang w:val="zh-CN"/>
        </w:rPr>
        <w:t>3．资金使用。</w:t>
      </w:r>
      <w:r>
        <w:rPr>
          <w:rFonts w:hint="eastAsia" w:ascii="仿宋" w:hAnsi="仿宋" w:eastAsia="仿宋" w:cs="仿宋"/>
          <w:sz w:val="32"/>
          <w:szCs w:val="32"/>
        </w:rPr>
        <w:t>财政绩效评价经费实际支出</w:t>
      </w:r>
      <w:r>
        <w:rPr>
          <w:rFonts w:hint="eastAsia" w:ascii="仿宋" w:hAnsi="仿宋" w:eastAsia="仿宋" w:cs="仿宋"/>
          <w:sz w:val="32"/>
          <w:szCs w:val="32"/>
          <w:lang w:val="en-US" w:eastAsia="zh-CN"/>
        </w:rPr>
        <w:t>11.88</w:t>
      </w:r>
      <w:r>
        <w:rPr>
          <w:rFonts w:hint="eastAsia" w:ascii="仿宋" w:hAnsi="仿宋" w:eastAsia="仿宋" w:cs="仿宋"/>
          <w:sz w:val="32"/>
          <w:szCs w:val="32"/>
        </w:rPr>
        <w:t>万元，该项目资金支付均按照第三方机构开展绩效评价进度予以支付，20</w:t>
      </w:r>
      <w:r>
        <w:rPr>
          <w:rFonts w:hint="eastAsia" w:ascii="仿宋" w:hAnsi="仿宋" w:eastAsia="仿宋" w:cs="仿宋"/>
          <w:sz w:val="32"/>
          <w:szCs w:val="32"/>
          <w:lang w:val="en-US" w:eastAsia="zh-CN"/>
        </w:rPr>
        <w:t>20</w:t>
      </w:r>
      <w:r>
        <w:rPr>
          <w:rFonts w:hint="eastAsia" w:ascii="仿宋" w:hAnsi="仿宋" w:eastAsia="仿宋" w:cs="仿宋"/>
          <w:sz w:val="32"/>
          <w:szCs w:val="32"/>
        </w:rPr>
        <w:t>年已完成支付，资金开支范围：评价人员的住宿费、评价费、交通费等。支付依据严格按照财政直接支付流程执行，支付过程合法合规，资金支付内容与该预算项目相符。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Times New Roman" w:hAnsi="Times New Roman" w:eastAsia="仿宋_GB2312"/>
          <w:spacing w:val="2"/>
          <w:sz w:val="32"/>
          <w:szCs w:val="32"/>
          <w:lang w:val="zh-CN"/>
        </w:rPr>
      </w:pPr>
      <w:r>
        <w:rPr>
          <w:rFonts w:hint="eastAsia" w:ascii="Times New Roman" w:hAnsi="Times New Roman" w:eastAsia="仿宋_GB2312"/>
          <w:spacing w:val="2"/>
          <w:sz w:val="32"/>
          <w:szCs w:val="32"/>
          <w:lang w:val="zh-CN"/>
        </w:rPr>
        <w:t>账务处理统一纳入</w:t>
      </w:r>
      <w:r>
        <w:rPr>
          <w:rFonts w:hint="eastAsia" w:ascii="Times New Roman" w:hAnsi="Times New Roman" w:eastAsia="仿宋_GB2312"/>
          <w:spacing w:val="2"/>
          <w:sz w:val="32"/>
          <w:szCs w:val="32"/>
        </w:rPr>
        <w:t>财政局机关账务</w:t>
      </w:r>
      <w:r>
        <w:rPr>
          <w:rFonts w:hint="eastAsia" w:ascii="Times New Roman" w:hAnsi="Times New Roman" w:eastAsia="仿宋_GB2312"/>
          <w:spacing w:val="2"/>
          <w:sz w:val="32"/>
          <w:szCs w:val="32"/>
          <w:lang w:val="zh-CN"/>
        </w:rPr>
        <w:t>核算，严格执行财务管理相关制度，账务处理及时、会计核算规范。</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三、项目实施及管理情况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楷体_GB2312" w:hAnsi="宋体" w:eastAsia="楷体_GB2312"/>
          <w:b/>
          <w:sz w:val="32"/>
          <w:szCs w:val="32"/>
          <w:highlight w:val="yellow"/>
          <w:lang w:val="zh-CN" w:eastAsia="zh-CN"/>
        </w:rPr>
      </w:pPr>
      <w:r>
        <w:rPr>
          <w:rFonts w:hint="eastAsia" w:ascii="楷体_GB2312" w:hAnsi="宋体" w:eastAsia="楷体_GB2312"/>
          <w:b/>
          <w:sz w:val="32"/>
          <w:szCs w:val="32"/>
          <w:highlight w:val="none"/>
          <w:lang w:val="zh-CN"/>
        </w:rPr>
        <w:t>（一）项目组织架构及实施流程。</w:t>
      </w:r>
      <w:r>
        <w:rPr>
          <w:rFonts w:hint="eastAsia" w:ascii="仿宋_GB2312" w:hAnsi="仿宋_GB2312" w:eastAsia="仿宋_GB2312" w:cs="仿宋_GB2312"/>
          <w:b w:val="0"/>
          <w:bCs/>
          <w:sz w:val="32"/>
          <w:szCs w:val="32"/>
          <w:highlight w:val="none"/>
          <w:lang w:val="zh-CN" w:eastAsia="zh-CN"/>
        </w:rPr>
        <w:t>该项目通过政府公开招标，最终确定广元市会计协会和四川天仁会计师事务所</w:t>
      </w:r>
      <w:r>
        <w:rPr>
          <w:rFonts w:hint="eastAsia" w:ascii="仿宋_GB2312" w:hAnsi="仿宋_GB2312" w:eastAsia="仿宋_GB2312" w:cs="仿宋_GB2312"/>
          <w:b w:val="0"/>
          <w:bCs/>
          <w:sz w:val="32"/>
          <w:szCs w:val="32"/>
          <w:lang w:val="en-US" w:eastAsia="zh-CN"/>
        </w:rPr>
        <w:t>进驻我区，开展绩效评价工作。项目实施严格按照相关规定制度，</w:t>
      </w:r>
      <w:r>
        <w:rPr>
          <w:rFonts w:hint="eastAsia" w:ascii="仿宋" w:hAnsi="仿宋" w:eastAsia="仿宋" w:cs="仿宋"/>
          <w:b w:val="0"/>
          <w:bCs w:val="0"/>
          <w:sz w:val="32"/>
          <w:szCs w:val="32"/>
          <w:lang w:val="en-US" w:eastAsia="zh-CN"/>
        </w:rPr>
        <w:t>制定了科学、有效的管理办法，管理责任明确。</w:t>
      </w:r>
    </w:p>
    <w:p>
      <w:pPr>
        <w:adjustRightInd w:val="0"/>
        <w:snapToGrid w:val="0"/>
        <w:spacing w:line="600" w:lineRule="exact"/>
        <w:ind w:firstLine="720"/>
        <w:rPr>
          <w:rFonts w:ascii="仿宋_GB2312" w:hAnsi="宋体" w:eastAsia="仿宋_GB2312"/>
          <w:sz w:val="32"/>
          <w:szCs w:val="32"/>
          <w:highlight w:val="yellow"/>
          <w:lang w:val="zh-CN"/>
        </w:rPr>
      </w:pPr>
      <w:r>
        <w:rPr>
          <w:rFonts w:hint="eastAsia" w:ascii="楷体_GB2312" w:hAnsi="宋体" w:eastAsia="楷体_GB2312"/>
          <w:b/>
          <w:sz w:val="32"/>
          <w:szCs w:val="32"/>
          <w:highlight w:val="none"/>
          <w:lang w:val="zh-CN"/>
        </w:rPr>
        <w:t>（二）项目管理情况。</w:t>
      </w:r>
      <w:r>
        <w:rPr>
          <w:rFonts w:hint="eastAsia" w:ascii="仿宋_GB2312" w:hAnsi="宋体" w:eastAsia="仿宋_GB2312"/>
          <w:sz w:val="32"/>
          <w:szCs w:val="32"/>
          <w:highlight w:val="none"/>
          <w:lang w:val="zh-CN"/>
        </w:rPr>
        <w:t>根据《</w:t>
      </w:r>
      <w:r>
        <w:rPr>
          <w:rFonts w:hint="eastAsia" w:ascii="仿宋_GB2312" w:hAnsi="仿宋_GB2312" w:eastAsia="仿宋_GB2312" w:cs="仿宋_GB2312"/>
          <w:sz w:val="32"/>
          <w:szCs w:val="32"/>
          <w:lang w:val="zh-CN"/>
        </w:rPr>
        <w:t>广元市昭化区预算管理暂行办法》的规定全面推进预算绩效管理的，通过公开招标两家第三方机构开展绩效工作，由第三方中介机构组织专家团队开展绩效评价工作。严格按照各类法律、法规、规范、标准等规定，结合项目情况，采取查阅原始资料、核算投资和现场踏勘相结合的方法，对报送项目逐一进行了评审。</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（三）项目监管情况。</w:t>
      </w:r>
      <w:r>
        <w:rPr>
          <w:rFonts w:hint="eastAsia" w:ascii="仿宋_GB2312" w:hAnsi="仿宋_GB2312" w:eastAsia="仿宋_GB2312" w:cs="仿宋_GB2312"/>
          <w:b w:val="0"/>
          <w:bCs/>
          <w:sz w:val="32"/>
          <w:szCs w:val="32"/>
          <w:highlight w:val="none"/>
          <w:lang w:val="zh-CN"/>
        </w:rPr>
        <w:t>区财政局作为绩效评价工作经费的主管部门，专人全程监管项目具体实施，并对中介机构工作开展进行量化考核，确保</w:t>
      </w:r>
      <w:r>
        <w:rPr>
          <w:rFonts w:hint="eastAsia" w:ascii="仿宋" w:hAnsi="仿宋" w:eastAsia="仿宋" w:cs="仿宋"/>
          <w:b w:val="0"/>
          <w:bCs/>
          <w:sz w:val="32"/>
          <w:szCs w:val="32"/>
          <w:highlight w:val="none"/>
          <w:lang w:val="en-US" w:eastAsia="zh-CN"/>
        </w:rPr>
        <w:t>中介服务机构出具的绩效评价报告内容详细、依据真实、论证充分，对问题建议具有针对性、可操作性。</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黑体" w:hAnsi="宋体" w:eastAsia="黑体"/>
          <w:sz w:val="32"/>
          <w:szCs w:val="32"/>
          <w:highlight w:val="none"/>
        </w:rPr>
        <w:t>四、项目绩效情况</w:t>
      </w:r>
      <w:r>
        <w:rPr>
          <w:rFonts w:hint="eastAsia" w:ascii="仿宋_GB2312" w:hAnsi="宋体" w:eastAsia="仿宋_GB2312"/>
          <w:sz w:val="32"/>
          <w:szCs w:val="32"/>
          <w:highlight w:val="none"/>
          <w:lang w:val="zh-CN"/>
        </w:rPr>
        <w:tab/>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（一）项目完成情况。</w:t>
      </w:r>
    </w:p>
    <w:p>
      <w:pPr>
        <w:adjustRightInd w:val="0"/>
        <w:snapToGrid w:val="0"/>
        <w:spacing w:line="600" w:lineRule="exact"/>
        <w:ind w:firstLine="72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该项目于2019年中旬开始实施，11月与中标单位签订了合同，12月进入正式评价阶段，于2020年6月完成了对全区48个单位的综合、项目绩效评价、1个政策性绩效评价，并出具了绩效评价报告。</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（二）项目效益情况。</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通过绩效评价工作的实施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w:t>
      </w:r>
      <w:r>
        <w:rPr>
          <w:rFonts w:hint="eastAsia" w:ascii="仿宋" w:hAnsi="仿宋" w:eastAsia="仿宋" w:cs="仿宋"/>
          <w:b w:val="0"/>
          <w:bCs w:val="0"/>
          <w:sz w:val="32"/>
          <w:szCs w:val="32"/>
          <w:lang w:val="en-US" w:eastAsia="zh-CN"/>
        </w:rPr>
        <w:t>48个单位的综合、项目绩效评价、1个政策性绩效</w:t>
      </w:r>
      <w:r>
        <w:rPr>
          <w:rFonts w:hint="eastAsia" w:ascii="仿宋_GB2312" w:hAnsi="仿宋_GB2312" w:eastAsia="仿宋_GB2312" w:cs="仿宋_GB2312"/>
          <w:sz w:val="32"/>
          <w:szCs w:val="32"/>
        </w:rPr>
        <w:t>评价后，对需要提出整改的单位基本上都按整改意见进行整改并提交整改报告。项目的实施达到了预定的目标。</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五、评价结论及建议</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（一）评价结论。</w:t>
      </w:r>
    </w:p>
    <w:p>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通过绩效评价工作的开展，对提升相关单位绩效管理意识、绩效管理水平，落实国家绩效评价政策，均起到了积极的作用</w:t>
      </w:r>
      <w:r>
        <w:rPr>
          <w:rFonts w:hint="eastAsia" w:ascii="仿宋_GB2312" w:hAnsi="仿宋_GB2312" w:eastAsia="仿宋_GB2312" w:cs="仿宋_GB2312"/>
          <w:sz w:val="32"/>
          <w:szCs w:val="32"/>
          <w:lang w:eastAsia="zh-CN"/>
        </w:rPr>
        <w:t>，达到了预期效果。</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（二）存在的问题。</w:t>
      </w:r>
    </w:p>
    <w:p>
      <w:pPr>
        <w:adjustRightInd w:val="0"/>
        <w:snapToGrid w:val="0"/>
        <w:spacing w:line="600" w:lineRule="exact"/>
        <w:ind w:firstLine="640" w:firstLineChars="200"/>
        <w:rPr>
          <w:rFonts w:hint="eastAsia" w:ascii="仿宋_GB2312" w:hAnsi="宋体" w:eastAsia="仿宋_GB2312"/>
          <w:sz w:val="32"/>
          <w:szCs w:val="32"/>
          <w:highlight w:val="yellow"/>
          <w:lang w:val="zh-CN" w:eastAsia="zh-CN"/>
        </w:rPr>
      </w:pPr>
      <w:r>
        <w:rPr>
          <w:rFonts w:hint="eastAsia" w:ascii="仿宋_GB2312" w:hAnsi="仿宋_GB2312" w:eastAsia="仿宋_GB2312" w:cs="仿宋_GB2312"/>
          <w:sz w:val="32"/>
          <w:szCs w:val="32"/>
        </w:rPr>
        <w:t>项目实施进度较滞后。根据通知，绩效评价工作</w:t>
      </w:r>
      <w:r>
        <w:rPr>
          <w:rFonts w:hint="eastAsia" w:ascii="仿宋_GB2312" w:hAnsi="仿宋_GB2312" w:eastAsia="仿宋_GB2312" w:cs="仿宋_GB2312"/>
          <w:sz w:val="32"/>
          <w:szCs w:val="32"/>
          <w:lang w:eastAsia="zh-CN"/>
        </w:rPr>
        <w:t>应于</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完成绩效评价工作并将总体情况向区人大报告，但三方机构提交绩效评价报告的时间为20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，主要原因是受疫情影响，项目滞后。</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（三）相关建议。</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按项目实施方案或申报的项目绩效目标中承诺的实施进度控制项目完成时间并及时验收。</w:t>
      </w:r>
    </w:p>
    <w:p>
      <w:pPr>
        <w:spacing w:line="580" w:lineRule="exact"/>
        <w:ind w:firstLine="883" w:firstLineChars="200"/>
        <w:rPr>
          <w:rStyle w:val="25"/>
          <w:rFonts w:ascii="黑体" w:hAnsi="黑体" w:eastAsia="黑体"/>
          <w:b w:val="0"/>
        </w:rPr>
      </w:pPr>
      <w:r>
        <w:rPr>
          <w:rFonts w:ascii="宋体"/>
          <w:b/>
          <w:color w:val="000000"/>
          <w:sz w:val="44"/>
          <w:szCs w:val="44"/>
        </w:rPr>
        <w:br w:type="page"/>
      </w:r>
    </w:p>
    <w:p>
      <w:pPr>
        <w:spacing w:line="600" w:lineRule="exact"/>
        <w:jc w:val="center"/>
        <w:outlineLvl w:val="0"/>
        <w:rPr>
          <w:rStyle w:val="25"/>
          <w:rFonts w:ascii="黑体" w:hAnsi="黑体" w:eastAsia="黑体"/>
          <w:b w:val="0"/>
        </w:rPr>
      </w:pPr>
      <w:bookmarkStart w:id="58"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8"/>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9"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9"/>
    </w:p>
    <w:p>
      <w:pPr>
        <w:pStyle w:val="4"/>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0"/>
    </w:p>
    <w:p>
      <w:pPr>
        <w:pStyle w:val="4"/>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1"/>
    </w:p>
    <w:p>
      <w:pPr>
        <w:pStyle w:val="4"/>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pPr>
        <w:pStyle w:val="4"/>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3"/>
      <w:bookmarkStart w:id="64" w:name="_Toc15396624"/>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pPr>
        <w:pStyle w:val="4"/>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pPr>
        <w:pStyle w:val="4"/>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pPr>
        <w:pStyle w:val="4"/>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pPr>
        <w:pStyle w:val="4"/>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pPr>
        <w:pStyle w:val="4"/>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pPr>
        <w:pStyle w:val="4"/>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p>
    <w:p>
      <w:pPr>
        <w:pStyle w:val="4"/>
        <w:rPr>
          <w:rFonts w:ascii="仿宋" w:hAnsi="仿宋" w:eastAsia="仿宋"/>
          <w:color w:val="000000" w:themeColor="text1"/>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FangSong_GB2312">
    <w:altName w:val="仿宋"/>
    <w:panose1 w:val="0201060906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34144E8"/>
    <w:multiLevelType w:val="singleLevel"/>
    <w:tmpl w:val="134144E8"/>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17546"/>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6545"/>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BD523C"/>
    <w:rsid w:val="01CE2FC0"/>
    <w:rsid w:val="02A01DC1"/>
    <w:rsid w:val="02C1577A"/>
    <w:rsid w:val="04B10C3C"/>
    <w:rsid w:val="05584A6C"/>
    <w:rsid w:val="074E1B85"/>
    <w:rsid w:val="07BB4CDC"/>
    <w:rsid w:val="08687A43"/>
    <w:rsid w:val="09624E8B"/>
    <w:rsid w:val="09886F4A"/>
    <w:rsid w:val="0B2248BF"/>
    <w:rsid w:val="0C601B7C"/>
    <w:rsid w:val="0D2E16CB"/>
    <w:rsid w:val="0D794C3F"/>
    <w:rsid w:val="0DB35008"/>
    <w:rsid w:val="0DC53C34"/>
    <w:rsid w:val="0F49193D"/>
    <w:rsid w:val="0F646DA5"/>
    <w:rsid w:val="0F690CBD"/>
    <w:rsid w:val="102612DC"/>
    <w:rsid w:val="10646571"/>
    <w:rsid w:val="109C2B85"/>
    <w:rsid w:val="10C055FF"/>
    <w:rsid w:val="10E90F0D"/>
    <w:rsid w:val="11446072"/>
    <w:rsid w:val="13786FD9"/>
    <w:rsid w:val="160F7999"/>
    <w:rsid w:val="16BB723D"/>
    <w:rsid w:val="17DF7DDA"/>
    <w:rsid w:val="187435BB"/>
    <w:rsid w:val="18F20180"/>
    <w:rsid w:val="1A0C3348"/>
    <w:rsid w:val="1D2B4354"/>
    <w:rsid w:val="1EB95F6E"/>
    <w:rsid w:val="1EF74123"/>
    <w:rsid w:val="1F030BD3"/>
    <w:rsid w:val="208064EB"/>
    <w:rsid w:val="218F0393"/>
    <w:rsid w:val="21931A5A"/>
    <w:rsid w:val="22666BAE"/>
    <w:rsid w:val="22FE7FD2"/>
    <w:rsid w:val="240371BF"/>
    <w:rsid w:val="247D2AE3"/>
    <w:rsid w:val="248B236B"/>
    <w:rsid w:val="24F005DE"/>
    <w:rsid w:val="27CF5F9C"/>
    <w:rsid w:val="27DF6965"/>
    <w:rsid w:val="28044146"/>
    <w:rsid w:val="280B15F2"/>
    <w:rsid w:val="281D185D"/>
    <w:rsid w:val="29FD04D3"/>
    <w:rsid w:val="2A215D6B"/>
    <w:rsid w:val="2CEC49C3"/>
    <w:rsid w:val="2E6E437D"/>
    <w:rsid w:val="2E8D6361"/>
    <w:rsid w:val="2E925516"/>
    <w:rsid w:val="300F1C4C"/>
    <w:rsid w:val="301A6342"/>
    <w:rsid w:val="319F7F4E"/>
    <w:rsid w:val="34FC46B6"/>
    <w:rsid w:val="3549768E"/>
    <w:rsid w:val="361E7134"/>
    <w:rsid w:val="37D861D1"/>
    <w:rsid w:val="38614D91"/>
    <w:rsid w:val="397A5D30"/>
    <w:rsid w:val="3AD03AE4"/>
    <w:rsid w:val="3BBE6585"/>
    <w:rsid w:val="3CE75135"/>
    <w:rsid w:val="3E5A55B3"/>
    <w:rsid w:val="3F296ECB"/>
    <w:rsid w:val="3F375801"/>
    <w:rsid w:val="3F43371F"/>
    <w:rsid w:val="3F581504"/>
    <w:rsid w:val="402E5A62"/>
    <w:rsid w:val="405513A1"/>
    <w:rsid w:val="41892A21"/>
    <w:rsid w:val="41E01377"/>
    <w:rsid w:val="427A5591"/>
    <w:rsid w:val="42C728E0"/>
    <w:rsid w:val="445B0706"/>
    <w:rsid w:val="449530C5"/>
    <w:rsid w:val="44F954A6"/>
    <w:rsid w:val="456F0FEA"/>
    <w:rsid w:val="47E06EB4"/>
    <w:rsid w:val="4C625127"/>
    <w:rsid w:val="4D014176"/>
    <w:rsid w:val="4D4B718D"/>
    <w:rsid w:val="4E3F1A8F"/>
    <w:rsid w:val="4ECE2238"/>
    <w:rsid w:val="4F9F0146"/>
    <w:rsid w:val="4FEF46A0"/>
    <w:rsid w:val="501C5EF2"/>
    <w:rsid w:val="504546DB"/>
    <w:rsid w:val="50956E79"/>
    <w:rsid w:val="513E24F1"/>
    <w:rsid w:val="51A64F48"/>
    <w:rsid w:val="53A80BC5"/>
    <w:rsid w:val="54346758"/>
    <w:rsid w:val="5436075C"/>
    <w:rsid w:val="54F17590"/>
    <w:rsid w:val="55497FA8"/>
    <w:rsid w:val="55914A91"/>
    <w:rsid w:val="55B2618F"/>
    <w:rsid w:val="56A02941"/>
    <w:rsid w:val="56FE12BF"/>
    <w:rsid w:val="580F42BB"/>
    <w:rsid w:val="5A847755"/>
    <w:rsid w:val="5C200E19"/>
    <w:rsid w:val="5DBD7B97"/>
    <w:rsid w:val="5F5E7D2F"/>
    <w:rsid w:val="602237F1"/>
    <w:rsid w:val="602B2308"/>
    <w:rsid w:val="60357722"/>
    <w:rsid w:val="60461099"/>
    <w:rsid w:val="61A55D5A"/>
    <w:rsid w:val="63281597"/>
    <w:rsid w:val="63E60DB6"/>
    <w:rsid w:val="64FC187C"/>
    <w:rsid w:val="656E2D37"/>
    <w:rsid w:val="65F37373"/>
    <w:rsid w:val="666169FA"/>
    <w:rsid w:val="68BE630C"/>
    <w:rsid w:val="68D34E76"/>
    <w:rsid w:val="68FC3F08"/>
    <w:rsid w:val="6A453089"/>
    <w:rsid w:val="6B075A14"/>
    <w:rsid w:val="6B40146C"/>
    <w:rsid w:val="6C5E35D0"/>
    <w:rsid w:val="6D213DEA"/>
    <w:rsid w:val="6D9A6383"/>
    <w:rsid w:val="6DC97E4D"/>
    <w:rsid w:val="704931B2"/>
    <w:rsid w:val="717F50EA"/>
    <w:rsid w:val="72734D90"/>
    <w:rsid w:val="72BE073D"/>
    <w:rsid w:val="745C1D63"/>
    <w:rsid w:val="747C3335"/>
    <w:rsid w:val="758A0E85"/>
    <w:rsid w:val="76333CAD"/>
    <w:rsid w:val="76631511"/>
    <w:rsid w:val="77430345"/>
    <w:rsid w:val="77894C48"/>
    <w:rsid w:val="77B65CE5"/>
    <w:rsid w:val="78432556"/>
    <w:rsid w:val="79B279BB"/>
    <w:rsid w:val="7B847500"/>
    <w:rsid w:val="7B9F40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3"/>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styleId="24">
    <w:name w:val="List Paragraph"/>
    <w:basedOn w:val="1"/>
    <w:qFormat/>
    <w:uiPriority w:val="34"/>
    <w:pPr>
      <w:ind w:firstLine="420" w:firstLineChars="200"/>
    </w:pPr>
  </w:style>
  <w:style w:type="character" w:customStyle="1" w:styleId="25">
    <w:name w:val="标题 1 Char"/>
    <w:basedOn w:val="15"/>
    <w:link w:val="3"/>
    <w:qFormat/>
    <w:uiPriority w:val="9"/>
    <w:rPr>
      <w:rFonts w:ascii="Times New Roman" w:hAnsi="Times New Roman"/>
      <w:b/>
      <w:bCs/>
      <w:kern w:val="44"/>
      <w:sz w:val="44"/>
      <w:szCs w:val="44"/>
    </w:rPr>
  </w:style>
  <w:style w:type="character" w:customStyle="1" w:styleId="26">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5"/>
    <w:link w:val="8"/>
    <w:semiHidden/>
    <w:qFormat/>
    <w:uiPriority w:val="99"/>
    <w:rPr>
      <w:rFonts w:ascii="Times New Roman" w:hAnsi="Times New Roman"/>
      <w:kern w:val="2"/>
      <w:sz w:val="18"/>
      <w:szCs w:val="18"/>
    </w:rPr>
  </w:style>
  <w:style w:type="character" w:customStyle="1" w:styleId="29">
    <w:name w:val="标题 3 Char"/>
    <w:basedOn w:val="15"/>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9</TotalTime>
  <ScaleCrop>false</ScaleCrop>
  <LinksUpToDate>false</LinksUpToDate>
  <CharactersWithSpaces>8536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lenovo</cp:lastModifiedBy>
  <cp:lastPrinted>2020-07-23T02:58:00Z</cp:lastPrinted>
  <dcterms:modified xsi:type="dcterms:W3CDTF">2021-05-23T02:04:59Z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4675C0BCEED444758AE85F228BA37868</vt:lpwstr>
  </property>
</Properties>
</file>