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1" w:name="_Toc15396597"/>
      <w:bookmarkStart w:id="2" w:name="_Toc15377193"/>
      <w:bookmarkStart w:id="3" w:name="_Toc15396475"/>
      <w:bookmarkStart w:id="4" w:name="_Toc15378441"/>
      <w:bookmarkStart w:id="5" w:name="_Toc15377425"/>
      <w:bookmarkStart w:id="6" w:name="_Toc18867"/>
      <w:r>
        <w:rPr>
          <w:rFonts w:hint="eastAsia" w:ascii="方正小标宋简体" w:hAnsi="方正小标宋简体" w:eastAsia="方正小标宋简体" w:cs="方正小标宋简体"/>
          <w:color w:val="auto"/>
          <w:sz w:val="66"/>
          <w:szCs w:val="66"/>
          <w:highlight w:val="none"/>
        </w:rPr>
        <w:t>20</w:t>
      </w:r>
      <w:r>
        <w:rPr>
          <w:rFonts w:hint="eastAsia" w:ascii="方正小标宋简体" w:hAnsi="方正小标宋简体" w:eastAsia="方正小标宋简体" w:cs="方正小标宋简体"/>
          <w:color w:val="auto"/>
          <w:sz w:val="66"/>
          <w:szCs w:val="66"/>
          <w:highlight w:val="none"/>
          <w:lang w:val="en-US" w:eastAsia="zh-CN"/>
        </w:rPr>
        <w:t>23</w:t>
      </w:r>
      <w:r>
        <w:rPr>
          <w:rFonts w:hint="eastAsia" w:ascii="方正小标宋简体" w:hAnsi="方正小标宋简体" w:eastAsia="方正小标宋简体" w:cs="方正小标宋简体"/>
          <w:color w:val="auto"/>
          <w:sz w:val="66"/>
          <w:szCs w:val="66"/>
          <w:highlight w:val="none"/>
        </w:rPr>
        <w:t>年度</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7" w:name="_Toc15396598"/>
      <w:bookmarkStart w:id="8" w:name="_Toc15396476"/>
      <w:bookmarkStart w:id="9" w:name="_Toc15377194"/>
      <w:bookmarkStart w:id="10" w:name="_Toc15378442"/>
      <w:bookmarkStart w:id="11" w:name="_Toc2729"/>
      <w:bookmarkStart w:id="12" w:name="_Toc15377426"/>
      <w:r>
        <w:rPr>
          <w:rFonts w:hint="eastAsia" w:ascii="方正小标宋简体" w:hAnsi="方正小标宋简体" w:eastAsia="方正小标宋简体" w:cs="方正小标宋简体"/>
          <w:color w:val="auto"/>
          <w:sz w:val="66"/>
          <w:szCs w:val="66"/>
          <w:highlight w:val="none"/>
        </w:rPr>
        <w:t>四川省</w:t>
      </w:r>
      <w:bookmarkEnd w:id="0"/>
      <w:bookmarkStart w:id="13" w:name="_Toc15306268"/>
      <w:r>
        <w:rPr>
          <w:rFonts w:hint="eastAsia" w:ascii="方正小标宋简体" w:hAnsi="方正小标宋简体" w:eastAsia="方正小标宋简体" w:cs="方正小标宋简体"/>
          <w:color w:val="auto"/>
          <w:sz w:val="66"/>
          <w:szCs w:val="66"/>
          <w:highlight w:val="none"/>
          <w:lang w:eastAsia="zh-CN"/>
        </w:rPr>
        <w:t>广元市昭化区司法局部门</w:t>
      </w:r>
      <w:r>
        <w:rPr>
          <w:rFonts w:hint="eastAsia" w:ascii="方正小标宋简体" w:hAnsi="方正小标宋简体" w:eastAsia="方正小标宋简体" w:cs="方正小标宋简体"/>
          <w:color w:val="auto"/>
          <w:sz w:val="66"/>
          <w:szCs w:val="66"/>
          <w:highlight w:val="none"/>
        </w:rPr>
        <w:t>决算</w:t>
      </w:r>
      <w:bookmarkEnd w:id="7"/>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633756171"/>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14" w:name="_Toc64929709_WPSOffice_Type3"/>
          <w:r>
            <w:rPr>
              <w:rFonts w:ascii="宋体" w:hAnsi="宋体" w:eastAsia="宋体"/>
              <w:sz w:val="21"/>
            </w:rPr>
            <w:t>目录</w:t>
          </w:r>
        </w:p>
        <w:p>
          <w:pPr>
            <w:pStyle w:val="36"/>
            <w:tabs>
              <w:tab w:val="right" w:leader="dot" w:pos="8844"/>
            </w:tabs>
          </w:pPr>
          <w:r>
            <w:fldChar w:fldCharType="begin"/>
          </w:r>
          <w:r>
            <w:instrText xml:space="preserve"> HYPERLINK \l _Toc1873613384_WPSOffice_Level1 </w:instrText>
          </w:r>
          <w:r>
            <w:fldChar w:fldCharType="separate"/>
          </w:r>
          <w:sdt>
            <w:sdtPr>
              <w:rPr>
                <w:rFonts w:ascii="Times New Roman" w:hAnsi="Times New Roman" w:eastAsia="宋体" w:cs="Times New Roman"/>
                <w:kern w:val="2"/>
                <w:sz w:val="21"/>
                <w:szCs w:val="24"/>
                <w:lang w:val="en-US" w:eastAsia="zh-CN" w:bidi="ar-SA"/>
              </w:rPr>
              <w:id w:val="633756171"/>
              <w:placeholder>
                <w:docPart w:val="{b1a5bf28-5d67-4873-9fef-519321e54dc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15" w:name="_Toc1873613384_WPSOffice_Level1Page"/>
          <w:r>
            <w:t>4</w:t>
          </w:r>
          <w:bookmarkEnd w:id="15"/>
          <w:r>
            <w:fldChar w:fldCharType="end"/>
          </w:r>
        </w:p>
        <w:p>
          <w:pPr>
            <w:pStyle w:val="37"/>
            <w:tabs>
              <w:tab w:val="right" w:leader="dot" w:pos="8844"/>
            </w:tabs>
          </w:pPr>
          <w:r>
            <w:fldChar w:fldCharType="begin"/>
          </w:r>
          <w:r>
            <w:instrText xml:space="preserve"> HYPERLINK \l _Toc64929709_WPSOffice_Level2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e601ba30-1db7-4e29-901c-663a92081066}"/>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 部门职责</w:t>
              </w:r>
            </w:sdtContent>
          </w:sdt>
          <w:r>
            <w:tab/>
          </w:r>
          <w:bookmarkStart w:id="16" w:name="_Toc64929709_WPSOffice_Level2Page"/>
          <w:r>
            <w:t>4</w:t>
          </w:r>
          <w:bookmarkEnd w:id="16"/>
          <w:r>
            <w:fldChar w:fldCharType="end"/>
          </w:r>
        </w:p>
        <w:p>
          <w:pPr>
            <w:pStyle w:val="38"/>
            <w:tabs>
              <w:tab w:val="right" w:leader="dot" w:pos="8844"/>
            </w:tabs>
          </w:pPr>
          <w:r>
            <w:fldChar w:fldCharType="begin"/>
          </w:r>
          <w:r>
            <w:instrText xml:space="preserve"> HYPERLINK \l _Toc64929709_WPSOffice_Level3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28d95e85-97a5-4155-98a8-81de5b9f6b42}"/>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（一）主要职能。</w:t>
              </w:r>
            </w:sdtContent>
          </w:sdt>
          <w:r>
            <w:tab/>
          </w:r>
          <w:bookmarkStart w:id="17" w:name="_Toc64929709_WPSOffice_Level3Page"/>
          <w:r>
            <w:t>4</w:t>
          </w:r>
          <w:bookmarkEnd w:id="17"/>
          <w:r>
            <w:fldChar w:fldCharType="end"/>
          </w:r>
        </w:p>
        <w:p>
          <w:pPr>
            <w:pStyle w:val="38"/>
            <w:tabs>
              <w:tab w:val="right" w:leader="dot" w:pos="8844"/>
            </w:tabs>
          </w:pPr>
          <w:r>
            <w:fldChar w:fldCharType="begin"/>
          </w:r>
          <w:r>
            <w:instrText xml:space="preserve"> HYPERLINK \l _Toc1483023753_WPSOffice_Level3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480f30a-0c04-4ec9-a123-f1e9b0b8458c}"/>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（二）机构设置</w:t>
              </w:r>
            </w:sdtContent>
          </w:sdt>
          <w:r>
            <w:tab/>
          </w:r>
          <w:bookmarkStart w:id="18" w:name="_Toc1483023753_WPSOffice_Level3Page"/>
          <w:r>
            <w:t>5</w:t>
          </w:r>
          <w:bookmarkEnd w:id="18"/>
          <w:r>
            <w:fldChar w:fldCharType="end"/>
          </w:r>
        </w:p>
        <w:p>
          <w:pPr>
            <w:pStyle w:val="37"/>
            <w:tabs>
              <w:tab w:val="right" w:leader="dot" w:pos="8844"/>
            </w:tabs>
          </w:pPr>
          <w:r>
            <w:fldChar w:fldCharType="begin"/>
          </w:r>
          <w:r>
            <w:instrText xml:space="preserve"> HYPERLINK \l _Toc1483023753_WPSOffice_Level2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95949ab2-544b-4656-97b5-d4d271528107}"/>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二、2023年重点工作完成情况</w:t>
              </w:r>
            </w:sdtContent>
          </w:sdt>
          <w:r>
            <w:tab/>
          </w:r>
          <w:bookmarkStart w:id="19" w:name="_Toc1483023753_WPSOffice_Level2Page"/>
          <w:r>
            <w:t>5</w:t>
          </w:r>
          <w:bookmarkEnd w:id="19"/>
          <w:r>
            <w:fldChar w:fldCharType="end"/>
          </w:r>
        </w:p>
        <w:p>
          <w:pPr>
            <w:pStyle w:val="37"/>
            <w:tabs>
              <w:tab w:val="right" w:leader="dot" w:pos="8844"/>
            </w:tabs>
          </w:pPr>
          <w:r>
            <w:fldChar w:fldCharType="begin"/>
          </w:r>
          <w:r>
            <w:instrText xml:space="preserve"> HYPERLINK \l _Toc1464944191_WPSOffice_Level2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b1a9930-7874-427f-af4e-d1f9c77429f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二、机构设置</w:t>
              </w:r>
            </w:sdtContent>
          </w:sdt>
          <w:r>
            <w:tab/>
          </w:r>
          <w:bookmarkStart w:id="20" w:name="_Toc1464944191_WPSOffice_Level2Page"/>
          <w:r>
            <w:t>9</w:t>
          </w:r>
          <w:bookmarkEnd w:id="20"/>
          <w:r>
            <w:fldChar w:fldCharType="end"/>
          </w:r>
        </w:p>
        <w:p>
          <w:pPr>
            <w:pStyle w:val="36"/>
            <w:tabs>
              <w:tab w:val="right" w:leader="dot" w:pos="8844"/>
            </w:tabs>
          </w:pPr>
          <w:r>
            <w:fldChar w:fldCharType="begin"/>
          </w:r>
          <w:r>
            <w:instrText xml:space="preserve"> HYPERLINK \l _Toc64929709_WPSOffice_Level1 </w:instrText>
          </w:r>
          <w:r>
            <w:fldChar w:fldCharType="separate"/>
          </w:r>
          <w:sdt>
            <w:sdtPr>
              <w:rPr>
                <w:rFonts w:ascii="Times New Roman" w:hAnsi="Times New Roman" w:eastAsia="宋体" w:cs="Times New Roman"/>
                <w:kern w:val="2"/>
                <w:sz w:val="21"/>
                <w:szCs w:val="24"/>
                <w:lang w:val="en-US" w:eastAsia="zh-CN" w:bidi="ar-SA"/>
              </w:rPr>
              <w:id w:val="633756171"/>
              <w:placeholder>
                <w:docPart w:val="{4b768b0c-b937-46dd-befb-83d90fcd0496}"/>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2023年度部门决算情况说明</w:t>
              </w:r>
            </w:sdtContent>
          </w:sdt>
          <w:r>
            <w:tab/>
          </w:r>
          <w:bookmarkStart w:id="21" w:name="_Toc64929709_WPSOffice_Level1Page"/>
          <w:r>
            <w:t>9</w:t>
          </w:r>
          <w:bookmarkEnd w:id="21"/>
          <w:r>
            <w:fldChar w:fldCharType="end"/>
          </w:r>
        </w:p>
        <w:p>
          <w:pPr>
            <w:pStyle w:val="37"/>
            <w:tabs>
              <w:tab w:val="right" w:leader="dot" w:pos="8844"/>
            </w:tabs>
          </w:pPr>
          <w:r>
            <w:fldChar w:fldCharType="begin"/>
          </w:r>
          <w:r>
            <w:instrText xml:space="preserve"> HYPERLINK \l _Toc265518138_WPSOffice_Level2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5df4cc3b-1c0a-4712-a9dd-9390a883e486}"/>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22" w:name="_Toc265518138_WPSOffice_Level2Page"/>
          <w:r>
            <w:t>9</w:t>
          </w:r>
          <w:bookmarkEnd w:id="22"/>
          <w:r>
            <w:fldChar w:fldCharType="end"/>
          </w:r>
        </w:p>
        <w:p>
          <w:pPr>
            <w:pStyle w:val="37"/>
            <w:tabs>
              <w:tab w:val="right" w:leader="dot" w:pos="8844"/>
            </w:tabs>
          </w:pPr>
          <w:r>
            <w:fldChar w:fldCharType="begin"/>
          </w:r>
          <w:r>
            <w:instrText xml:space="preserve"> HYPERLINK \l _Toc418240886_WPSOffice_Level2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ba6d09a3-a196-4e2f-bfbd-c03f18bd0bdb}"/>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23" w:name="_Toc418240886_WPSOffice_Level2Page"/>
          <w:r>
            <w:t>10</w:t>
          </w:r>
          <w:bookmarkEnd w:id="23"/>
          <w:r>
            <w:fldChar w:fldCharType="end"/>
          </w:r>
        </w:p>
        <w:p>
          <w:pPr>
            <w:pStyle w:val="37"/>
            <w:tabs>
              <w:tab w:val="right" w:leader="dot" w:pos="8844"/>
            </w:tabs>
          </w:pPr>
          <w:r>
            <w:fldChar w:fldCharType="begin"/>
          </w:r>
          <w:r>
            <w:instrText xml:space="preserve"> HYPERLINK \l _Toc1327835649_WPSOffice_Level2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a7e8ef1-709a-4706-97aa-a77e461a0566}"/>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imes New Roman"/>
                </w:rPr>
                <w:t xml:space="preserve">三、 </w:t>
              </w:r>
              <w:r>
                <w:rPr>
                  <w:rFonts w:hint="eastAsia" w:ascii="黑体" w:hAnsi="黑体" w:eastAsia="黑体" w:cs="Times New Roman"/>
                </w:rPr>
                <w:t>支出决算情况说明</w:t>
              </w:r>
            </w:sdtContent>
          </w:sdt>
          <w:r>
            <w:tab/>
          </w:r>
          <w:bookmarkStart w:id="24" w:name="_Toc1327835649_WPSOffice_Level2Page"/>
          <w:r>
            <w:t>10</w:t>
          </w:r>
          <w:bookmarkEnd w:id="24"/>
          <w:r>
            <w:fldChar w:fldCharType="end"/>
          </w:r>
        </w:p>
        <w:p>
          <w:pPr>
            <w:pStyle w:val="37"/>
            <w:tabs>
              <w:tab w:val="right" w:leader="dot" w:pos="8844"/>
            </w:tabs>
          </w:pPr>
          <w:r>
            <w:fldChar w:fldCharType="begin"/>
          </w:r>
          <w:r>
            <w:instrText xml:space="preserve"> HYPERLINK \l _Toc708326187_WPSOffice_Level2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2c03ef58-3dc0-45c8-a80d-6f98a793c4f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四、财政拨款收入支出决算总体情况说明</w:t>
              </w:r>
            </w:sdtContent>
          </w:sdt>
          <w:r>
            <w:tab/>
          </w:r>
          <w:bookmarkStart w:id="25" w:name="_Toc708326187_WPSOffice_Level2Page"/>
          <w:r>
            <w:t>10</w:t>
          </w:r>
          <w:bookmarkEnd w:id="25"/>
          <w:r>
            <w:fldChar w:fldCharType="end"/>
          </w:r>
        </w:p>
        <w:p>
          <w:pPr>
            <w:pStyle w:val="37"/>
            <w:tabs>
              <w:tab w:val="right" w:leader="dot" w:pos="8844"/>
            </w:tabs>
          </w:pPr>
          <w:r>
            <w:fldChar w:fldCharType="begin"/>
          </w:r>
          <w:r>
            <w:instrText xml:space="preserve"> HYPERLINK \l _Toc613099372_WPSOffice_Level2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11b41b57-e57b-42b8-817c-6e02ddc112d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五、一般公共预算财政拨款支出决算情况说明</w:t>
              </w:r>
            </w:sdtContent>
          </w:sdt>
          <w:r>
            <w:tab/>
          </w:r>
          <w:bookmarkStart w:id="26" w:name="_Toc613099372_WPSOffice_Level2Page"/>
          <w:r>
            <w:t>11</w:t>
          </w:r>
          <w:bookmarkEnd w:id="26"/>
          <w:r>
            <w:fldChar w:fldCharType="end"/>
          </w:r>
        </w:p>
        <w:p>
          <w:pPr>
            <w:pStyle w:val="38"/>
            <w:tabs>
              <w:tab w:val="right" w:leader="dot" w:pos="8844"/>
            </w:tabs>
          </w:pPr>
          <w:r>
            <w:fldChar w:fldCharType="begin"/>
          </w:r>
          <w:r>
            <w:instrText xml:space="preserve"> HYPERLINK \l _Toc1464944191_WPSOffice_Level3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c3d0c26-e275-4a83-967d-8bccf04a56b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（一）一般公共预算财政拨款支出决算总体情况</w:t>
              </w:r>
            </w:sdtContent>
          </w:sdt>
          <w:r>
            <w:tab/>
          </w:r>
          <w:bookmarkStart w:id="27" w:name="_Toc1464944191_WPSOffice_Level3Page"/>
          <w:r>
            <w:t>11</w:t>
          </w:r>
          <w:bookmarkEnd w:id="27"/>
          <w:r>
            <w:fldChar w:fldCharType="end"/>
          </w:r>
        </w:p>
        <w:p>
          <w:pPr>
            <w:pStyle w:val="38"/>
            <w:tabs>
              <w:tab w:val="right" w:leader="dot" w:pos="8844"/>
            </w:tabs>
          </w:pPr>
          <w:r>
            <w:fldChar w:fldCharType="begin"/>
          </w:r>
          <w:r>
            <w:instrText xml:space="preserve"> HYPERLINK \l _Toc265518138_WPSOffice_Level3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e97a9224-71a4-468c-a42b-89e38c8d757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（二）一般公共预算财政拨款支出决算结构情况</w:t>
              </w:r>
            </w:sdtContent>
          </w:sdt>
          <w:r>
            <w:tab/>
          </w:r>
          <w:bookmarkStart w:id="28" w:name="_Toc265518138_WPSOffice_Level3Page"/>
          <w:r>
            <w:t>11</w:t>
          </w:r>
          <w:bookmarkEnd w:id="28"/>
          <w:r>
            <w:fldChar w:fldCharType="end"/>
          </w:r>
        </w:p>
        <w:p>
          <w:pPr>
            <w:pStyle w:val="38"/>
            <w:tabs>
              <w:tab w:val="right" w:leader="dot" w:pos="8844"/>
            </w:tabs>
          </w:pPr>
          <w:r>
            <w:fldChar w:fldCharType="begin"/>
          </w:r>
          <w:r>
            <w:instrText xml:space="preserve"> HYPERLINK \l _Toc418240886_WPSOffice_Level3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35543f1-2c87-4133-b422-a27635670c7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（三）一般公共预算财政拨款支出决算具体情况</w:t>
              </w:r>
            </w:sdtContent>
          </w:sdt>
          <w:r>
            <w:tab/>
          </w:r>
          <w:bookmarkStart w:id="29" w:name="_Toc418240886_WPSOffice_Level3Page"/>
          <w:r>
            <w:t>12</w:t>
          </w:r>
          <w:bookmarkEnd w:id="29"/>
          <w:r>
            <w:fldChar w:fldCharType="end"/>
          </w:r>
        </w:p>
        <w:p>
          <w:pPr>
            <w:pStyle w:val="37"/>
            <w:tabs>
              <w:tab w:val="right" w:leader="dot" w:pos="8844"/>
            </w:tabs>
          </w:pPr>
          <w:r>
            <w:fldChar w:fldCharType="begin"/>
          </w:r>
          <w:r>
            <w:instrText xml:space="preserve"> HYPERLINK \l _Toc1426477912_WPSOffice_Level2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9489862-d9da-4a7a-9331-720f088d0f6f}"/>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30" w:name="_Toc1426477912_WPSOffice_Level2Page"/>
          <w:r>
            <w:t>13</w:t>
          </w:r>
          <w:bookmarkEnd w:id="30"/>
          <w:r>
            <w:fldChar w:fldCharType="end"/>
          </w:r>
        </w:p>
        <w:p>
          <w:pPr>
            <w:pStyle w:val="37"/>
            <w:tabs>
              <w:tab w:val="right" w:leader="dot" w:pos="8844"/>
            </w:tabs>
          </w:pPr>
          <w:r>
            <w:fldChar w:fldCharType="begin"/>
          </w:r>
          <w:r>
            <w:instrText xml:space="preserve"> HYPERLINK \l _Toc2002397841_WPSOffice_Level2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a8b2811c-ba69-4099-9358-1d0b557a2c1a}"/>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31" w:name="_Toc2002397841_WPSOffice_Level2Page"/>
          <w:r>
            <w:t>13</w:t>
          </w:r>
          <w:bookmarkEnd w:id="31"/>
          <w:r>
            <w:fldChar w:fldCharType="end"/>
          </w:r>
        </w:p>
        <w:p>
          <w:pPr>
            <w:pStyle w:val="38"/>
            <w:tabs>
              <w:tab w:val="right" w:leader="dot" w:pos="8844"/>
            </w:tabs>
          </w:pPr>
          <w:r>
            <w:fldChar w:fldCharType="begin"/>
          </w:r>
          <w:r>
            <w:instrText xml:space="preserve"> HYPERLINK \l _Toc1327835649_WPSOffice_Level3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5f6317e4-29e6-4ac0-9613-c66c09fa444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（一）“三公”经费财政拨款支出决算总体情况说明</w:t>
              </w:r>
            </w:sdtContent>
          </w:sdt>
          <w:r>
            <w:tab/>
          </w:r>
          <w:bookmarkStart w:id="32" w:name="_Toc1327835649_WPSOffice_Level3Page"/>
          <w:r>
            <w:t>13</w:t>
          </w:r>
          <w:bookmarkEnd w:id="32"/>
          <w:r>
            <w:fldChar w:fldCharType="end"/>
          </w:r>
        </w:p>
        <w:p>
          <w:pPr>
            <w:pStyle w:val="38"/>
            <w:tabs>
              <w:tab w:val="right" w:leader="dot" w:pos="8844"/>
            </w:tabs>
          </w:pPr>
          <w:r>
            <w:fldChar w:fldCharType="begin"/>
          </w:r>
          <w:r>
            <w:instrText xml:space="preserve"> HYPERLINK \l _Toc708326187_WPSOffice_Level3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cfed1d3-f9c0-4877-a920-840b53c6a43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（二）“三公”经费财政拨款支出决算具体情况说明</w:t>
              </w:r>
            </w:sdtContent>
          </w:sdt>
          <w:r>
            <w:tab/>
          </w:r>
          <w:bookmarkStart w:id="33" w:name="_Toc708326187_WPSOffice_Level3Page"/>
          <w:r>
            <w:t>13</w:t>
          </w:r>
          <w:bookmarkEnd w:id="33"/>
          <w:r>
            <w:fldChar w:fldCharType="end"/>
          </w:r>
        </w:p>
        <w:p>
          <w:pPr>
            <w:pStyle w:val="37"/>
            <w:tabs>
              <w:tab w:val="right" w:leader="dot" w:pos="8844"/>
            </w:tabs>
          </w:pPr>
          <w:r>
            <w:fldChar w:fldCharType="begin"/>
          </w:r>
          <w:r>
            <w:instrText xml:space="preserve"> HYPERLINK \l _Toc1995516849_WPSOffice_Level2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084aa6bc-2223-44bf-a903-b2809d532925}"/>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34" w:name="_Toc1995516849_WPSOffice_Level2Page"/>
          <w:r>
            <w:t>15</w:t>
          </w:r>
          <w:bookmarkEnd w:id="34"/>
          <w:r>
            <w:fldChar w:fldCharType="end"/>
          </w:r>
        </w:p>
        <w:p>
          <w:pPr>
            <w:pStyle w:val="37"/>
            <w:tabs>
              <w:tab w:val="right" w:leader="dot" w:pos="8844"/>
            </w:tabs>
          </w:pPr>
          <w:r>
            <w:fldChar w:fldCharType="begin"/>
          </w:r>
          <w:r>
            <w:instrText xml:space="preserve"> HYPERLINK \l _Toc612815721_WPSOffice_Level2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6685f44-3ffd-48ca-8d37-13e36b5ba17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35" w:name="_Toc612815721_WPSOffice_Level2Page"/>
          <w:r>
            <w:t>15</w:t>
          </w:r>
          <w:bookmarkEnd w:id="35"/>
          <w:r>
            <w:fldChar w:fldCharType="end"/>
          </w:r>
        </w:p>
        <w:p>
          <w:pPr>
            <w:pStyle w:val="37"/>
            <w:tabs>
              <w:tab w:val="right" w:leader="dot" w:pos="8844"/>
            </w:tabs>
          </w:pPr>
          <w:r>
            <w:fldChar w:fldCharType="begin"/>
          </w:r>
          <w:r>
            <w:instrText xml:space="preserve"> HYPERLINK \l _Toc1766320430_WPSOffice_Level2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7947bcad-78fd-4f30-8912-afa14fce5c48}"/>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36" w:name="_Toc1766320430_WPSOffice_Level2Page"/>
          <w:r>
            <w:t>15</w:t>
          </w:r>
          <w:bookmarkEnd w:id="36"/>
          <w:r>
            <w:fldChar w:fldCharType="end"/>
          </w:r>
        </w:p>
        <w:p>
          <w:pPr>
            <w:pStyle w:val="38"/>
            <w:tabs>
              <w:tab w:val="right" w:leader="dot" w:pos="8844"/>
            </w:tabs>
          </w:pPr>
          <w:r>
            <w:fldChar w:fldCharType="begin"/>
          </w:r>
          <w:r>
            <w:instrText xml:space="preserve"> HYPERLINK \l _Toc613099372_WPSOffice_Level3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386343b-0480-476a-9d05-42b0f97dffc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（一）机关运行经费支出情况</w:t>
              </w:r>
            </w:sdtContent>
          </w:sdt>
          <w:r>
            <w:tab/>
          </w:r>
          <w:bookmarkStart w:id="37" w:name="_Toc613099372_WPSOffice_Level3Page"/>
          <w:r>
            <w:t>15</w:t>
          </w:r>
          <w:bookmarkEnd w:id="37"/>
          <w:r>
            <w:fldChar w:fldCharType="end"/>
          </w:r>
        </w:p>
        <w:p>
          <w:pPr>
            <w:pStyle w:val="38"/>
            <w:tabs>
              <w:tab w:val="right" w:leader="dot" w:pos="8844"/>
            </w:tabs>
          </w:pPr>
          <w:r>
            <w:fldChar w:fldCharType="begin"/>
          </w:r>
          <w:r>
            <w:instrText xml:space="preserve"> HYPERLINK \l _Toc1426477912_WPSOffice_Level3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28bf051-78b2-4c26-a2f4-390042e025f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（二）政府采购支出情况</w:t>
              </w:r>
            </w:sdtContent>
          </w:sdt>
          <w:r>
            <w:tab/>
          </w:r>
          <w:bookmarkStart w:id="38" w:name="_Toc1426477912_WPSOffice_Level3Page"/>
          <w:r>
            <w:t>15</w:t>
          </w:r>
          <w:bookmarkEnd w:id="38"/>
          <w:r>
            <w:fldChar w:fldCharType="end"/>
          </w:r>
        </w:p>
        <w:p>
          <w:pPr>
            <w:pStyle w:val="38"/>
            <w:tabs>
              <w:tab w:val="right" w:leader="dot" w:pos="8844"/>
            </w:tabs>
          </w:pPr>
          <w:r>
            <w:fldChar w:fldCharType="begin"/>
          </w:r>
          <w:r>
            <w:instrText xml:space="preserve"> HYPERLINK \l _Toc2002397841_WPSOffice_Level3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c544a4e-3f9e-40ed-a990-22469162295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（三）国有资产占有使用情况</w:t>
              </w:r>
            </w:sdtContent>
          </w:sdt>
          <w:r>
            <w:tab/>
          </w:r>
          <w:bookmarkStart w:id="39" w:name="_Toc2002397841_WPSOffice_Level3Page"/>
          <w:r>
            <w:t>16</w:t>
          </w:r>
          <w:bookmarkEnd w:id="39"/>
          <w:r>
            <w:fldChar w:fldCharType="end"/>
          </w:r>
        </w:p>
        <w:p>
          <w:pPr>
            <w:pStyle w:val="38"/>
            <w:tabs>
              <w:tab w:val="right" w:leader="dot" w:pos="8844"/>
            </w:tabs>
          </w:pPr>
          <w:r>
            <w:fldChar w:fldCharType="begin"/>
          </w:r>
          <w:r>
            <w:instrText xml:space="preserve"> HYPERLINK \l _Toc1995516849_WPSOffice_Level3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bd17744e-6167-49bf-b810-3108cc7067e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（四）预算绩效管理情况</w:t>
              </w:r>
            </w:sdtContent>
          </w:sdt>
          <w:r>
            <w:tab/>
          </w:r>
          <w:bookmarkStart w:id="40" w:name="_Toc1995516849_WPSOffice_Level3Page"/>
          <w:r>
            <w:t>16</w:t>
          </w:r>
          <w:bookmarkEnd w:id="40"/>
          <w:r>
            <w:fldChar w:fldCharType="end"/>
          </w:r>
        </w:p>
        <w:p>
          <w:pPr>
            <w:pStyle w:val="36"/>
            <w:tabs>
              <w:tab w:val="right" w:leader="dot" w:pos="8844"/>
            </w:tabs>
          </w:pPr>
          <w:r>
            <w:fldChar w:fldCharType="begin"/>
          </w:r>
          <w:r>
            <w:instrText xml:space="preserve"> HYPERLINK \l _Toc1483023753_WPSOffice_Level1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cdf59fa-d2b6-4c40-9f59-afa0172f7da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 xml:space="preserve">第三部分 </w:t>
              </w:r>
              <w:r>
                <w:rPr>
                  <w:rFonts w:hint="eastAsia" w:ascii="黑体" w:hAnsi="黑体" w:eastAsia="黑体" w:cs="Times New Roman"/>
                </w:rPr>
                <w:t>名词解释</w:t>
              </w:r>
            </w:sdtContent>
          </w:sdt>
          <w:r>
            <w:tab/>
          </w:r>
          <w:bookmarkStart w:id="41" w:name="_Toc1483023753_WPSOffice_Level1Page"/>
          <w:r>
            <w:t>18</w:t>
          </w:r>
          <w:bookmarkEnd w:id="41"/>
          <w:r>
            <w:fldChar w:fldCharType="end"/>
          </w:r>
        </w:p>
        <w:p>
          <w:pPr>
            <w:pStyle w:val="36"/>
            <w:tabs>
              <w:tab w:val="right" w:leader="dot" w:pos="8844"/>
            </w:tabs>
          </w:pPr>
          <w:r>
            <w:fldChar w:fldCharType="begin"/>
          </w:r>
          <w:r>
            <w:instrText xml:space="preserve"> HYPERLINK \l _Toc1464944191_WPSOffice_Level1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460bb93-0ebd-4aed-98fd-290307a4aaf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第四部分 附件</w:t>
              </w:r>
            </w:sdtContent>
          </w:sdt>
          <w:r>
            <w:tab/>
          </w:r>
          <w:bookmarkStart w:id="42" w:name="_Toc1464944191_WPSOffice_Level1Page"/>
          <w:r>
            <w:t>21</w:t>
          </w:r>
          <w:bookmarkEnd w:id="42"/>
          <w:r>
            <w:fldChar w:fldCharType="end"/>
          </w:r>
        </w:p>
        <w:p>
          <w:pPr>
            <w:pStyle w:val="37"/>
            <w:tabs>
              <w:tab w:val="right" w:leader="dot" w:pos="8844"/>
            </w:tabs>
          </w:pPr>
          <w:r>
            <w:fldChar w:fldCharType="begin"/>
          </w:r>
          <w:r>
            <w:instrText xml:space="preserve"> HYPERLINK \l _Toc11763756_WPSOffice_Level2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2cc6b744-5ad3-4027-ba4c-fe084072cf51}"/>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2023年部门整体支出绩效自评报告</w:t>
              </w:r>
            </w:sdtContent>
          </w:sdt>
          <w:r>
            <w:tab/>
          </w:r>
          <w:bookmarkStart w:id="43" w:name="_Toc11763756_WPSOffice_Level2Page"/>
          <w:r>
            <w:t>21</w:t>
          </w:r>
          <w:bookmarkEnd w:id="43"/>
          <w:r>
            <w:fldChar w:fldCharType="end"/>
          </w:r>
        </w:p>
        <w:p>
          <w:pPr>
            <w:pStyle w:val="37"/>
            <w:tabs>
              <w:tab w:val="right" w:leader="dot" w:pos="8844"/>
            </w:tabs>
          </w:pPr>
          <w:r>
            <w:fldChar w:fldCharType="begin"/>
          </w:r>
          <w:r>
            <w:instrText xml:space="preserve"> HYPERLINK \l _Toc1120000205_WPSOffice_Level2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624cd595-72a0-4c83-a523-d0312e5f76ba}"/>
              </w:placeholder>
            </w:sdtPr>
            <w:sdtEndPr>
              <w:rPr>
                <w:rFonts w:ascii="Times New Roman" w:hAnsi="Times New Roman" w:eastAsia="宋体" w:cs="Times New Roman"/>
                <w:kern w:val="2"/>
                <w:sz w:val="21"/>
                <w:szCs w:val="24"/>
                <w:lang w:val="en-US" w:eastAsia="zh-CN" w:bidi="ar-SA"/>
              </w:rPr>
            </w:sdtEndPr>
            <w:sdtContent>
              <w:r>
                <w:rPr>
                  <w:rFonts w:ascii="Times New Roman" w:hAnsi="Times New Roman" w:eastAsia="黑体" w:cs="Times New Roman"/>
                </w:rPr>
                <w:t>一、</w:t>
              </w:r>
              <w:r>
                <w:rPr>
                  <w:rFonts w:hint="eastAsia" w:ascii="Times New Roman" w:hAnsi="Times New Roman" w:eastAsia="黑体" w:cs="Times New Roman"/>
                </w:rPr>
                <w:t>预算单位</w:t>
              </w:r>
              <w:r>
                <w:rPr>
                  <w:rFonts w:hint="default" w:ascii="Times New Roman" w:hAnsi="Times New Roman" w:eastAsia="黑体" w:cs="Times New Roman"/>
                </w:rPr>
                <w:t>概况</w:t>
              </w:r>
            </w:sdtContent>
          </w:sdt>
          <w:r>
            <w:tab/>
          </w:r>
          <w:bookmarkStart w:id="44" w:name="_Toc1120000205_WPSOffice_Level2Page"/>
          <w:r>
            <w:t>22</w:t>
          </w:r>
          <w:bookmarkEnd w:id="44"/>
          <w:r>
            <w:fldChar w:fldCharType="end"/>
          </w:r>
        </w:p>
        <w:p>
          <w:pPr>
            <w:pStyle w:val="38"/>
            <w:tabs>
              <w:tab w:val="right" w:leader="dot" w:pos="8844"/>
            </w:tabs>
          </w:pPr>
          <w:r>
            <w:fldChar w:fldCharType="begin"/>
          </w:r>
          <w:r>
            <w:instrText xml:space="preserve"> HYPERLINK \l _Toc612815721_WPSOffice_Level3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1737c327-1d3f-4259-8dae-8565a21abd1b}"/>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（一）机构组成</w:t>
              </w:r>
            </w:sdtContent>
          </w:sdt>
          <w:r>
            <w:tab/>
          </w:r>
          <w:bookmarkStart w:id="45" w:name="_Toc612815721_WPSOffice_Level3Page"/>
          <w:r>
            <w:t>22</w:t>
          </w:r>
          <w:bookmarkEnd w:id="45"/>
          <w:r>
            <w:fldChar w:fldCharType="end"/>
          </w:r>
        </w:p>
        <w:p>
          <w:pPr>
            <w:pStyle w:val="38"/>
            <w:tabs>
              <w:tab w:val="right" w:leader="dot" w:pos="8844"/>
            </w:tabs>
          </w:pPr>
          <w:r>
            <w:fldChar w:fldCharType="begin"/>
          </w:r>
          <w:r>
            <w:instrText xml:space="preserve"> HYPERLINK \l _Toc1766320430_WPSOffice_Level3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26eda71d-9d23-4b13-9725-2dffc060bbe7}"/>
              </w:placeholder>
            </w:sdtPr>
            <w:sdtEndPr>
              <w:rPr>
                <w:rFonts w:ascii="Times New Roman" w:hAnsi="Times New Roman" w:eastAsia="宋体" w:cs="Times New Roman"/>
                <w:kern w:val="2"/>
                <w:sz w:val="21"/>
                <w:szCs w:val="24"/>
                <w:lang w:val="en-US" w:eastAsia="zh-CN" w:bidi="ar-SA"/>
              </w:rPr>
            </w:sdtEndPr>
            <w:sdtContent>
              <w:r>
                <w:rPr>
                  <w:rFonts w:ascii="Times New Roman" w:hAnsi="Times New Roman" w:eastAsia="楷体_GB2312" w:cs="Times New Roman"/>
                </w:rPr>
                <w:t>（</w:t>
              </w:r>
              <w:r>
                <w:rPr>
                  <w:rFonts w:hint="eastAsia" w:ascii="Times New Roman" w:hAnsi="Times New Roman" w:eastAsia="楷体_GB2312" w:cs="Times New Roman"/>
                </w:rPr>
                <w:t>二</w:t>
              </w:r>
              <w:r>
                <w:rPr>
                  <w:rFonts w:ascii="Times New Roman" w:hAnsi="Times New Roman" w:eastAsia="楷体_GB2312" w:cs="Times New Roman"/>
                </w:rPr>
                <w:t>）机构职能</w:t>
              </w:r>
            </w:sdtContent>
          </w:sdt>
          <w:r>
            <w:tab/>
          </w:r>
          <w:bookmarkStart w:id="46" w:name="_Toc1766320430_WPSOffice_Level3Page"/>
          <w:r>
            <w:t>22</w:t>
          </w:r>
          <w:bookmarkEnd w:id="46"/>
          <w:r>
            <w:fldChar w:fldCharType="end"/>
          </w:r>
        </w:p>
        <w:p>
          <w:pPr>
            <w:pStyle w:val="38"/>
            <w:tabs>
              <w:tab w:val="right" w:leader="dot" w:pos="8844"/>
            </w:tabs>
          </w:pPr>
          <w:r>
            <w:fldChar w:fldCharType="begin"/>
          </w:r>
          <w:r>
            <w:instrText xml:space="preserve"> HYPERLINK \l _Toc11763756_WPSOffice_Level3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7a335302-4bdd-4e4d-9b14-7c77e0f72df2}"/>
              </w:placeholder>
            </w:sdtPr>
            <w:sdtEndPr>
              <w:rPr>
                <w:rFonts w:ascii="Times New Roman" w:hAnsi="Times New Roman" w:eastAsia="宋体" w:cs="Times New Roman"/>
                <w:kern w:val="2"/>
                <w:sz w:val="21"/>
                <w:szCs w:val="24"/>
                <w:lang w:val="en-US" w:eastAsia="zh-CN" w:bidi="ar-SA"/>
              </w:rPr>
            </w:sdtEndPr>
            <w:sdtContent>
              <w:r>
                <w:rPr>
                  <w:rFonts w:ascii="Times New Roman" w:hAnsi="Times New Roman" w:eastAsia="楷体_GB2312" w:cs="Times New Roman"/>
                </w:rPr>
                <w:t>（</w:t>
              </w:r>
              <w:r>
                <w:rPr>
                  <w:rFonts w:hint="eastAsia" w:ascii="Times New Roman" w:hAnsi="Times New Roman" w:eastAsia="楷体_GB2312" w:cs="Times New Roman"/>
                </w:rPr>
                <w:t>三</w:t>
              </w:r>
              <w:r>
                <w:rPr>
                  <w:rFonts w:ascii="Times New Roman" w:hAnsi="Times New Roman" w:eastAsia="楷体_GB2312" w:cs="Times New Roman"/>
                </w:rPr>
                <w:t>）人员概况</w:t>
              </w:r>
            </w:sdtContent>
          </w:sdt>
          <w:r>
            <w:tab/>
          </w:r>
          <w:bookmarkStart w:id="47" w:name="_Toc11763756_WPSOffice_Level3Page"/>
          <w:r>
            <w:t>24</w:t>
          </w:r>
          <w:bookmarkEnd w:id="47"/>
          <w:r>
            <w:fldChar w:fldCharType="end"/>
          </w:r>
        </w:p>
        <w:p>
          <w:pPr>
            <w:pStyle w:val="37"/>
            <w:tabs>
              <w:tab w:val="right" w:leader="dot" w:pos="8844"/>
            </w:tabs>
          </w:pPr>
          <w:r>
            <w:fldChar w:fldCharType="begin"/>
          </w:r>
          <w:r>
            <w:instrText xml:space="preserve"> HYPERLINK \l _Toc42794015_WPSOffice_Level2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5e2f1265-6b0e-4afd-b1c7-9e1dff3d413b}"/>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w:t>
              </w:r>
              <w:r>
                <w:rPr>
                  <w:rFonts w:hint="eastAsia" w:ascii="Times New Roman" w:hAnsi="Times New Roman" w:eastAsia="黑体" w:cs="Times New Roman"/>
                </w:rPr>
                <w:t>预算单位</w:t>
              </w:r>
              <w:r>
                <w:rPr>
                  <w:rFonts w:hint="default" w:ascii="Times New Roman" w:hAnsi="Times New Roman" w:eastAsia="黑体" w:cs="Times New Roman"/>
                </w:rPr>
                <w:t>财政支出情况</w:t>
              </w:r>
            </w:sdtContent>
          </w:sdt>
          <w:r>
            <w:tab/>
          </w:r>
          <w:bookmarkStart w:id="48" w:name="_Toc42794015_WPSOffice_Level2Page"/>
          <w:r>
            <w:t>24</w:t>
          </w:r>
          <w:bookmarkEnd w:id="48"/>
          <w:r>
            <w:fldChar w:fldCharType="end"/>
          </w:r>
        </w:p>
        <w:p>
          <w:pPr>
            <w:pStyle w:val="38"/>
            <w:tabs>
              <w:tab w:val="right" w:leader="dot" w:pos="8844"/>
            </w:tabs>
          </w:pPr>
          <w:r>
            <w:fldChar w:fldCharType="begin"/>
          </w:r>
          <w:r>
            <w:instrText xml:space="preserve"> HYPERLINK \l _Toc1120000205_WPSOffice_Level3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e463aac5-7bf0-47db-a160-862802672f44}"/>
              </w:placeholder>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Times New Roman"/>
                </w:rPr>
                <w:t>（一）</w:t>
              </w:r>
              <w:r>
                <w:rPr>
                  <w:rFonts w:hint="eastAsia" w:ascii="楷体_GB2312" w:hAnsi="楷体_GB2312" w:eastAsia="楷体_GB2312" w:cs="Times New Roman"/>
                </w:rPr>
                <w:t>单位财政资金收入情况</w:t>
              </w:r>
            </w:sdtContent>
          </w:sdt>
          <w:r>
            <w:tab/>
          </w:r>
          <w:bookmarkStart w:id="49" w:name="_Toc1120000205_WPSOffice_Level3Page"/>
          <w:r>
            <w:t>24</w:t>
          </w:r>
          <w:bookmarkEnd w:id="49"/>
          <w:r>
            <w:fldChar w:fldCharType="end"/>
          </w:r>
        </w:p>
        <w:p>
          <w:pPr>
            <w:pStyle w:val="38"/>
            <w:tabs>
              <w:tab w:val="right" w:leader="dot" w:pos="8844"/>
            </w:tabs>
          </w:pPr>
          <w:r>
            <w:fldChar w:fldCharType="begin"/>
          </w:r>
          <w:r>
            <w:instrText xml:space="preserve"> HYPERLINK \l _Toc42794015_WPSOffice_Level3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e5270a89-abcd-4534-afb8-e52d1e3e2a96}"/>
              </w:placeholder>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Times New Roman"/>
                </w:rPr>
                <w:t>（二）单位财政支出情况</w:t>
              </w:r>
            </w:sdtContent>
          </w:sdt>
          <w:r>
            <w:tab/>
          </w:r>
          <w:bookmarkStart w:id="50" w:name="_Toc42794015_WPSOffice_Level3Page"/>
          <w:r>
            <w:t>24</w:t>
          </w:r>
          <w:bookmarkEnd w:id="50"/>
          <w:r>
            <w:fldChar w:fldCharType="end"/>
          </w:r>
        </w:p>
        <w:p>
          <w:pPr>
            <w:pStyle w:val="38"/>
            <w:tabs>
              <w:tab w:val="right" w:leader="dot" w:pos="8844"/>
            </w:tabs>
          </w:pPr>
          <w:r>
            <w:fldChar w:fldCharType="begin"/>
          </w:r>
          <w:r>
            <w:instrText xml:space="preserve"> HYPERLINK \l _Toc137378472_WPSOffice_Level3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86f1fdf-b07a-408f-8ce1-d44655298df3}"/>
              </w:placeholder>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Times New Roman"/>
                </w:rPr>
                <w:t>（三）结余分配和结转结余情况。</w:t>
              </w:r>
            </w:sdtContent>
          </w:sdt>
          <w:r>
            <w:tab/>
          </w:r>
          <w:bookmarkStart w:id="51" w:name="_Toc137378472_WPSOffice_Level3Page"/>
          <w:r>
            <w:t>24</w:t>
          </w:r>
          <w:bookmarkEnd w:id="51"/>
          <w:r>
            <w:fldChar w:fldCharType="end"/>
          </w:r>
        </w:p>
        <w:p>
          <w:pPr>
            <w:pStyle w:val="37"/>
            <w:tabs>
              <w:tab w:val="right" w:leader="dot" w:pos="8844"/>
            </w:tabs>
          </w:pPr>
          <w:r>
            <w:fldChar w:fldCharType="begin"/>
          </w:r>
          <w:r>
            <w:instrText xml:space="preserve"> HYPERLINK \l _Toc137378472_WPSOffice_Level2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716c7bb2-c81d-45ee-b9fa-9ea8cd13fd7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三、部门预算绩效分析</w:t>
              </w:r>
            </w:sdtContent>
          </w:sdt>
          <w:r>
            <w:tab/>
          </w:r>
          <w:bookmarkStart w:id="52" w:name="_Toc137378472_WPSOffice_Level2Page"/>
          <w:r>
            <w:t>24</w:t>
          </w:r>
          <w:bookmarkEnd w:id="52"/>
          <w:r>
            <w:fldChar w:fldCharType="end"/>
          </w:r>
        </w:p>
        <w:p>
          <w:pPr>
            <w:pStyle w:val="38"/>
            <w:tabs>
              <w:tab w:val="right" w:leader="dot" w:pos="8844"/>
            </w:tabs>
          </w:pPr>
          <w:r>
            <w:fldChar w:fldCharType="begin"/>
          </w:r>
          <w:r>
            <w:instrText xml:space="preserve"> HYPERLINK \l _Toc540684081_WPSOffice_Level3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a2e6eeb8-3bf3-43a6-ab3e-cd7bab67d613}"/>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（一）部门预算项目绩效管理</w:t>
              </w:r>
            </w:sdtContent>
          </w:sdt>
          <w:r>
            <w:tab/>
          </w:r>
          <w:bookmarkStart w:id="53" w:name="_Toc540684081_WPSOffice_Level3Page"/>
          <w:r>
            <w:t>24</w:t>
          </w:r>
          <w:bookmarkEnd w:id="53"/>
          <w:r>
            <w:fldChar w:fldCharType="end"/>
          </w:r>
        </w:p>
        <w:p>
          <w:pPr>
            <w:pStyle w:val="38"/>
            <w:tabs>
              <w:tab w:val="right" w:leader="dot" w:pos="8844"/>
            </w:tabs>
          </w:pPr>
          <w:r>
            <w:fldChar w:fldCharType="begin"/>
          </w:r>
          <w:r>
            <w:instrText xml:space="preserve"> HYPERLINK \l _Toc864634590_WPSOffice_Level3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5980d776-d0c0-4780-a6fd-96a0306ae7ec}"/>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宋体" w:cs="Times New Roman"/>
                </w:rPr>
                <w:t>（二） 结果应用公开情况</w:t>
              </w:r>
            </w:sdtContent>
          </w:sdt>
          <w:r>
            <w:tab/>
          </w:r>
          <w:bookmarkStart w:id="54" w:name="_Toc864634590_WPSOffice_Level3Page"/>
          <w:r>
            <w:t>26</w:t>
          </w:r>
          <w:bookmarkEnd w:id="54"/>
          <w:r>
            <w:fldChar w:fldCharType="end"/>
          </w:r>
        </w:p>
        <w:p>
          <w:pPr>
            <w:pStyle w:val="38"/>
            <w:tabs>
              <w:tab w:val="right" w:leader="dot" w:pos="8844"/>
            </w:tabs>
          </w:pPr>
          <w:r>
            <w:fldChar w:fldCharType="begin"/>
          </w:r>
          <w:r>
            <w:instrText xml:space="preserve"> HYPERLINK \l _Toc720479298_WPSOffice_Level3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9c2bb96-9b91-4e04-8914-2968ad089085}"/>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宋体" w:cs="Times New Roman"/>
                </w:rPr>
                <w:t>（三） 自评质量</w:t>
              </w:r>
            </w:sdtContent>
          </w:sdt>
          <w:r>
            <w:tab/>
          </w:r>
          <w:bookmarkStart w:id="55" w:name="_Toc720479298_WPSOffice_Level3Page"/>
          <w:r>
            <w:t>26</w:t>
          </w:r>
          <w:bookmarkEnd w:id="55"/>
          <w:r>
            <w:fldChar w:fldCharType="end"/>
          </w:r>
        </w:p>
        <w:p>
          <w:pPr>
            <w:pStyle w:val="37"/>
            <w:tabs>
              <w:tab w:val="right" w:leader="dot" w:pos="8844"/>
            </w:tabs>
          </w:pPr>
          <w:r>
            <w:fldChar w:fldCharType="begin"/>
          </w:r>
          <w:r>
            <w:instrText xml:space="preserve"> HYPERLINK \l _Toc540684081_WPSOffice_Level2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8488fbb5-fd2f-465a-b7f3-1394ef82a94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四、评价结论及建议</w:t>
              </w:r>
            </w:sdtContent>
          </w:sdt>
          <w:r>
            <w:tab/>
          </w:r>
          <w:bookmarkStart w:id="56" w:name="_Toc540684081_WPSOffice_Level2Page"/>
          <w:r>
            <w:t>26</w:t>
          </w:r>
          <w:bookmarkEnd w:id="56"/>
          <w:r>
            <w:fldChar w:fldCharType="end"/>
          </w:r>
        </w:p>
        <w:p>
          <w:pPr>
            <w:pStyle w:val="38"/>
            <w:tabs>
              <w:tab w:val="right" w:leader="dot" w:pos="8844"/>
            </w:tabs>
          </w:pPr>
          <w:r>
            <w:fldChar w:fldCharType="begin"/>
          </w:r>
          <w:r>
            <w:instrText xml:space="preserve"> HYPERLINK \l _Toc1619542913_WPSOffice_Level3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bb30125e-54c8-495f-b208-8852bd8c0907}"/>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（一）自评结论</w:t>
              </w:r>
            </w:sdtContent>
          </w:sdt>
          <w:r>
            <w:tab/>
          </w:r>
          <w:bookmarkStart w:id="57" w:name="_Toc1619542913_WPSOffice_Level3Page"/>
          <w:r>
            <w:t>26</w:t>
          </w:r>
          <w:bookmarkEnd w:id="57"/>
          <w:r>
            <w:fldChar w:fldCharType="end"/>
          </w:r>
        </w:p>
        <w:p>
          <w:pPr>
            <w:pStyle w:val="38"/>
            <w:tabs>
              <w:tab w:val="right" w:leader="dot" w:pos="8844"/>
            </w:tabs>
          </w:pPr>
          <w:r>
            <w:fldChar w:fldCharType="begin"/>
          </w:r>
          <w:r>
            <w:instrText xml:space="preserve"> HYPERLINK \l _Toc350335591_WPSOffice_Level3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e5e636a8-c7e7-4819-8f3e-7b0c5ebe2e5b}"/>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(二)</w:t>
              </w:r>
              <w:r>
                <w:rPr>
                  <w:rFonts w:hint="default" w:ascii="Times New Roman" w:hAnsi="Times New Roman" w:eastAsia="楷体_GB2312" w:cs="Times New Roman"/>
                </w:rPr>
                <w:t>存在问题</w:t>
              </w:r>
            </w:sdtContent>
          </w:sdt>
          <w:r>
            <w:tab/>
          </w:r>
          <w:bookmarkStart w:id="58" w:name="_Toc350335591_WPSOffice_Level3Page"/>
          <w:r>
            <w:t>27</w:t>
          </w:r>
          <w:bookmarkEnd w:id="58"/>
          <w:r>
            <w:fldChar w:fldCharType="end"/>
          </w:r>
        </w:p>
        <w:p>
          <w:pPr>
            <w:pStyle w:val="38"/>
            <w:tabs>
              <w:tab w:val="right" w:leader="dot" w:pos="8844"/>
            </w:tabs>
          </w:pPr>
          <w:r>
            <w:fldChar w:fldCharType="begin"/>
          </w:r>
          <w:r>
            <w:instrText xml:space="preserve"> HYPERLINK \l _Toc1635056805_WPSOffice_Level3 </w:instrText>
          </w:r>
          <w:r>
            <w:fldChar w:fldCharType="separate"/>
          </w:r>
          <w:sdt>
            <w:sdtPr>
              <w:rPr>
                <w:rFonts w:ascii="Times New Roman" w:hAnsi="Times New Roman" w:eastAsia="宋体" w:cs="Times New Roman"/>
                <w:kern w:val="2"/>
                <w:sz w:val="21"/>
                <w:szCs w:val="24"/>
                <w:lang w:val="en-US" w:eastAsia="zh-CN" w:bidi="ar-SA"/>
              </w:rPr>
              <w:id w:val="633756171"/>
              <w:placeholder>
                <w:docPart w:val="{3ce467e7-9641-4ccf-bf86-de68f90e586d}"/>
              </w:placeholder>
            </w:sdtPr>
            <w:sdtEndPr>
              <w:rPr>
                <w:rFonts w:ascii="Times New Roman" w:hAnsi="Times New Roman" w:eastAsia="宋体" w:cs="Times New Roman"/>
                <w:kern w:val="2"/>
                <w:sz w:val="21"/>
                <w:szCs w:val="24"/>
                <w:lang w:val="en-US" w:eastAsia="zh-CN" w:bidi="ar-SA"/>
              </w:rPr>
            </w:sdtEndPr>
            <w:sdtContent>
              <w:r>
                <w:rPr>
                  <w:rFonts w:ascii="Times New Roman" w:hAnsi="Times New Roman" w:eastAsia="楷体_GB2312" w:cs="Times New Roman"/>
                </w:rPr>
                <w:t>（三）改进建议</w:t>
              </w:r>
            </w:sdtContent>
          </w:sdt>
          <w:r>
            <w:tab/>
          </w:r>
          <w:bookmarkStart w:id="59" w:name="_Toc1635056805_WPSOffice_Level3Page"/>
          <w:r>
            <w:t>27</w:t>
          </w:r>
          <w:bookmarkEnd w:id="59"/>
          <w:r>
            <w:fldChar w:fldCharType="end"/>
          </w:r>
        </w:p>
        <w:p>
          <w:pPr>
            <w:pStyle w:val="36"/>
            <w:tabs>
              <w:tab w:val="right" w:leader="dot" w:pos="8844"/>
            </w:tabs>
          </w:pPr>
          <w:r>
            <w:fldChar w:fldCharType="begin"/>
          </w:r>
          <w:r>
            <w:instrText xml:space="preserve"> HYPERLINK \l _Toc265518138_WPSOffice_Level1 </w:instrText>
          </w:r>
          <w:r>
            <w:fldChar w:fldCharType="separate"/>
          </w:r>
          <w:sdt>
            <w:sdtPr>
              <w:rPr>
                <w:rFonts w:ascii="Times New Roman" w:hAnsi="Times New Roman" w:eastAsia="宋体" w:cs="Times New Roman"/>
                <w:kern w:val="2"/>
                <w:sz w:val="21"/>
                <w:szCs w:val="24"/>
                <w:lang w:val="en-US" w:eastAsia="zh-CN" w:bidi="ar-SA"/>
              </w:rPr>
              <w:id w:val="633756171"/>
              <w:placeholder>
                <w:docPart w:val="{96d32552-64b6-4f7f-b50e-2b216fc259c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bookmarkStart w:id="60" w:name="_Toc265518138_WPSOffice_Level1Page"/>
          <w:r>
            <w:t>36</w:t>
          </w:r>
          <w:bookmarkEnd w:id="60"/>
          <w:r>
            <w:fldChar w:fldCharType="end"/>
          </w:r>
        </w:p>
        <w:p>
          <w:pPr>
            <w:pStyle w:val="37"/>
            <w:tabs>
              <w:tab w:val="right" w:leader="dot" w:pos="8844"/>
            </w:tabs>
          </w:pPr>
          <w:r>
            <w:fldChar w:fldCharType="begin"/>
          </w:r>
          <w:r>
            <w:instrText xml:space="preserve"> HYPERLINK \l _Toc864634590_WPSOffice_Level2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7812d125-90ff-4016-9698-0cfcd9404607}"/>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一、收入支出决算总表</w:t>
              </w:r>
            </w:sdtContent>
          </w:sdt>
          <w:r>
            <w:tab/>
          </w:r>
          <w:bookmarkStart w:id="61" w:name="_Toc864634590_WPSOffice_Level2Page"/>
          <w:r>
            <w:t>36</w:t>
          </w:r>
          <w:bookmarkEnd w:id="61"/>
          <w:r>
            <w:fldChar w:fldCharType="end"/>
          </w:r>
        </w:p>
        <w:p>
          <w:pPr>
            <w:pStyle w:val="37"/>
            <w:tabs>
              <w:tab w:val="right" w:leader="dot" w:pos="8844"/>
            </w:tabs>
          </w:pPr>
          <w:r>
            <w:fldChar w:fldCharType="begin"/>
          </w:r>
          <w:r>
            <w:instrText xml:space="preserve"> HYPERLINK \l _Toc720479298_WPSOffice_Level2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b785e98c-9c08-45d1-9abf-633047b37215}"/>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二、收入决算表</w:t>
              </w:r>
            </w:sdtContent>
          </w:sdt>
          <w:r>
            <w:tab/>
          </w:r>
          <w:bookmarkStart w:id="62" w:name="_Toc720479298_WPSOffice_Level2Page"/>
          <w:r>
            <w:t>36</w:t>
          </w:r>
          <w:bookmarkEnd w:id="62"/>
          <w:r>
            <w:fldChar w:fldCharType="end"/>
          </w:r>
        </w:p>
        <w:p>
          <w:pPr>
            <w:pStyle w:val="37"/>
            <w:tabs>
              <w:tab w:val="right" w:leader="dot" w:pos="8844"/>
            </w:tabs>
          </w:pPr>
          <w:r>
            <w:fldChar w:fldCharType="begin"/>
          </w:r>
          <w:r>
            <w:instrText xml:space="preserve"> HYPERLINK \l _Toc1619542913_WPSOffice_Level2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a76be48-c7ee-461c-8e9e-831b25a30a1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三、支出决算表</w:t>
              </w:r>
            </w:sdtContent>
          </w:sdt>
          <w:r>
            <w:tab/>
          </w:r>
          <w:bookmarkStart w:id="63" w:name="_Toc1619542913_WPSOffice_Level2Page"/>
          <w:r>
            <w:t>36</w:t>
          </w:r>
          <w:bookmarkEnd w:id="63"/>
          <w:r>
            <w:fldChar w:fldCharType="end"/>
          </w:r>
        </w:p>
        <w:p>
          <w:pPr>
            <w:pStyle w:val="37"/>
            <w:tabs>
              <w:tab w:val="right" w:leader="dot" w:pos="8844"/>
            </w:tabs>
          </w:pPr>
          <w:r>
            <w:fldChar w:fldCharType="begin"/>
          </w:r>
          <w:r>
            <w:instrText xml:space="preserve"> HYPERLINK \l _Toc350335591_WPSOffice_Level2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2a9720d1-339f-4471-b604-efa0cc17a107}"/>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四、财政拨款收入支出决算总表</w:t>
              </w:r>
            </w:sdtContent>
          </w:sdt>
          <w:r>
            <w:tab/>
          </w:r>
          <w:bookmarkStart w:id="64" w:name="_Toc350335591_WPSOffice_Level2Page"/>
          <w:r>
            <w:t>36</w:t>
          </w:r>
          <w:bookmarkEnd w:id="64"/>
          <w:r>
            <w:fldChar w:fldCharType="end"/>
          </w:r>
        </w:p>
        <w:p>
          <w:pPr>
            <w:pStyle w:val="37"/>
            <w:tabs>
              <w:tab w:val="right" w:leader="dot" w:pos="8844"/>
            </w:tabs>
          </w:pPr>
          <w:r>
            <w:fldChar w:fldCharType="begin"/>
          </w:r>
          <w:r>
            <w:instrText xml:space="preserve"> HYPERLINK \l _Toc1635056805_WPSOffice_Level2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1bed635-f1fe-489e-b68e-a1468a7bab64}"/>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五、财政拨款支出决算明细表</w:t>
              </w:r>
            </w:sdtContent>
          </w:sdt>
          <w:r>
            <w:tab/>
          </w:r>
          <w:bookmarkStart w:id="65" w:name="_Toc1635056805_WPSOffice_Level2Page"/>
          <w:r>
            <w:t>36</w:t>
          </w:r>
          <w:bookmarkEnd w:id="65"/>
          <w:r>
            <w:fldChar w:fldCharType="end"/>
          </w:r>
        </w:p>
        <w:p>
          <w:pPr>
            <w:pStyle w:val="37"/>
            <w:tabs>
              <w:tab w:val="right" w:leader="dot" w:pos="8844"/>
            </w:tabs>
          </w:pPr>
          <w:r>
            <w:fldChar w:fldCharType="begin"/>
          </w:r>
          <w:r>
            <w:instrText xml:space="preserve"> HYPERLINK \l _Toc1176837976_WPSOffice_Level2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4cb6d1ab-c285-4c83-81ad-6be324ddb5f2}"/>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六、一般公共预算财政拨款支出决算表</w:t>
              </w:r>
            </w:sdtContent>
          </w:sdt>
          <w:r>
            <w:tab/>
          </w:r>
          <w:bookmarkStart w:id="66" w:name="_Toc1176837976_WPSOffice_Level2Page"/>
          <w:r>
            <w:t>36</w:t>
          </w:r>
          <w:bookmarkEnd w:id="66"/>
          <w:r>
            <w:fldChar w:fldCharType="end"/>
          </w:r>
        </w:p>
        <w:p>
          <w:pPr>
            <w:pStyle w:val="37"/>
            <w:tabs>
              <w:tab w:val="right" w:leader="dot" w:pos="8844"/>
            </w:tabs>
          </w:pPr>
          <w:r>
            <w:fldChar w:fldCharType="begin"/>
          </w:r>
          <w:r>
            <w:instrText xml:space="preserve"> HYPERLINK \l _Toc240030355_WPSOffice_Level2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3de705b8-8568-414e-907b-5e8ae2abdd9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七、一般公共预算财政拨款支出决算明细表</w:t>
              </w:r>
            </w:sdtContent>
          </w:sdt>
          <w:r>
            <w:tab/>
          </w:r>
          <w:bookmarkStart w:id="67" w:name="_Toc240030355_WPSOffice_Level2Page"/>
          <w:r>
            <w:t>36</w:t>
          </w:r>
          <w:bookmarkEnd w:id="67"/>
          <w:r>
            <w:fldChar w:fldCharType="end"/>
          </w:r>
        </w:p>
        <w:p>
          <w:pPr>
            <w:pStyle w:val="37"/>
            <w:tabs>
              <w:tab w:val="right" w:leader="dot" w:pos="8844"/>
            </w:tabs>
          </w:pPr>
          <w:r>
            <w:fldChar w:fldCharType="begin"/>
          </w:r>
          <w:r>
            <w:instrText xml:space="preserve"> HYPERLINK \l _Toc556435242_WPSOffice_Level2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336df12c-ca82-4062-b245-b2daf1b86147}"/>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八、一般公共预算财政拨款基本支出决算表</w:t>
              </w:r>
            </w:sdtContent>
          </w:sdt>
          <w:r>
            <w:tab/>
          </w:r>
          <w:bookmarkStart w:id="68" w:name="_Toc556435242_WPSOffice_Level2Page"/>
          <w:r>
            <w:t>36</w:t>
          </w:r>
          <w:bookmarkEnd w:id="68"/>
          <w:r>
            <w:fldChar w:fldCharType="end"/>
          </w:r>
        </w:p>
        <w:p>
          <w:pPr>
            <w:pStyle w:val="37"/>
            <w:tabs>
              <w:tab w:val="right" w:leader="dot" w:pos="8844"/>
            </w:tabs>
          </w:pPr>
          <w:r>
            <w:fldChar w:fldCharType="begin"/>
          </w:r>
          <w:r>
            <w:instrText xml:space="preserve"> HYPERLINK \l _Toc442328435_WPSOffice_Level2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d1d97720-ec66-4d19-9584-c95707841aa1}"/>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九、一般公共预算财政拨款项目支出决算表</w:t>
              </w:r>
            </w:sdtContent>
          </w:sdt>
          <w:r>
            <w:tab/>
          </w:r>
          <w:bookmarkStart w:id="69" w:name="_Toc442328435_WPSOffice_Level2Page"/>
          <w:r>
            <w:t>36</w:t>
          </w:r>
          <w:bookmarkEnd w:id="69"/>
          <w:r>
            <w:fldChar w:fldCharType="end"/>
          </w:r>
        </w:p>
        <w:p>
          <w:pPr>
            <w:pStyle w:val="37"/>
            <w:tabs>
              <w:tab w:val="right" w:leader="dot" w:pos="8844"/>
            </w:tabs>
          </w:pPr>
          <w:r>
            <w:fldChar w:fldCharType="begin"/>
          </w:r>
          <w:r>
            <w:instrText xml:space="preserve"> HYPERLINK \l _Toc309098174_WPSOffice_Level2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fe1c09d3-b0a1-40cb-b0ad-1a32f638839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十、政府性基金预算财政拨款收入支出决算表</w:t>
              </w:r>
            </w:sdtContent>
          </w:sdt>
          <w:r>
            <w:tab/>
          </w:r>
          <w:bookmarkStart w:id="70" w:name="_Toc309098174_WPSOffice_Level2Page"/>
          <w:r>
            <w:t>36</w:t>
          </w:r>
          <w:bookmarkEnd w:id="70"/>
          <w:r>
            <w:fldChar w:fldCharType="end"/>
          </w:r>
        </w:p>
        <w:p>
          <w:pPr>
            <w:pStyle w:val="37"/>
            <w:tabs>
              <w:tab w:val="right" w:leader="dot" w:pos="8844"/>
            </w:tabs>
          </w:pPr>
          <w:r>
            <w:fldChar w:fldCharType="begin"/>
          </w:r>
          <w:r>
            <w:instrText xml:space="preserve"> HYPERLINK \l _Toc788931228_WPSOffice_Level2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7d143a59-974a-4a62-99e4-4bf9f05b11b0}"/>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十一、国有资本经营预算财政拨款收入支出决算表</w:t>
              </w:r>
            </w:sdtContent>
          </w:sdt>
          <w:r>
            <w:tab/>
          </w:r>
          <w:bookmarkStart w:id="71" w:name="_Toc788931228_WPSOffice_Level2Page"/>
          <w:r>
            <w:t>36</w:t>
          </w:r>
          <w:bookmarkEnd w:id="71"/>
          <w:r>
            <w:fldChar w:fldCharType="end"/>
          </w:r>
        </w:p>
        <w:p>
          <w:pPr>
            <w:pStyle w:val="37"/>
            <w:tabs>
              <w:tab w:val="right" w:leader="dot" w:pos="8844"/>
            </w:tabs>
          </w:pPr>
          <w:r>
            <w:fldChar w:fldCharType="begin"/>
          </w:r>
          <w:r>
            <w:instrText xml:space="preserve"> HYPERLINK \l _Toc1584871522_WPSOffice_Level2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199a9507-6e35-4aed-a279-f4597ad24e60}"/>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十二、国有资本经营预算财政拨款支出决算表</w:t>
              </w:r>
            </w:sdtContent>
          </w:sdt>
          <w:r>
            <w:tab/>
          </w:r>
          <w:bookmarkStart w:id="72" w:name="_Toc1584871522_WPSOffice_Level2Page"/>
          <w:r>
            <w:t>36</w:t>
          </w:r>
          <w:bookmarkEnd w:id="72"/>
          <w:r>
            <w:fldChar w:fldCharType="end"/>
          </w:r>
        </w:p>
        <w:p>
          <w:pPr>
            <w:pStyle w:val="37"/>
            <w:tabs>
              <w:tab w:val="right" w:leader="dot" w:pos="8844"/>
            </w:tabs>
          </w:pPr>
          <w:r>
            <w:fldChar w:fldCharType="begin"/>
          </w:r>
          <w:r>
            <w:instrText xml:space="preserve"> HYPERLINK \l _Toc822825650_WPSOffice_Level2 </w:instrText>
          </w:r>
          <w:r>
            <w:fldChar w:fldCharType="separate"/>
          </w:r>
          <w:sdt>
            <w:sdtPr>
              <w:rPr>
                <w:rFonts w:ascii="Times New Roman" w:hAnsi="Times New Roman" w:eastAsia="宋体" w:cs="Times New Roman"/>
                <w:kern w:val="2"/>
                <w:sz w:val="21"/>
                <w:szCs w:val="24"/>
                <w:lang w:val="en-US" w:eastAsia="zh-CN" w:bidi="ar-SA"/>
              </w:rPr>
              <w:id w:val="633756171"/>
              <w:placeholder>
                <w:docPart w:val="{16b81612-b6f8-42ac-903e-3f651fb37284}"/>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十三、财政拨款“三公”经费支出决算表</w:t>
              </w:r>
            </w:sdtContent>
          </w:sdt>
          <w:r>
            <w:tab/>
          </w:r>
          <w:bookmarkStart w:id="73" w:name="_Toc822825650_WPSOffice_Level2Page"/>
          <w:r>
            <w:t>36</w:t>
          </w:r>
          <w:bookmarkEnd w:id="73"/>
          <w:r>
            <w:fldChar w:fldCharType="end"/>
          </w:r>
          <w:bookmarkEnd w:id="14"/>
        </w:p>
      </w:sdtContent>
    </w:sdt>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b w:val="0"/>
          <w:color w:val="auto"/>
          <w:highlight w:val="none"/>
          <w:lang w:val="en-US" w:eastAsia="zh-CN"/>
        </w:rPr>
      </w:pPr>
    </w:p>
    <w:p>
      <w:pPr>
        <w:pStyle w:val="2"/>
        <w:rPr>
          <w:rFonts w:hint="eastAsia"/>
        </w:rPr>
      </w:pPr>
    </w:p>
    <w:p>
      <w:pPr>
        <w:pStyle w:val="7"/>
        <w:rPr>
          <w:rFonts w:hint="eastAsia" w:ascii="黑体" w:hAnsi="黑体" w:eastAsia="黑体"/>
          <w:b w:val="0"/>
          <w:color w:val="auto"/>
          <w:highlight w:val="none"/>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rPr>
      </w:pPr>
    </w:p>
    <w:p>
      <w:pPr>
        <w:rPr>
          <w:rFonts w:hint="eastAsia"/>
          <w:color w:val="auto"/>
        </w:rPr>
      </w:pPr>
    </w:p>
    <w:p>
      <w:pPr>
        <w:pStyle w:val="7"/>
        <w:rPr>
          <w:rFonts w:hint="eastAsia"/>
          <w:color w:val="auto"/>
        </w:rPr>
      </w:pPr>
    </w:p>
    <w:p>
      <w:pPr>
        <w:rPr>
          <w:rFonts w:hint="eastAsia"/>
          <w:color w:val="auto"/>
        </w:rPr>
      </w:pPr>
    </w:p>
    <w:p>
      <w:pPr>
        <w:pStyle w:val="3"/>
        <w:jc w:val="center"/>
        <w:outlineLvl w:val="0"/>
        <w:rPr>
          <w:rStyle w:val="30"/>
          <w:rFonts w:ascii="黑体" w:hAnsi="黑体" w:eastAsia="黑体"/>
          <w:b/>
          <w:bCs w:val="0"/>
          <w:color w:val="auto"/>
          <w:highlight w:val="none"/>
        </w:rPr>
      </w:pPr>
      <w:bookmarkStart w:id="74" w:name="_Toc1873613384_WPSOffice_Level1"/>
      <w:r>
        <w:rPr>
          <w:rStyle w:val="30"/>
          <w:rFonts w:hint="eastAsia" w:ascii="黑体" w:hAnsi="黑体" w:eastAsia="黑体"/>
          <w:b/>
          <w:bCs w:val="0"/>
          <w:color w:val="auto"/>
          <w:highlight w:val="none"/>
        </w:rPr>
        <w:t>第一部分 部门概况</w:t>
      </w:r>
      <w:bookmarkEnd w:id="74"/>
    </w:p>
    <w:p>
      <w:pPr>
        <w:widowControl/>
        <w:jc w:val="left"/>
        <w:rPr>
          <w:rFonts w:ascii="黑体" w:eastAsia="黑体"/>
          <w:color w:val="auto"/>
          <w:sz w:val="32"/>
          <w:szCs w:val="32"/>
          <w:highlight w:val="none"/>
        </w:rPr>
      </w:pPr>
    </w:p>
    <w:p>
      <w:pPr>
        <w:pStyle w:val="4"/>
        <w:pageBreakBefore w:val="0"/>
        <w:widowControl w:val="0"/>
        <w:numPr>
          <w:ilvl w:val="0"/>
          <w:numId w:val="1"/>
        </w:numPr>
        <w:kinsoku/>
        <w:wordWrap/>
        <w:overflowPunct/>
        <w:topLinePunct w:val="0"/>
        <w:autoSpaceDE/>
        <w:autoSpaceDN/>
        <w:bidi w:val="0"/>
        <w:spacing w:before="0" w:after="0"/>
        <w:textAlignment w:val="auto"/>
        <w:outlineLvl w:val="1"/>
        <w:rPr>
          <w:rStyle w:val="31"/>
          <w:rFonts w:hint="eastAsia" w:ascii="黑体" w:hAnsi="黑体" w:eastAsia="黑体"/>
          <w:b w:val="0"/>
          <w:bCs w:val="0"/>
          <w:color w:val="auto"/>
          <w:highlight w:val="none"/>
          <w:lang w:eastAsia="zh-CN"/>
        </w:rPr>
      </w:pPr>
      <w:bookmarkStart w:id="75" w:name="_Toc64929709_WPSOffice_Level2"/>
      <w:bookmarkStart w:id="76" w:name="_Toc15396600"/>
      <w:bookmarkStart w:id="77" w:name="_Toc15377197"/>
      <w:r>
        <w:rPr>
          <w:rFonts w:hint="eastAsia" w:ascii="黑体" w:hAnsi="黑体" w:eastAsia="黑体"/>
          <w:color w:val="auto"/>
          <w:kern w:val="2"/>
          <w:sz w:val="32"/>
          <w:szCs w:val="24"/>
        </w:rPr>
        <w:t>部门职责</w:t>
      </w:r>
      <w:bookmarkEnd w:id="75"/>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color w:val="auto"/>
          <w:sz w:val="32"/>
          <w:szCs w:val="32"/>
          <w:lang w:eastAsia="zh-CN"/>
        </w:rPr>
      </w:pPr>
      <w:r>
        <w:rPr>
          <w:rStyle w:val="31"/>
          <w:rFonts w:hint="eastAsia" w:ascii="楷体_GB2312" w:hAnsi="楷体_GB2312" w:eastAsia="楷体_GB2312" w:cs="楷体_GB2312"/>
          <w:b w:val="0"/>
          <w:bCs w:val="0"/>
          <w:color w:val="auto"/>
          <w:highlight w:val="none"/>
          <w:lang w:eastAsia="zh-CN"/>
        </w:rPr>
        <w:t xml:space="preserve">  </w:t>
      </w:r>
      <w:r>
        <w:rPr>
          <w:rStyle w:val="31"/>
          <w:rFonts w:hint="eastAsia" w:ascii="仿宋_GB2312" w:hAnsi="仿宋_GB2312" w:eastAsia="仿宋_GB2312" w:cs="仿宋_GB2312"/>
          <w:b w:val="0"/>
          <w:bCs w:val="0"/>
          <w:color w:val="auto"/>
          <w:highlight w:val="none"/>
          <w:lang w:eastAsia="zh-CN"/>
        </w:rPr>
        <w:t xml:space="preserve">  </w:t>
      </w:r>
      <w:bookmarkStart w:id="78" w:name="_Toc64929709_WPSOffice_Level3"/>
      <w:r>
        <w:rPr>
          <w:rStyle w:val="31"/>
          <w:rFonts w:hint="eastAsia" w:ascii="仿宋_GB2312" w:hAnsi="仿宋_GB2312" w:eastAsia="仿宋_GB2312" w:cs="仿宋_GB2312"/>
          <w:b w:val="0"/>
          <w:bCs w:val="0"/>
          <w:color w:val="auto"/>
          <w:sz w:val="32"/>
          <w:szCs w:val="32"/>
          <w:highlight w:val="none"/>
          <w:lang w:eastAsia="zh-CN"/>
        </w:rPr>
        <w:t>（一）主要职能。</w:t>
      </w:r>
      <w:bookmarkEnd w:id="78"/>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1.承担依法治区重大问题的政策研究，协调有关方面提出全面依法治区的规划建议，统筹协调推进依法治区的组织实施和督察工作。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2.组织承办送区政府征求意见的地方规章，汇总上报修改意见工作。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3.负责区政府规范性文件、重大行政决策、重要行政措施发布前的合法性审查。承办区政府、各镇政府和区政府各部门报送区政府的规范性文件的备案审查及区政府有关规范性文件清理工作。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4.承担统筹推进法治政府建设的责任。指导监督区政府各部门、各乡镇(街道)政府依法行政工作。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5.负责综合协调、监督检查行政执法，承担推进行政执法体制改革有关工作。负责全区行政执法主体、人员资格审查和行政执法证、监督检查证的审核管理及人员培训工作。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指导监督全区行政复议、行政应诉和行政赔偿工作，承办向区政府申请的行政复议、行政赔偿、行政裁决案件，代理区政府行政应诉案件。组织区政府行政行为听证等工作。指导协调仲裁业务工作，牵头负责全区行政调解的指导、督促和协调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7.承担区政府法律顾问的聘任和管理。负责全区公共法律服务体系建设规划并指导实施。监督管理律师、法律援助、司法鉴定、公证和基层法律服务行业工作。负责全区外来企业、民营企业法律服务工作。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8.承担统筹规划法治社会建设的责任。负责拟订法治宣传教育规划，组织实施普法宣传工作。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 指导人民调解和行业性专业性调解等工作。推动人民参与和促进法治建设，汇同有关部门做好人民监督员和人民陪审员选任工作。指导管理司法所建设。</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10.承担社区矫正和指导刑满释放人员安置帮教工作。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11.承担本系统财务、装备、设施、警车管理等保障工作。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12.规划、协调、指导法治人才队伍建设相关工作，指导监督本系统队伍建设。</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13.完成区委、区政府和上级主管部门交办的其他工作。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79" w:name="_Toc1358573033_WPSOffice_Level1"/>
      <w:bookmarkStart w:id="80" w:name="_Toc709271087_WPSOffice_Level1"/>
      <w:bookmarkStart w:id="81" w:name="_Toc1483023753_WPSOffice_Level3"/>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bookmarkEnd w:id="79"/>
      <w:bookmarkEnd w:id="80"/>
      <w:r>
        <w:rPr>
          <w:rFonts w:hint="eastAsia" w:ascii="仿宋_GB2312" w:hAnsi="仿宋_GB2312" w:eastAsia="仿宋_GB2312" w:cs="仿宋_GB2312"/>
          <w:color w:val="auto"/>
          <w:sz w:val="32"/>
          <w:szCs w:val="32"/>
          <w:highlight w:val="none"/>
          <w:lang w:eastAsia="zh-CN"/>
        </w:rPr>
        <w:t>机构设置</w:t>
      </w:r>
      <w:bookmarkEnd w:id="81"/>
    </w:p>
    <w:p>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广元市昭化</w:t>
      </w:r>
      <w:r>
        <w:rPr>
          <w:rFonts w:hint="eastAsia" w:ascii="仿宋_GB2312" w:hAnsi="仿宋_GB2312" w:eastAsia="仿宋_GB2312" w:cs="仿宋_GB2312"/>
          <w:color w:val="auto"/>
          <w:sz w:val="32"/>
          <w:szCs w:val="32"/>
          <w:highlight w:val="none"/>
          <w:lang w:val="en-US" w:eastAsia="zh-CN"/>
        </w:rPr>
        <w:t>区司法局是一级预算单位，下属二级预算单位0个。</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56" w:lineRule="exact"/>
        <w:ind w:right="0" w:firstLine="640" w:firstLineChars="200"/>
        <w:jc w:val="both"/>
        <w:textAlignment w:val="auto"/>
        <w:rPr>
          <w:rFonts w:hint="eastAsia" w:ascii="Times New Roman" w:hAnsi="Times New Roman" w:eastAsia="黑体" w:cs="Times New Roman"/>
          <w:b w:val="0"/>
          <w:color w:val="auto"/>
          <w:highlight w:val="none"/>
          <w:lang w:val="en-US" w:eastAsia="zh-CN"/>
        </w:rPr>
      </w:pPr>
      <w:bookmarkStart w:id="82" w:name="_Toc937524973"/>
      <w:bookmarkStart w:id="83" w:name="_Toc643982899_WPSOffice_Level2"/>
      <w:bookmarkStart w:id="84" w:name="_Toc56324611_WPSOffice_Level2"/>
      <w:bookmarkStart w:id="85" w:name="_Toc1483023753_WPSOffice_Level2"/>
      <w:r>
        <w:rPr>
          <w:rFonts w:hint="eastAsia" w:ascii="Times New Roman" w:hAnsi="Times New Roman" w:eastAsia="黑体" w:cs="Times New Roman"/>
          <w:b w:val="0"/>
          <w:color w:val="auto"/>
          <w:highlight w:val="none"/>
          <w:lang w:val="en-US" w:eastAsia="zh-CN"/>
        </w:rPr>
        <w:t>二、2023年重点工作</w:t>
      </w:r>
      <w:bookmarkEnd w:id="76"/>
      <w:bookmarkEnd w:id="77"/>
      <w:r>
        <w:rPr>
          <w:rFonts w:hint="eastAsia" w:ascii="Times New Roman" w:hAnsi="Times New Roman" w:eastAsia="黑体" w:cs="Times New Roman"/>
          <w:b w:val="0"/>
          <w:color w:val="auto"/>
          <w:highlight w:val="none"/>
          <w:lang w:val="en-US" w:eastAsia="zh-CN"/>
        </w:rPr>
        <w:t>完成情况</w:t>
      </w:r>
      <w:bookmarkEnd w:id="82"/>
      <w:bookmarkEnd w:id="83"/>
      <w:bookmarkEnd w:id="84"/>
      <w:bookmarkEnd w:id="85"/>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ind w:right="210" w:rightChars="100" w:firstLine="642" w:firstLineChars="200"/>
        <w:textAlignment w:val="auto"/>
        <w:rPr>
          <w:rFonts w:hint="eastAsia" w:ascii="仿宋_GB2312" w:hAnsi="仿宋_GB2312" w:eastAsia="仿宋_GB2312" w:cs="仿宋_GB2312"/>
          <w:color w:val="auto"/>
          <w:sz w:val="32"/>
          <w:szCs w:val="32"/>
        </w:rPr>
      </w:pPr>
      <w:bookmarkStart w:id="86" w:name="_Toc504525551_WPSOffice_Level1"/>
      <w:bookmarkStart w:id="87" w:name="_Toc15377204"/>
      <w:bookmarkStart w:id="88" w:name="_Toc15396602"/>
      <w:bookmarkStart w:id="89" w:name="_Toc1404379329_WPSOffice_Level1"/>
      <w:bookmarkStart w:id="90" w:name="_Toc61595035"/>
      <w:r>
        <w:rPr>
          <w:rFonts w:hint="eastAsia"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聚焦巩固拓展，法治政府持续深化。</w:t>
      </w:r>
      <w:r>
        <w:rPr>
          <w:rFonts w:hint="eastAsia" w:ascii="仿宋_GB2312" w:hAnsi="仿宋_GB2312" w:eastAsia="仿宋_GB2312" w:cs="仿宋_GB2312"/>
          <w:color w:val="auto"/>
          <w:sz w:val="32"/>
          <w:szCs w:val="32"/>
        </w:rPr>
        <w:t>一是法治政府示范创建取得实效。建立以区长任指挥长的“1+10+N”法治政府建设示范创建组织领导体系，全面完成100项重点创建指标，成功创建为首批省级法治政府建设示范区，“企能办”等特色经验在全省范围推广。区政府主要领导在全面依法治市委员会第六次会议述法，得到市委主要领导高度肯定。高标准承办全市法治政府建设示范创建现场会，并作经验交流发言。《昭化区：群众舒心企业点赞，法治政府建设开新篇》等经验做法被四川经济日报、“法治四川”等媒体刊载，法治政府建设影响力显著提升。二是做实合法性审查（核）和行政复议工作。印发《广元市昭化区关于进一步加强镇合法性审查工作实施意见》，创新推行镇合法性审查“三级分类”审查制度，通过“公开招聘+政府购买服务”充实审查人员19人。今年来，审查重大行政决策、政府合同协议、行政规范性文件139件，协助处理涉法事务48件，提出法律意见建议543条。扎实开展行政复议质量提升年活动，积极探索“源头预防、专业调解、实质化解”的行政争议多元解决模式，行政争议有效化解。截至目前，办理行政复议案件11件，行政应诉案件7件，行政机关负责人出庭应诉率、胜诉率实现“两个100%”。三是持续加强行政执法监督工作。常态化开展“大学习大练兵大比武”活动，举办能力提升培训班实现行政执法人员和法制审核人员年度学习培训全覆盖。扎实开展行政执法监督专项督导，深入开展道路交通安全和运输执法领域突出问题专项整治，反馈整改问题49个，整改率100%。创新开展“四大行动”，建立涉企行政执法监督联系点2个，企业家·司法局长恳谈会形成常态，收集意见建设12条。认真开展行政执法案件评查，建立“集中评查+日常抽检”评查机制，评查反馈、整改问题180余个。</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ind w:right="210" w:rightChars="100" w:firstLine="642" w:firstLineChars="200"/>
        <w:textAlignment w:val="auto"/>
        <w:rPr>
          <w:rFonts w:hint="eastAsia" w:ascii="仿宋_GB2312" w:hAnsi="仿宋_GB2312" w:eastAsia="仿宋_GB2312" w:cs="仿宋_GB2312"/>
          <w:color w:val="auto"/>
          <w:sz w:val="32"/>
          <w:szCs w:val="32"/>
        </w:rPr>
      </w:pPr>
      <w:r>
        <w:rPr>
          <w:rFonts w:hint="eastAsia"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聚焦普治并举，法治社会有序推动。</w:t>
      </w:r>
      <w:r>
        <w:rPr>
          <w:rFonts w:hint="eastAsia" w:ascii="仿宋_GB2312" w:hAnsi="仿宋_GB2312" w:eastAsia="仿宋_GB2312" w:cs="仿宋_GB2312"/>
          <w:color w:val="auto"/>
          <w:sz w:val="32"/>
          <w:szCs w:val="32"/>
        </w:rPr>
        <w:t>一是高效推进普法工作。召开全区“八五”普法中期评估工作会，全面总结前期工作成效，研究部署2023年普法宣传工作，顺利通过全省“八五”普法中期评估验收。扎实开展“法律七进+”“一月一主题”等法治宣传活动800余场次，通过短信平台向群众发布普法短信80余万条，群众法治意识大幅提升。二是深入推进依法治理。高质量打造昭化县衙法治文化教育基地，“法治春联送祝福”“法治灯谜闹元宵”等法治文化活动形成常态。大力实施“法律明白人”培养工程，建成“法律明白人”实践工作站3个，培养培训法律明白人750余名。积极开展民主法治示范创建，元坝一小成功创建省级依法治校示范校，元坝镇青梅路社区被命名为省级“民主法治示范村”，区禁毒教育基地被命名为第四批“四川省法治宣传教育基地”。三是持续推进学法考法。全区国家工作人员学法考法注册2719人，已完成年度学分2708人，占比99.6%。现已完成考试2663人，其中合格人数2659人，合格率99.8%，优秀率83%。</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ind w:right="210" w:rightChars="100" w:firstLine="642" w:firstLineChars="200"/>
        <w:textAlignment w:val="auto"/>
        <w:rPr>
          <w:rFonts w:hint="eastAsia" w:ascii="仿宋_GB2312" w:hAnsi="仿宋_GB2312" w:eastAsia="仿宋_GB2312" w:cs="仿宋_GB2312"/>
          <w:color w:val="auto"/>
          <w:sz w:val="32"/>
          <w:szCs w:val="32"/>
        </w:rPr>
      </w:pPr>
      <w:r>
        <w:rPr>
          <w:rFonts w:hint="eastAsia"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聚焦法治惠民，法律服务提质增效</w:t>
      </w:r>
      <w:r>
        <w:rPr>
          <w:rFonts w:hint="eastAsia" w:ascii="仿宋_GB2312" w:hAnsi="仿宋_GB2312" w:eastAsia="仿宋_GB2312" w:cs="仿宋_GB2312"/>
          <w:color w:val="auto"/>
          <w:sz w:val="32"/>
          <w:szCs w:val="32"/>
        </w:rPr>
        <w:t>。一是持续推进公共法律服体系建设。打造“区-镇-村（社）”三级公共法律服务实体平台，覆盖率100%。建立公共法律服务工作站示范点2个，开设特殊人群绿色通道，设置“军人优先接待窗口”和“农民工法律服务窗口”，区镇两级公共法律服务平台运行率达100%。出台《进一步做好全区村（社区）法律顾问工作的通知》，镇村法律顾问实现全覆盖。推进法律服务行业规范化建设。区新时代文明实践中心“法律普及”志愿服务项目被评为全市优秀志愿服务项目。二是认真做好法律援助民生工程。建立法律援助区镇村三级联办、异地协作办案和“容缺受理”机制，为困难群众“建高速”“架桥梁”“开绿灯”。全年办理法律援助案件206件，提供刑事法律帮助179件，完成目标任务的108.42%。提供咨询1932件，服务人次2295人次，分别完成目标任务的154.56%和140.79%。扎实开展“治理农民工欠薪”等法律服务专项行动，办结维权案件151件，挽回经济损失177万元。区法律援助中心1个案例被评为广元市劳动领域“十佳维权案例”，创新“五零”法律援助服务模式，工作经验被省司法厅简报刊载推广。三是巩固拓展公证业务办理。扎实推进重点项目建设公证法律服务，开展公证业务宣传活动12场次，为10家企业和政府项目提供公证法律服务，办理公证案件93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ind w:right="210" w:rightChars="100" w:firstLine="642" w:firstLineChars="200"/>
        <w:textAlignment w:val="auto"/>
        <w:rPr>
          <w:rFonts w:hint="eastAsia" w:ascii="仿宋_GB2312" w:hAnsi="仿宋_GB2312" w:eastAsia="仿宋_GB2312" w:cs="仿宋_GB2312"/>
          <w:color w:val="auto"/>
          <w:sz w:val="32"/>
          <w:szCs w:val="32"/>
        </w:rPr>
      </w:pPr>
      <w:r>
        <w:rPr>
          <w:rFonts w:hint="eastAsia" w:hAnsi="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聚焦风险防范，平安建设基础夯实。</w:t>
      </w:r>
      <w:r>
        <w:rPr>
          <w:rFonts w:hint="eastAsia" w:ascii="仿宋_GB2312" w:hAnsi="仿宋_GB2312" w:eastAsia="仿宋_GB2312" w:cs="仿宋_GB2312"/>
          <w:color w:val="auto"/>
          <w:sz w:val="32"/>
          <w:szCs w:val="32"/>
        </w:rPr>
        <w:t>一是深化调解规范化建设。探索“大所带小所”工作模式，有序推进王家司法所创建第四批省级“枫桥式司法所”，顺利通过评估验收。全覆盖开展人民调解员培训20余场次，参训900余人次。昭化镇人民调解委员会被司法部表彰为全国模范人民调解委员会，工作做法被法治四川网、“四川司法”公众号宣传推广。二是切实有效化解矛盾纠纷。开展矛盾纠纷“大起底大排查大化解”专项行动，组织司法行政力量下沉推动基层矛盾纠纷化解，排查矛盾纠纷6000余次，调处2560余件，人民调解员年人均调解案件3件，全面完成年度既定目标。三是做实做细社区矫正和安置帮教工作。完成社区矫正档案规范管理，常态化开展帮扶教育，配置国产化办公设备，社区矫正三化水平持续提升，刑满释放人员安置率、帮教率达100％。切实做好成都大运会等重点时段社区矫正安置帮教安保维稳工作，无脱管漏管和再犯罪情形发生。</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ind w:right="210" w:rightChars="100" w:firstLine="640" w:firstLineChars="200"/>
        <w:textAlignment w:val="auto"/>
        <w:rPr>
          <w:rFonts w:hint="default" w:ascii="Cambria"/>
          <w:color w:val="auto"/>
          <w:kern w:val="2"/>
          <w:sz w:val="32"/>
          <w:szCs w:val="24"/>
        </w:rPr>
      </w:pPr>
      <w:bookmarkStart w:id="91" w:name="_Toc1464944191_WPSOffice_Level2"/>
      <w:r>
        <w:rPr>
          <w:rFonts w:hint="eastAsia" w:ascii="黑体" w:hAnsi="黑体" w:eastAsia="黑体"/>
          <w:color w:val="auto"/>
          <w:kern w:val="2"/>
          <w:sz w:val="32"/>
          <w:szCs w:val="24"/>
        </w:rPr>
        <w:t>二、机构设置</w:t>
      </w:r>
      <w:bookmarkEnd w:id="91"/>
    </w:p>
    <w:p>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lang w:eastAsia="zh-CN"/>
        </w:rPr>
        <w:t>广元市昭化区司法局</w:t>
      </w:r>
      <w:r>
        <w:rPr>
          <w:rFonts w:hint="eastAsia" w:ascii="仿宋_GB2312" w:hAnsi="仿宋_GB2312" w:eastAsia="仿宋_GB2312"/>
          <w:color w:val="auto"/>
          <w:kern w:val="2"/>
          <w:sz w:val="32"/>
          <w:szCs w:val="24"/>
        </w:rPr>
        <w:t>部门属于一级预算单位，下属二级预算单位</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个，其中行政单位</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个，参照公务员法管理的事业单位</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个，其他事业单位</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个。</w:t>
      </w:r>
    </w:p>
    <w:p>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rPr>
        <w:t>纳入2023年度部门决算编制范围的二级预算单位包括：</w:t>
      </w:r>
      <w:r>
        <w:rPr>
          <w:rFonts w:hint="eastAsia" w:ascii="仿宋_GB2312" w:hAnsi="仿宋_GB2312" w:eastAsia="仿宋_GB2312"/>
          <w:color w:val="auto"/>
          <w:sz w:val="32"/>
          <w:szCs w:val="24"/>
          <w:lang w:eastAsia="zh-CN"/>
        </w:rPr>
        <w:t>无</w:t>
      </w:r>
    </w:p>
    <w:p>
      <w:pPr>
        <w:pStyle w:val="2"/>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rPr>
      </w:pPr>
    </w:p>
    <w:p>
      <w:pPr>
        <w:spacing w:beforeLines="0" w:afterLines="0" w:line="576" w:lineRule="exact"/>
        <w:ind w:firstLine="64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Style w:val="30"/>
          <w:rFonts w:ascii="黑体" w:hAnsi="黑体" w:eastAsia="黑体"/>
          <w:b w:val="0"/>
          <w:bCs/>
          <w:color w:val="auto"/>
          <w:highlight w:val="none"/>
        </w:rPr>
      </w:pPr>
      <w:bookmarkStart w:id="92" w:name="_Toc64929709_WPSOffice_Level1"/>
      <w:r>
        <w:rPr>
          <w:rStyle w:val="30"/>
          <w:rFonts w:hint="eastAsia" w:ascii="黑体" w:hAnsi="黑体" w:eastAsia="黑体"/>
          <w:b w:val="0"/>
          <w:bCs/>
          <w:color w:val="auto"/>
          <w:highlight w:val="none"/>
          <w:lang w:eastAsia="zh-CN"/>
        </w:rPr>
        <w:t xml:space="preserve">第二部分 </w:t>
      </w:r>
      <w:r>
        <w:rPr>
          <w:rStyle w:val="30"/>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rPr>
        <w:t>部门决算情况说明</w:t>
      </w:r>
      <w:bookmarkEnd w:id="86"/>
      <w:bookmarkEnd w:id="87"/>
      <w:bookmarkEnd w:id="88"/>
      <w:bookmarkEnd w:id="89"/>
      <w:bookmarkEnd w:id="90"/>
      <w:bookmarkEnd w:id="92"/>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93" w:name="_Toc858874779_WPSOffice_Level2"/>
      <w:bookmarkStart w:id="94" w:name="_Toc15377205"/>
      <w:bookmarkStart w:id="95" w:name="_Toc15396603"/>
      <w:bookmarkStart w:id="96" w:name="_Toc801783234_WPSOffice_Level2"/>
      <w:bookmarkStart w:id="97" w:name="_Toc265518138_WPSOffice_Level2"/>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93"/>
      <w:bookmarkEnd w:id="94"/>
      <w:bookmarkEnd w:id="95"/>
      <w:bookmarkEnd w:id="96"/>
      <w:bookmarkEnd w:id="97"/>
    </w:p>
    <w:p>
      <w:pPr>
        <w:spacing w:line="600" w:lineRule="exact"/>
        <w:ind w:firstLine="640" w:firstLineChars="200"/>
        <w:rPr>
          <w:rFonts w:hint="eastAsia" w:ascii="仿宋" w:hAnsi="仿宋" w:eastAsia="仿宋"/>
          <w:color w:val="auto"/>
          <w:sz w:val="32"/>
          <w:szCs w:val="32"/>
          <w:highlight w:val="none"/>
        </w:rPr>
      </w:pPr>
      <w:bookmarkStart w:id="98" w:name="_Toc1546110092_WPSOffice_Level2"/>
      <w:bookmarkStart w:id="99" w:name="_Toc1738284686_WPSOffice_Level2"/>
      <w:bookmarkStart w:id="100" w:name="_Toc15377206"/>
      <w:bookmarkStart w:id="101" w:name="_Toc15396604"/>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年度收、支总计1223.22万元。与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216.48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r>
        <w:rPr>
          <w:rFonts w:hint="eastAsia" w:ascii="仿宋" w:hAnsi="仿宋" w:eastAsia="仿宋"/>
          <w:color w:val="auto"/>
          <w:sz w:val="32"/>
          <w:szCs w:val="32"/>
          <w:highlight w:val="none"/>
        </w:rPr>
        <w:t>。</w:t>
      </w:r>
    </w:p>
    <w:p>
      <w:pPr>
        <w:pStyle w:val="2"/>
        <w:jc w:val="center"/>
        <w:rPr>
          <w:color w:val="auto"/>
        </w:rPr>
      </w:pPr>
      <w:r>
        <w:rPr>
          <w:color w:val="auto"/>
        </w:rPr>
        <w:drawing>
          <wp:inline distT="0" distB="0" distL="114300" distR="114300">
            <wp:extent cx="3530600" cy="1685290"/>
            <wp:effectExtent l="4445" t="4445" r="8255" b="5715"/>
            <wp:docPr id="1"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102" w:name="_Toc418240886_WPSOffice_Level2"/>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98"/>
      <w:bookmarkEnd w:id="99"/>
      <w:bookmarkEnd w:id="100"/>
      <w:bookmarkEnd w:id="101"/>
      <w:bookmarkEnd w:id="102"/>
    </w:p>
    <w:p>
      <w:pPr>
        <w:spacing w:line="600" w:lineRule="exact"/>
        <w:ind w:firstLine="640" w:firstLineChars="200"/>
        <w:outlineLvl w:val="9"/>
        <w:rPr>
          <w:color w:val="auto"/>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年本年收入合计1223.22万元，其中：一般公共预算财政拨款收入1223.22万元，占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color w:val="auto"/>
        </w:rPr>
      </w:pPr>
      <w:r>
        <w:rPr>
          <w:rFonts w:hint="eastAsia"/>
          <w:color w:val="auto"/>
          <w:lang w:val="en-US" w:eastAsia="zh-CN"/>
        </w:rPr>
        <w:t xml:space="preserve">              </w:t>
      </w:r>
      <w:r>
        <w:rPr>
          <w:color w:val="auto"/>
        </w:rPr>
        <w:drawing>
          <wp:inline distT="0" distB="0" distL="114300" distR="114300">
            <wp:extent cx="2947670" cy="1651000"/>
            <wp:effectExtent l="4445" t="4445" r="19685" b="20955"/>
            <wp:docPr id="102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numPr>
          <w:ilvl w:val="0"/>
          <w:numId w:val="2"/>
        </w:numPr>
        <w:spacing w:line="600" w:lineRule="exact"/>
        <w:ind w:firstLineChars="0"/>
        <w:outlineLvl w:val="1"/>
        <w:rPr>
          <w:rFonts w:hint="eastAsia" w:ascii="黑体" w:hAnsi="黑体" w:eastAsia="黑体"/>
          <w:color w:val="auto"/>
          <w:sz w:val="32"/>
          <w:szCs w:val="32"/>
          <w:highlight w:val="none"/>
        </w:rPr>
      </w:pPr>
      <w:bookmarkStart w:id="103" w:name="_Toc15396605"/>
      <w:bookmarkStart w:id="104" w:name="_Toc15377207"/>
      <w:bookmarkStart w:id="105" w:name="_Toc1327835649_WPSOffice_Level2"/>
      <w:r>
        <w:rPr>
          <w:rFonts w:hint="eastAsia" w:ascii="黑体" w:hAnsi="黑体" w:eastAsia="黑体"/>
          <w:color w:val="auto"/>
          <w:sz w:val="32"/>
          <w:szCs w:val="32"/>
          <w:highlight w:val="none"/>
        </w:rPr>
        <w:t>支出决算情况说明</w:t>
      </w:r>
      <w:bookmarkEnd w:id="103"/>
      <w:bookmarkEnd w:id="104"/>
      <w:bookmarkEnd w:id="105"/>
    </w:p>
    <w:p>
      <w:pPr>
        <w:spacing w:line="600" w:lineRule="exact"/>
        <w:ind w:firstLine="640" w:firstLineChars="200"/>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年本年支出合计1223.22万元，其中：基本支出</w:t>
      </w:r>
      <w:r>
        <w:rPr>
          <w:rFonts w:hint="eastAsia" w:ascii="仿宋" w:hAnsi="仿宋" w:eastAsia="仿宋"/>
          <w:color w:val="auto"/>
          <w:sz w:val="32"/>
          <w:szCs w:val="32"/>
          <w:highlight w:val="none"/>
          <w:lang w:val="en-US" w:eastAsia="zh-CN"/>
        </w:rPr>
        <w:t>840.84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382.38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drawing>
          <wp:inline distT="0" distB="0" distL="114300" distR="114300">
            <wp:extent cx="3061970" cy="1393190"/>
            <wp:effectExtent l="4445" t="4445" r="19685" b="12065"/>
            <wp:docPr id="102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06" w:name="_Toc15396606"/>
      <w:bookmarkStart w:id="107" w:name="_Toc15377208"/>
    </w:p>
    <w:p>
      <w:pPr>
        <w:pStyle w:val="2"/>
        <w:ind w:firstLine="640" w:firstLineChars="200"/>
        <w:rPr>
          <w:rFonts w:hint="eastAsia" w:ascii="黑体" w:hAnsi="黑体" w:eastAsia="黑体"/>
          <w:color w:val="auto"/>
          <w:sz w:val="32"/>
          <w:szCs w:val="32"/>
          <w:highlight w:val="none"/>
        </w:rPr>
      </w:pPr>
      <w:bookmarkStart w:id="108" w:name="_Toc708326187_WPSOffice_Level2"/>
      <w:r>
        <w:rPr>
          <w:rFonts w:hint="eastAsia" w:ascii="黑体" w:hAnsi="黑体" w:eastAsia="黑体" w:cs="Times New Roman"/>
          <w:color w:val="auto"/>
          <w:sz w:val="32"/>
          <w:szCs w:val="32"/>
          <w:highlight w:val="none"/>
          <w:lang w:eastAsia="zh-CN"/>
        </w:rPr>
        <w:t>四、</w:t>
      </w:r>
      <w:r>
        <w:rPr>
          <w:rFonts w:hint="eastAsia" w:ascii="黑体" w:hAnsi="黑体" w:eastAsia="黑体"/>
          <w:color w:val="auto"/>
          <w:sz w:val="32"/>
          <w:szCs w:val="32"/>
          <w:highlight w:val="none"/>
        </w:rPr>
        <w:t>财政拨款收入支出决算总体情况说明</w:t>
      </w:r>
      <w:bookmarkEnd w:id="106"/>
      <w:bookmarkEnd w:id="107"/>
      <w:bookmarkEnd w:id="108"/>
    </w:p>
    <w:p>
      <w:pPr>
        <w:spacing w:line="600" w:lineRule="exact"/>
        <w:ind w:firstLine="640" w:firstLineChars="200"/>
        <w:rPr>
          <w:rFonts w:hint="eastAsia" w:ascii="仿宋" w:hAnsi="仿宋" w:eastAsia="仿宋"/>
          <w:color w:val="auto"/>
          <w:sz w:val="32"/>
          <w:szCs w:val="32"/>
          <w:highlight w:val="none"/>
          <w:lang w:eastAsia="zh-CN"/>
        </w:rPr>
      </w:pPr>
      <w:bookmarkStart w:id="109" w:name="_Toc15377209"/>
      <w:bookmarkStart w:id="110" w:name="_Toc15396607"/>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lang w:eastAsia="zh-CN"/>
        </w:rPr>
        <w:t>年度收、支总计1223.22万元。与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lang w:eastAsia="zh-CN"/>
        </w:rPr>
        <w:t>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216.48</w:t>
      </w:r>
      <w:r>
        <w:rPr>
          <w:rFonts w:hint="eastAsia" w:ascii="仿宋" w:hAnsi="仿宋" w:eastAsia="仿宋"/>
          <w:color w:val="auto"/>
          <w:sz w:val="32"/>
          <w:szCs w:val="32"/>
          <w:highlight w:val="none"/>
          <w:lang w:eastAsia="zh-CN"/>
        </w:rPr>
        <w:t>万元，增长</w:t>
      </w:r>
      <w:r>
        <w:rPr>
          <w:rFonts w:hint="eastAsia" w:ascii="仿宋" w:hAnsi="仿宋" w:eastAsia="仿宋"/>
          <w:color w:val="auto"/>
          <w:sz w:val="32"/>
          <w:szCs w:val="32"/>
          <w:highlight w:val="none"/>
          <w:lang w:val="en-US" w:eastAsia="zh-CN"/>
        </w:rPr>
        <w:t>21.5</w:t>
      </w:r>
      <w:r>
        <w:rPr>
          <w:rFonts w:hint="eastAsia" w:ascii="仿宋" w:hAnsi="仿宋" w:eastAsia="仿宋"/>
          <w:color w:val="auto"/>
          <w:sz w:val="32"/>
          <w:szCs w:val="32"/>
          <w:highlight w:val="none"/>
          <w:lang w:eastAsia="zh-CN"/>
        </w:rPr>
        <w:t>%。主要变动原因是</w:t>
      </w:r>
      <w:r>
        <w:rPr>
          <w:rFonts w:hint="eastAsia" w:ascii="仿宋" w:hAnsi="仿宋" w:eastAsia="仿宋"/>
          <w:color w:val="auto"/>
          <w:sz w:val="32"/>
          <w:szCs w:val="32"/>
          <w:highlight w:val="none"/>
          <w:lang w:eastAsia="zh-CN"/>
        </w:rPr>
        <w:t>人员增加。</w:t>
      </w:r>
    </w:p>
    <w:p>
      <w:pPr>
        <w:pStyle w:val="7"/>
        <w:rPr>
          <w:rFonts w:hint="eastAsia"/>
          <w:lang w:eastAsia="zh-CN"/>
        </w:rPr>
      </w:pPr>
    </w:p>
    <w:p>
      <w:pPr>
        <w:pStyle w:val="2"/>
        <w:rPr>
          <w:color w:val="auto"/>
        </w:rPr>
      </w:pPr>
      <w:r>
        <w:rPr>
          <w:rFonts w:hint="eastAsia"/>
          <w:color w:val="auto"/>
          <w:lang w:val="en-US" w:eastAsia="zh-CN"/>
        </w:rPr>
        <w:t xml:space="preserve">                </w:t>
      </w:r>
      <w:r>
        <w:rPr>
          <w:color w:val="auto"/>
        </w:rPr>
        <w:drawing>
          <wp:inline distT="0" distB="0" distL="114300" distR="114300">
            <wp:extent cx="2890520" cy="1619250"/>
            <wp:effectExtent l="4445" t="4445" r="19685" b="14605"/>
            <wp:docPr id="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9"/>
        <w:numPr>
          <w:numId w:val="0"/>
        </w:numPr>
        <w:spacing w:line="600" w:lineRule="exact"/>
        <w:ind w:left="640" w:leftChars="0" w:firstLine="320" w:firstLineChars="100"/>
        <w:outlineLvl w:val="1"/>
        <w:rPr>
          <w:rFonts w:hint="eastAsia" w:ascii="黑体" w:hAnsi="黑体" w:eastAsia="黑体"/>
          <w:color w:val="auto"/>
          <w:sz w:val="32"/>
          <w:szCs w:val="32"/>
          <w:highlight w:val="none"/>
          <w:lang w:eastAsia="zh-CN"/>
        </w:rPr>
      </w:pPr>
    </w:p>
    <w:p>
      <w:pPr>
        <w:pStyle w:val="29"/>
        <w:numPr>
          <w:numId w:val="0"/>
        </w:numPr>
        <w:spacing w:line="600" w:lineRule="exact"/>
        <w:ind w:left="640" w:leftChars="0" w:firstLine="320" w:firstLineChars="100"/>
        <w:outlineLvl w:val="1"/>
        <w:rPr>
          <w:rFonts w:hint="eastAsia" w:ascii="黑体" w:hAnsi="黑体" w:eastAsia="黑体"/>
          <w:color w:val="auto"/>
          <w:sz w:val="32"/>
          <w:szCs w:val="32"/>
          <w:highlight w:val="none"/>
          <w:lang w:eastAsia="zh-CN"/>
        </w:rPr>
      </w:pPr>
    </w:p>
    <w:p>
      <w:pPr>
        <w:pStyle w:val="29"/>
        <w:numPr>
          <w:numId w:val="0"/>
        </w:numPr>
        <w:spacing w:line="600" w:lineRule="exact"/>
        <w:ind w:left="640" w:leftChars="0" w:firstLine="320" w:firstLineChars="100"/>
        <w:outlineLvl w:val="1"/>
        <w:rPr>
          <w:rFonts w:hint="eastAsia" w:ascii="黑体" w:hAnsi="黑体" w:eastAsia="黑体"/>
          <w:color w:val="auto"/>
          <w:sz w:val="32"/>
          <w:szCs w:val="32"/>
          <w:highlight w:val="none"/>
        </w:rPr>
      </w:pPr>
      <w:bookmarkStart w:id="111" w:name="_Toc613099372_WPSOffice_Level2"/>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一般公共预算财政拨款支出决算情况说明</w:t>
      </w:r>
      <w:bookmarkEnd w:id="109"/>
      <w:bookmarkEnd w:id="110"/>
      <w:bookmarkEnd w:id="111"/>
    </w:p>
    <w:p>
      <w:pPr>
        <w:spacing w:line="600" w:lineRule="exact"/>
        <w:ind w:firstLine="642" w:firstLineChars="200"/>
        <w:outlineLvl w:val="2"/>
        <w:rPr>
          <w:rFonts w:ascii="仿宋" w:hAnsi="仿宋" w:eastAsia="仿宋"/>
          <w:b/>
          <w:color w:val="auto"/>
          <w:sz w:val="32"/>
          <w:szCs w:val="32"/>
          <w:highlight w:val="none"/>
        </w:rPr>
      </w:pPr>
      <w:bookmarkStart w:id="112" w:name="_Toc1044032684_WPSOffice_Level3"/>
      <w:bookmarkStart w:id="113" w:name="_Toc15377210"/>
      <w:bookmarkStart w:id="114" w:name="_Toc1404379329_WPSOffice_Level3"/>
      <w:bookmarkStart w:id="115" w:name="_Toc504525551_WPSOffice_Level3"/>
      <w:bookmarkStart w:id="116" w:name="_Toc29867"/>
      <w:bookmarkStart w:id="117" w:name="_Toc1464944191_WPSOffice_Level3"/>
      <w:r>
        <w:rPr>
          <w:rFonts w:hint="eastAsia" w:ascii="仿宋" w:hAnsi="仿宋" w:eastAsia="仿宋"/>
          <w:b/>
          <w:color w:val="auto"/>
          <w:sz w:val="32"/>
          <w:szCs w:val="32"/>
          <w:highlight w:val="none"/>
        </w:rPr>
        <w:t>（一）一般公共预算财政拨款支出决算总体情况</w:t>
      </w:r>
      <w:bookmarkEnd w:id="112"/>
      <w:bookmarkEnd w:id="113"/>
      <w:bookmarkEnd w:id="114"/>
      <w:bookmarkEnd w:id="115"/>
      <w:bookmarkEnd w:id="116"/>
      <w:bookmarkEnd w:id="117"/>
    </w:p>
    <w:p>
      <w:pPr>
        <w:spacing w:line="600" w:lineRule="exact"/>
        <w:ind w:firstLine="640" w:firstLineChars="200"/>
        <w:rPr>
          <w:rFonts w:hint="eastAsia" w:ascii="仿宋" w:hAnsi="仿宋" w:eastAsia="仿宋"/>
          <w:b w:val="0"/>
          <w:bCs w:val="0"/>
          <w:color w:val="auto"/>
          <w:sz w:val="32"/>
          <w:szCs w:val="32"/>
          <w:highlight w:val="none"/>
          <w:lang w:eastAsia="zh-CN"/>
        </w:rPr>
      </w:pPr>
      <w:bookmarkStart w:id="118" w:name="_Toc15377211"/>
      <w:bookmarkStart w:id="119" w:name="_Toc4715"/>
      <w:bookmarkStart w:id="120" w:name="_Toc56324611_WPSOffice_Level3"/>
      <w:bookmarkStart w:id="121" w:name="_Toc87844282_WPSOffice_Level3"/>
      <w:bookmarkStart w:id="122" w:name="_Toc643982899_WPSOffice_Level3"/>
      <w:r>
        <w:rPr>
          <w:rFonts w:hint="eastAsia" w:ascii="仿宋" w:hAnsi="仿宋" w:eastAsia="仿宋"/>
          <w:color w:val="auto"/>
          <w:sz w:val="32"/>
          <w:szCs w:val="32"/>
          <w:highlight w:val="none"/>
          <w:lang w:eastAsia="zh-CN"/>
        </w:rPr>
        <w:t>2</w:t>
      </w:r>
      <w:r>
        <w:rPr>
          <w:rFonts w:hint="eastAsia" w:ascii="仿宋" w:hAnsi="仿宋" w:eastAsia="仿宋"/>
          <w:b w:val="0"/>
          <w:bCs w:val="0"/>
          <w:color w:val="auto"/>
          <w:sz w:val="32"/>
          <w:szCs w:val="32"/>
          <w:highlight w:val="none"/>
          <w:lang w:eastAsia="zh-CN"/>
        </w:rPr>
        <w:t>023</w:t>
      </w:r>
      <w:r>
        <w:rPr>
          <w:rFonts w:hint="eastAsia" w:ascii="仿宋" w:hAnsi="仿宋" w:eastAsia="仿宋"/>
          <w:b w:val="0"/>
          <w:bCs w:val="0"/>
          <w:color w:val="auto"/>
          <w:sz w:val="32"/>
          <w:szCs w:val="32"/>
          <w:highlight w:val="none"/>
        </w:rPr>
        <w:t>年一般公共预算财政拨款支出1223.22万元，占本年支出合计的</w:t>
      </w:r>
      <w:r>
        <w:rPr>
          <w:rFonts w:hint="eastAsia" w:ascii="仿宋" w:hAnsi="仿宋" w:eastAsia="仿宋"/>
          <w:b w:val="0"/>
          <w:bCs w:val="0"/>
          <w:color w:val="auto"/>
          <w:sz w:val="32"/>
          <w:szCs w:val="32"/>
          <w:highlight w:val="none"/>
          <w:lang w:val="en-US" w:eastAsia="zh-CN"/>
        </w:rPr>
        <w:t>100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。与</w:t>
      </w:r>
      <w:r>
        <w:rPr>
          <w:rFonts w:hint="eastAsia" w:ascii="仿宋" w:hAnsi="仿宋" w:eastAsia="仿宋"/>
          <w:b w:val="0"/>
          <w:bCs w:val="0"/>
          <w:color w:val="auto"/>
          <w:sz w:val="32"/>
          <w:szCs w:val="32"/>
          <w:highlight w:val="none"/>
          <w:lang w:eastAsia="zh-CN"/>
        </w:rPr>
        <w:t>202</w:t>
      </w:r>
      <w:r>
        <w:rPr>
          <w:rFonts w:hint="default" w:ascii="仿宋" w:hAnsi="仿宋" w:eastAsia="仿宋"/>
          <w:b w:val="0"/>
          <w:bCs w:val="0"/>
          <w:color w:val="auto"/>
          <w:sz w:val="32"/>
          <w:szCs w:val="32"/>
          <w:highlight w:val="none"/>
          <w:lang w:val="en" w:eastAsia="zh-CN"/>
        </w:rPr>
        <w:t>2</w:t>
      </w:r>
      <w:r>
        <w:rPr>
          <w:rFonts w:hint="eastAsia" w:ascii="仿宋" w:hAnsi="仿宋" w:eastAsia="仿宋"/>
          <w:b w:val="0"/>
          <w:bCs w:val="0"/>
          <w:color w:val="auto"/>
          <w:sz w:val="32"/>
          <w:szCs w:val="32"/>
          <w:highlight w:val="none"/>
        </w:rPr>
        <w:t>年相比，一般公共预算财政拨款</w:t>
      </w:r>
      <w:r>
        <w:rPr>
          <w:rFonts w:hint="eastAsia" w:ascii="仿宋" w:hAnsi="仿宋" w:eastAsia="仿宋"/>
          <w:b w:val="0"/>
          <w:bCs w:val="0"/>
          <w:color w:val="auto"/>
          <w:sz w:val="32"/>
          <w:szCs w:val="32"/>
          <w:highlight w:val="none"/>
          <w:lang w:eastAsia="zh-CN"/>
        </w:rPr>
        <w:t>支出</w:t>
      </w:r>
      <w:r>
        <w:rPr>
          <w:rFonts w:hint="eastAsia" w:ascii="仿宋" w:hAnsi="仿宋" w:eastAsia="仿宋"/>
          <w:b w:val="0"/>
          <w:bCs w:val="0"/>
          <w:color w:val="auto"/>
          <w:sz w:val="32"/>
          <w:szCs w:val="32"/>
          <w:highlight w:val="none"/>
        </w:rPr>
        <w:t>增加</w:t>
      </w:r>
      <w:r>
        <w:rPr>
          <w:rFonts w:hint="eastAsia" w:ascii="仿宋" w:hAnsi="仿宋" w:eastAsia="仿宋"/>
          <w:b w:val="0"/>
          <w:bCs w:val="0"/>
          <w:color w:val="auto"/>
          <w:sz w:val="32"/>
          <w:szCs w:val="32"/>
          <w:highlight w:val="none"/>
          <w:lang w:val="en-US" w:eastAsia="zh-CN"/>
        </w:rPr>
        <w:t>216.48</w:t>
      </w:r>
      <w:r>
        <w:rPr>
          <w:rFonts w:hint="eastAsia" w:ascii="仿宋" w:hAnsi="仿宋" w:eastAsia="仿宋"/>
          <w:b w:val="0"/>
          <w:bCs w:val="0"/>
          <w:color w:val="auto"/>
          <w:sz w:val="32"/>
          <w:szCs w:val="32"/>
          <w:highlight w:val="none"/>
        </w:rPr>
        <w:t>万元，增长</w:t>
      </w:r>
      <w:r>
        <w:rPr>
          <w:rFonts w:hint="eastAsia" w:ascii="仿宋" w:hAnsi="仿宋" w:eastAsia="仿宋"/>
          <w:b w:val="0"/>
          <w:bCs w:val="0"/>
          <w:color w:val="auto"/>
          <w:sz w:val="32"/>
          <w:szCs w:val="32"/>
          <w:highlight w:val="none"/>
          <w:lang w:val="en-US" w:eastAsia="zh-CN"/>
        </w:rPr>
        <w:t>21.5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。主要变动原因是</w:t>
      </w:r>
      <w:r>
        <w:rPr>
          <w:rFonts w:hint="eastAsia" w:ascii="仿宋" w:hAnsi="仿宋" w:eastAsia="仿宋"/>
          <w:b w:val="0"/>
          <w:bCs w:val="0"/>
          <w:color w:val="auto"/>
          <w:sz w:val="32"/>
          <w:szCs w:val="32"/>
          <w:highlight w:val="none"/>
          <w:lang w:eastAsia="zh-CN"/>
        </w:rPr>
        <w:t>人员增加、保险、住房公积金等基数增加。</w:t>
      </w:r>
    </w:p>
    <w:p>
      <w:pPr>
        <w:pStyle w:val="7"/>
        <w:rPr>
          <w:color w:val="auto"/>
        </w:rPr>
      </w:pPr>
      <w:r>
        <w:rPr>
          <w:color w:val="auto"/>
        </w:rPr>
        <w:drawing>
          <wp:inline distT="0" distB="0" distL="114300" distR="114300">
            <wp:extent cx="3152140" cy="1634490"/>
            <wp:effectExtent l="5080" t="4445" r="5080" b="1841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123" w:name="_Toc265518138_WPSOffice_Level3"/>
      <w:r>
        <w:rPr>
          <w:rFonts w:hint="eastAsia" w:ascii="仿宋" w:hAnsi="仿宋" w:eastAsia="仿宋"/>
          <w:b/>
          <w:color w:val="auto"/>
          <w:sz w:val="32"/>
          <w:szCs w:val="32"/>
          <w:highlight w:val="none"/>
        </w:rPr>
        <w:t>（二）一般公共预算财政拨款支出决算结构情况</w:t>
      </w:r>
      <w:bookmarkEnd w:id="118"/>
      <w:bookmarkEnd w:id="119"/>
      <w:bookmarkEnd w:id="120"/>
      <w:bookmarkEnd w:id="121"/>
      <w:bookmarkEnd w:id="122"/>
      <w:bookmarkEnd w:id="123"/>
    </w:p>
    <w:p>
      <w:pPr>
        <w:spacing w:line="600" w:lineRule="exact"/>
        <w:ind w:firstLine="640"/>
        <w:rPr>
          <w:rFonts w:hint="eastAsia" w:ascii="仿宋" w:hAnsi="仿宋" w:eastAsia="仿宋"/>
          <w:b/>
          <w:color w:val="auto"/>
          <w:sz w:val="32"/>
          <w:szCs w:val="32"/>
          <w:highlight w:val="none"/>
        </w:rPr>
      </w:pPr>
      <w:bookmarkStart w:id="124" w:name="_Toc15377213"/>
      <w:bookmarkStart w:id="125" w:name="_Toc15377444"/>
      <w:bookmarkStart w:id="126" w:name="_Toc15378460"/>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年一般公共预算财政拨款支出1223.22万元，主要用于以下方面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1,056.70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82.74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27.85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55.93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rPr>
          <w:color w:val="auto"/>
        </w:rPr>
      </w:pPr>
      <w:bookmarkStart w:id="127" w:name="_Toc15377212"/>
      <w:r>
        <w:rPr>
          <w:color w:val="auto"/>
        </w:rPr>
        <w:drawing>
          <wp:anchor distT="0" distB="0" distL="114300" distR="114300" simplePos="0" relativeHeight="251659264" behindDoc="0" locked="0" layoutInCell="1" allowOverlap="1">
            <wp:simplePos x="0" y="0"/>
            <wp:positionH relativeFrom="column">
              <wp:posOffset>1026795</wp:posOffset>
            </wp:positionH>
            <wp:positionV relativeFrom="paragraph">
              <wp:posOffset>226695</wp:posOffset>
            </wp:positionV>
            <wp:extent cx="2611755" cy="1567180"/>
            <wp:effectExtent l="4445" t="4445" r="12700" b="9525"/>
            <wp:wrapTopAndBottom/>
            <wp:docPr id="10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2" w:firstLineChars="200"/>
        <w:rPr>
          <w:rFonts w:ascii="仿宋" w:hAnsi="仿宋" w:eastAsia="仿宋"/>
          <w:b/>
          <w:color w:val="auto"/>
          <w:sz w:val="32"/>
          <w:szCs w:val="32"/>
          <w:highlight w:val="none"/>
        </w:rPr>
      </w:pPr>
      <w:bookmarkStart w:id="128" w:name="_Toc418240886_WPSOffice_Level3"/>
      <w:r>
        <w:rPr>
          <w:rFonts w:hint="eastAsia" w:ascii="仿宋" w:hAnsi="仿宋" w:eastAsia="仿宋"/>
          <w:b/>
          <w:color w:val="auto"/>
          <w:sz w:val="32"/>
          <w:szCs w:val="32"/>
          <w:highlight w:val="none"/>
        </w:rPr>
        <w:t>（三）一般公共预算财政拨款支出决算具体情况</w:t>
      </w:r>
      <w:bookmarkEnd w:id="127"/>
      <w:bookmarkEnd w:id="128"/>
    </w:p>
    <w:bookmarkEnd w:id="124"/>
    <w:bookmarkEnd w:id="125"/>
    <w:bookmarkEnd w:id="126"/>
    <w:p>
      <w:pPr>
        <w:kinsoku/>
        <w:wordWrap/>
        <w:bidi w:val="0"/>
        <w:snapToGrid/>
        <w:spacing w:line="576" w:lineRule="exact"/>
        <w:ind w:firstLine="642" w:firstLineChars="200"/>
        <w:rPr>
          <w:rFonts w:hint="eastAsia" w:ascii="仿宋" w:hAnsi="仿宋" w:eastAsia="仿宋"/>
          <w:b/>
          <w:color w:val="auto"/>
          <w:sz w:val="32"/>
          <w:szCs w:val="24"/>
        </w:rPr>
      </w:pPr>
      <w:bookmarkStart w:id="129" w:name="_Toc1171752054_WPSOffice_Level2"/>
      <w:bookmarkStart w:id="130" w:name="_Toc961310604_WPSOffice_Level2"/>
      <w:bookmarkStart w:id="131" w:name="_Toc15377214"/>
      <w:bookmarkStart w:id="132" w:name="_Toc15396608"/>
      <w:r>
        <w:rPr>
          <w:rFonts w:hint="eastAsia" w:ascii="仿宋" w:hAnsi="仿宋" w:eastAsia="仿宋"/>
          <w:b/>
          <w:color w:val="auto"/>
          <w:sz w:val="32"/>
          <w:szCs w:val="24"/>
        </w:rPr>
        <w:t>2023年度一般公共预算支出全年预算数为</w:t>
      </w:r>
      <w:r>
        <w:rPr>
          <w:rFonts w:hint="eastAsia" w:ascii="仿宋" w:hAnsi="仿宋" w:eastAsia="仿宋"/>
          <w:b/>
          <w:color w:val="auto"/>
          <w:sz w:val="32"/>
          <w:szCs w:val="24"/>
          <w:lang w:val="en-US" w:eastAsia="zh-CN"/>
        </w:rPr>
        <w:t>1223.22</w:t>
      </w:r>
      <w:r>
        <w:rPr>
          <w:rFonts w:hint="eastAsia" w:ascii="仿宋" w:hAnsi="仿宋" w:eastAsia="仿宋"/>
          <w:b/>
          <w:color w:val="auto"/>
          <w:sz w:val="32"/>
          <w:szCs w:val="24"/>
        </w:rPr>
        <w:t>万元，支出决算数为</w:t>
      </w:r>
      <w:r>
        <w:rPr>
          <w:rFonts w:hint="eastAsia" w:ascii="仿宋" w:hAnsi="仿宋" w:eastAsia="仿宋"/>
          <w:b/>
          <w:color w:val="auto"/>
          <w:sz w:val="32"/>
          <w:szCs w:val="24"/>
          <w:lang w:val="en-US" w:eastAsia="zh-CN"/>
        </w:rPr>
        <w:t>1223.22</w:t>
      </w:r>
      <w:r>
        <w:rPr>
          <w:rFonts w:hint="eastAsia" w:ascii="仿宋" w:hAnsi="仿宋" w:eastAsia="仿宋"/>
          <w:b/>
          <w:color w:val="auto"/>
          <w:sz w:val="32"/>
          <w:szCs w:val="24"/>
        </w:rPr>
        <w:t>万元，完成全年预算数的</w:t>
      </w:r>
      <w:r>
        <w:rPr>
          <w:rFonts w:hint="eastAsia" w:ascii="仿宋" w:hAnsi="仿宋" w:eastAsia="仿宋"/>
          <w:b/>
          <w:color w:val="auto"/>
          <w:sz w:val="32"/>
          <w:szCs w:val="24"/>
          <w:lang w:val="en-US" w:eastAsia="zh-CN"/>
        </w:rPr>
        <w:t>100</w:t>
      </w:r>
      <w:r>
        <w:rPr>
          <w:rFonts w:hint="eastAsia" w:ascii="仿宋" w:hAnsi="仿宋" w:eastAsia="仿宋"/>
          <w:b/>
          <w:color w:val="auto"/>
          <w:sz w:val="32"/>
          <w:szCs w:val="24"/>
        </w:rPr>
        <w:t>%。其中：</w:t>
      </w:r>
    </w:p>
    <w:p>
      <w:pPr>
        <w:kinsoku/>
        <w:wordWrap/>
        <w:bidi w:val="0"/>
        <w:snapToGrid/>
        <w:spacing w:line="576" w:lineRule="exact"/>
        <w:ind w:firstLine="642" w:firstLineChars="200"/>
        <w:rPr>
          <w:rFonts w:hint="eastAsia" w:ascii="仿宋" w:hAnsi="仿宋" w:eastAsia="仿宋"/>
          <w:color w:val="auto"/>
          <w:sz w:val="32"/>
          <w:szCs w:val="24"/>
        </w:rPr>
      </w:pPr>
      <w:r>
        <w:rPr>
          <w:rFonts w:hint="eastAsia" w:ascii="仿宋" w:hAnsi="仿宋" w:eastAsia="仿宋"/>
          <w:b/>
          <w:color w:val="auto"/>
          <w:sz w:val="32"/>
          <w:szCs w:val="24"/>
        </w:rPr>
        <w:t>1.公共安全支出（类）司法（款）行政运行（项）</w:t>
      </w:r>
      <w:r>
        <w:rPr>
          <w:rFonts w:hint="eastAsia" w:ascii="仿宋" w:hAnsi="仿宋" w:eastAsia="仿宋"/>
          <w:b/>
          <w:color w:val="auto"/>
          <w:sz w:val="28"/>
          <w:szCs w:val="24"/>
        </w:rPr>
        <w:t>：</w:t>
      </w:r>
      <w:r>
        <w:rPr>
          <w:rStyle w:val="19"/>
          <w:rFonts w:hint="eastAsia" w:ascii="仿宋" w:hAnsi="仿宋" w:eastAsia="仿宋"/>
          <w:b w:val="0"/>
          <w:color w:val="auto"/>
          <w:sz w:val="28"/>
          <w:szCs w:val="24"/>
        </w:rPr>
        <w:t xml:space="preserve"> </w:t>
      </w:r>
      <w:r>
        <w:rPr>
          <w:rFonts w:hint="eastAsia" w:ascii="仿宋" w:hAnsi="仿宋" w:eastAsia="仿宋"/>
          <w:color w:val="auto"/>
          <w:sz w:val="32"/>
          <w:szCs w:val="24"/>
        </w:rPr>
        <w:t>支出决算为1,056.70万元，完成预算100%。</w:t>
      </w:r>
    </w:p>
    <w:p>
      <w:pPr>
        <w:keepNext w:val="0"/>
        <w:keepLines w:val="0"/>
        <w:pageBreakBefore w:val="0"/>
        <w:kinsoku/>
        <w:wordWrap/>
        <w:overflowPunct/>
        <w:topLinePunct w:val="0"/>
        <w:bidi w:val="0"/>
        <w:snapToGrid/>
        <w:spacing w:line="520" w:lineRule="exact"/>
        <w:ind w:firstLine="642"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2.社会保障和就业（类）行政事业单位离退休（款）机关事业单位基本养老保险缴费支出（项）:</w:t>
      </w:r>
      <w:r>
        <w:rPr>
          <w:rStyle w:val="19"/>
          <w:rFonts w:ascii="仿宋" w:hAnsi="仿宋" w:eastAsia="仿宋"/>
          <w:b w:val="0"/>
          <w:bCs/>
          <w:color w:val="auto"/>
          <w:sz w:val="28"/>
          <w:szCs w:val="28"/>
        </w:rPr>
        <w:t xml:space="preserve">  </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82.74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keepNext w:val="0"/>
        <w:keepLines w:val="0"/>
        <w:pageBreakBefore w:val="0"/>
        <w:numPr>
          <w:ilvl w:val="0"/>
          <w:numId w:val="0"/>
        </w:numPr>
        <w:kinsoku/>
        <w:wordWrap/>
        <w:overflowPunct/>
        <w:topLinePunct w:val="0"/>
        <w:bidi w:val="0"/>
        <w:snapToGrid/>
        <w:spacing w:line="520" w:lineRule="exact"/>
        <w:ind w:firstLine="642"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3.卫生健康（类）行政事业单位医疗（款）行政单位医疗（项）:</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27.85</w:t>
      </w:r>
      <w:r>
        <w:rPr>
          <w:rFonts w:hint="eastAsia" w:ascii="仿宋" w:hAnsi="仿宋" w:eastAsia="仿宋"/>
          <w:color w:val="auto"/>
          <w:sz w:val="32"/>
          <w:szCs w:val="32"/>
          <w:highlight w:val="none"/>
        </w:rPr>
        <w:t>万元，完成预算100%。</w:t>
      </w:r>
    </w:p>
    <w:p>
      <w:pPr>
        <w:keepNext w:val="0"/>
        <w:keepLines w:val="0"/>
        <w:pageBreakBefore w:val="0"/>
        <w:kinsoku/>
        <w:wordWrap/>
        <w:overflowPunct/>
        <w:topLinePunct w:val="0"/>
        <w:bidi w:val="0"/>
        <w:snapToGrid/>
        <w:spacing w:line="520" w:lineRule="exact"/>
        <w:ind w:firstLine="642"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4.住房保障支出（类）住房改革支出（款）住房公积金（项）：</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55.93</w:t>
      </w:r>
      <w:r>
        <w:rPr>
          <w:rFonts w:hint="eastAsia" w:ascii="仿宋" w:hAnsi="仿宋" w:eastAsia="仿宋"/>
          <w:color w:val="auto"/>
          <w:sz w:val="32"/>
          <w:szCs w:val="32"/>
          <w:highlight w:val="none"/>
        </w:rPr>
        <w:t>万元，完成预算100%。</w:t>
      </w:r>
    </w:p>
    <w:p>
      <w:pPr>
        <w:tabs>
          <w:tab w:val="right" w:pos="8306"/>
        </w:tabs>
        <w:spacing w:line="600" w:lineRule="exact"/>
        <w:ind w:firstLine="640"/>
        <w:outlineLvl w:val="1"/>
        <w:rPr>
          <w:rStyle w:val="31"/>
          <w:color w:val="auto"/>
          <w:highlight w:val="none"/>
        </w:rPr>
      </w:pPr>
      <w:bookmarkStart w:id="133" w:name="_Toc1426477912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129"/>
      <w:bookmarkEnd w:id="130"/>
      <w:bookmarkEnd w:id="131"/>
      <w:bookmarkEnd w:id="132"/>
      <w:bookmarkEnd w:id="133"/>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bookmarkStart w:id="134" w:name="_Toc937524973_WPSOffice_Level2"/>
      <w:bookmarkStart w:id="135" w:name="_Toc1758662163_WPSOffice_Level2"/>
      <w:bookmarkStart w:id="136" w:name="_Toc15377215"/>
      <w:bookmarkStart w:id="137" w:name="_Toc15396609"/>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840.84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762.28万元</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78.56</w:t>
      </w:r>
      <w:r>
        <w:rPr>
          <w:rFonts w:hint="eastAsia" w:ascii="仿宋" w:hAnsi="仿宋" w:eastAsia="仿宋"/>
          <w:color w:val="auto"/>
          <w:sz w:val="32"/>
          <w:szCs w:val="32"/>
          <w:highlight w:val="none"/>
        </w:rPr>
        <w:t>万元，主要包括：办公费、印刷费、咨询费、手续费、水费、电费、差旅费、维修（护）费、租赁费、会议费、培训费、公务接待费、劳务费、委托业务费、工会经费、公务用车运行维护费、其他交通费、其他商品和服务支出等。</w:t>
      </w:r>
    </w:p>
    <w:p>
      <w:pPr>
        <w:spacing w:line="600" w:lineRule="exact"/>
        <w:ind w:firstLine="640"/>
        <w:outlineLvl w:val="1"/>
        <w:rPr>
          <w:rStyle w:val="31"/>
          <w:rFonts w:ascii="黑体" w:hAnsi="黑体" w:eastAsia="黑体"/>
          <w:b w:val="0"/>
          <w:color w:val="auto"/>
          <w:highlight w:val="none"/>
        </w:rPr>
      </w:pPr>
      <w:bookmarkStart w:id="138" w:name="_Toc2002397841_WPSOffice_Level2"/>
      <w:r>
        <w:rPr>
          <w:rFonts w:hint="eastAsia" w:ascii="黑体" w:eastAsia="黑体"/>
          <w:color w:val="auto"/>
          <w:sz w:val="32"/>
          <w:szCs w:val="32"/>
          <w:highlight w:val="none"/>
        </w:rPr>
        <w:t>七、</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三公”经费财政拨款支出决算情况说明</w:t>
      </w:r>
      <w:bookmarkEnd w:id="134"/>
      <w:bookmarkEnd w:id="135"/>
      <w:bookmarkEnd w:id="136"/>
      <w:bookmarkEnd w:id="137"/>
      <w:bookmarkEnd w:id="138"/>
    </w:p>
    <w:p>
      <w:pPr>
        <w:spacing w:line="600" w:lineRule="exact"/>
        <w:ind w:firstLine="640"/>
        <w:outlineLvl w:val="2"/>
        <w:rPr>
          <w:rFonts w:ascii="仿宋" w:hAnsi="仿宋" w:eastAsia="仿宋"/>
          <w:b/>
          <w:color w:val="auto"/>
          <w:sz w:val="32"/>
          <w:szCs w:val="32"/>
          <w:highlight w:val="none"/>
        </w:rPr>
      </w:pPr>
      <w:bookmarkStart w:id="139" w:name="_Toc10069"/>
      <w:bookmarkStart w:id="140" w:name="_Toc801783234_WPSOffice_Level3"/>
      <w:bookmarkStart w:id="141" w:name="_Toc858874779_WPSOffice_Level3"/>
      <w:bookmarkStart w:id="142" w:name="_Toc47482966_WPSOffice_Level3"/>
      <w:bookmarkStart w:id="143" w:name="_Toc15377216"/>
      <w:bookmarkStart w:id="144" w:name="_Toc1327835649_WPSOffice_Level3"/>
      <w:r>
        <w:rPr>
          <w:rFonts w:hint="eastAsia" w:ascii="仿宋" w:hAnsi="仿宋" w:eastAsia="仿宋"/>
          <w:b/>
          <w:color w:val="auto"/>
          <w:sz w:val="32"/>
          <w:szCs w:val="32"/>
          <w:highlight w:val="none"/>
        </w:rPr>
        <w:t>（一）“三公”经费财政拨款支出决算总体情况说明</w:t>
      </w:r>
      <w:bookmarkEnd w:id="139"/>
      <w:bookmarkEnd w:id="140"/>
      <w:bookmarkEnd w:id="141"/>
      <w:bookmarkEnd w:id="142"/>
      <w:bookmarkEnd w:id="143"/>
      <w:bookmarkEnd w:id="144"/>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“三公”经费财政拨款支出决算为8.41万元，完成预算</w:t>
      </w:r>
      <w:r>
        <w:rPr>
          <w:rFonts w:hint="eastAsia" w:ascii="仿宋" w:hAnsi="仿宋" w:eastAsia="仿宋"/>
          <w:color w:val="auto"/>
          <w:sz w:val="32"/>
          <w:szCs w:val="32"/>
          <w:highlight w:val="none"/>
          <w:lang w:val="en-US" w:eastAsia="zh-CN"/>
        </w:rPr>
        <w:t>46.7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单位公务接待减少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145" w:name="_Toc15377217"/>
      <w:bookmarkStart w:id="146" w:name="_Toc1546110092_WPSOffice_Level3"/>
      <w:bookmarkStart w:id="147" w:name="_Toc679114009_WPSOffice_Level3"/>
      <w:bookmarkStart w:id="148" w:name="_Toc11328"/>
      <w:bookmarkStart w:id="149" w:name="_Toc1738284686_WPSOffice_Level3"/>
      <w:bookmarkStart w:id="150" w:name="_Toc708326187_WPSOffice_Level3"/>
      <w:r>
        <w:rPr>
          <w:rFonts w:hint="eastAsia" w:ascii="仿宋" w:hAnsi="仿宋" w:eastAsia="仿宋"/>
          <w:b/>
          <w:color w:val="auto"/>
          <w:sz w:val="32"/>
          <w:szCs w:val="32"/>
          <w:highlight w:val="none"/>
        </w:rPr>
        <w:t>（二）“三公”经费财政拨款支出决算具体情况说明</w:t>
      </w:r>
      <w:bookmarkEnd w:id="145"/>
      <w:bookmarkEnd w:id="146"/>
      <w:bookmarkEnd w:id="147"/>
      <w:bookmarkEnd w:id="148"/>
      <w:bookmarkEnd w:id="149"/>
      <w:bookmarkEnd w:id="150"/>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eastAsia="仿宋_GB2312"/>
          <w:color w:val="auto"/>
          <w:sz w:val="28"/>
          <w:szCs w:val="28"/>
          <w:lang w:val="en-US" w:eastAsia="zh-CN"/>
        </w:rPr>
        <w:t>6.74</w:t>
      </w:r>
      <w:r>
        <w:rPr>
          <w:rFonts w:hint="eastAsia" w:ascii="仿宋" w:hAnsi="仿宋" w:eastAsia="仿宋"/>
          <w:color w:val="auto"/>
          <w:sz w:val="32"/>
          <w:szCs w:val="32"/>
          <w:highlight w:val="none"/>
        </w:rPr>
        <w:t>万元，占</w:t>
      </w:r>
      <w:r>
        <w:rPr>
          <w:rFonts w:hint="eastAsia" w:ascii="仿宋_GB2312" w:eastAsia="仿宋_GB2312"/>
          <w:color w:val="auto"/>
          <w:sz w:val="28"/>
          <w:szCs w:val="28"/>
          <w:lang w:val="en-US" w:eastAsia="zh-CN"/>
        </w:rPr>
        <w:t>80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eastAsia="仿宋_GB2312"/>
          <w:color w:val="auto"/>
          <w:sz w:val="28"/>
          <w:szCs w:val="28"/>
          <w:lang w:val="en-US" w:eastAsia="zh-CN"/>
        </w:rPr>
        <w:t>1.68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rPr>
          <w:color w:val="auto"/>
        </w:rPr>
      </w:pPr>
      <w:r>
        <w:rPr>
          <w:color w:val="auto"/>
        </w:rPr>
        <w:drawing>
          <wp:inline distT="0" distB="0" distL="114300" distR="114300">
            <wp:extent cx="3058160" cy="1483995"/>
            <wp:effectExtent l="5080" t="4445" r="22860" b="165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宋体"/>
          <w:color w:val="auto"/>
          <w:sz w:val="32"/>
          <w:szCs w:val="24"/>
          <w:highlight w:val="none"/>
        </w:rPr>
        <w:t>支出决算较2022年度无变化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eastAsia="仿宋_GB2312"/>
          <w:color w:val="auto"/>
          <w:sz w:val="28"/>
          <w:szCs w:val="28"/>
          <w:lang w:val="en-US" w:eastAsia="zh-CN"/>
        </w:rPr>
        <w:t>6.74</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56.2</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hAnsi="Times New Roman" w:eastAsia="仿宋_GB2312" w:cs="Times New Roman"/>
          <w:color w:val="auto"/>
          <w:sz w:val="32"/>
          <w:szCs w:val="32"/>
          <w:highlight w:val="none"/>
        </w:rPr>
        <w:t>公务用车购置及运行维护费支出决算比</w:t>
      </w:r>
      <w:r>
        <w:rPr>
          <w:rFonts w:hint="eastAsia" w:ascii="仿宋_GB2312" w:eastAsia="仿宋_GB2312" w:cs="Times New Roman"/>
          <w:color w:val="auto"/>
          <w:sz w:val="32"/>
          <w:szCs w:val="32"/>
          <w:highlight w:val="none"/>
          <w:lang w:eastAsia="zh-CN"/>
        </w:rPr>
        <w:t>2022</w:t>
      </w:r>
      <w:r>
        <w:rPr>
          <w:rFonts w:hint="eastAsia" w:ascii="仿宋_GB2312" w:hAnsi="Times New Roman" w:eastAsia="仿宋_GB2312" w:cs="Times New Roman"/>
          <w:color w:val="auto"/>
          <w:sz w:val="32"/>
          <w:szCs w:val="32"/>
          <w:highlight w:val="none"/>
          <w:lang w:eastAsia="zh-CN"/>
        </w:rPr>
        <w:t>年增加</w:t>
      </w:r>
      <w:r>
        <w:rPr>
          <w:rFonts w:hint="eastAsia" w:ascii="仿宋_GB2312" w:eastAsia="仿宋_GB2312" w:cs="Times New Roman"/>
          <w:color w:val="auto"/>
          <w:sz w:val="32"/>
          <w:szCs w:val="32"/>
          <w:highlight w:val="none"/>
          <w:lang w:val="en-US" w:eastAsia="zh-CN"/>
        </w:rPr>
        <w:t>2.06</w:t>
      </w:r>
      <w:r>
        <w:rPr>
          <w:rFonts w:hint="eastAsia" w:ascii="仿宋_GB2312" w:hAnsi="Times New Roman" w:eastAsia="仿宋_GB2312" w:cs="Times New Roman"/>
          <w:color w:val="auto"/>
          <w:sz w:val="32"/>
          <w:szCs w:val="32"/>
          <w:highlight w:val="none"/>
        </w:rPr>
        <w:t>万元，</w:t>
      </w:r>
      <w:r>
        <w:rPr>
          <w:rFonts w:hint="eastAsia" w:ascii="仿宋_GB2312" w:hAnsi="Times New Roman" w:eastAsia="仿宋_GB2312" w:cs="Times New Roman"/>
          <w:color w:val="auto"/>
          <w:sz w:val="32"/>
          <w:szCs w:val="32"/>
          <w:highlight w:val="none"/>
          <w:lang w:eastAsia="zh-CN"/>
        </w:rPr>
        <w:t>增长</w:t>
      </w:r>
      <w:r>
        <w:rPr>
          <w:rFonts w:hint="eastAsia" w:ascii="仿宋_GB2312" w:eastAsia="仿宋_GB2312" w:cs="Times New Roman"/>
          <w:color w:val="auto"/>
          <w:sz w:val="32"/>
          <w:szCs w:val="32"/>
          <w:highlight w:val="none"/>
          <w:lang w:val="en-US" w:eastAsia="zh-CN"/>
        </w:rPr>
        <w:t>44</w:t>
      </w:r>
      <w:r>
        <w:rPr>
          <w:rFonts w:hint="eastAsia" w:ascii="仿宋_GB2312" w:hAnsi="Times New Roman" w:eastAsia="仿宋_GB2312" w:cs="Times New Roman"/>
          <w:color w:val="auto"/>
          <w:sz w:val="32"/>
          <w:szCs w:val="32"/>
          <w:highlight w:val="none"/>
        </w:rPr>
        <w:t>%。主要原因是</w:t>
      </w:r>
      <w:r>
        <w:rPr>
          <w:rFonts w:hint="eastAsia" w:ascii="仿宋_GB2312" w:eastAsia="仿宋_GB2312" w:cs="Times New Roman"/>
          <w:color w:val="auto"/>
          <w:sz w:val="32"/>
          <w:szCs w:val="32"/>
          <w:highlight w:val="none"/>
          <w:lang w:val="en-US" w:eastAsia="zh-CN"/>
        </w:rPr>
        <w:t>2023</w:t>
      </w:r>
      <w:r>
        <w:rPr>
          <w:rFonts w:hint="eastAsia" w:ascii="仿宋_GB2312" w:hAnsi="Times New Roman" w:eastAsia="仿宋_GB2312" w:cs="Times New Roman"/>
          <w:color w:val="auto"/>
          <w:sz w:val="32"/>
          <w:szCs w:val="32"/>
          <w:highlight w:val="none"/>
          <w:lang w:val="en-US" w:eastAsia="zh-CN"/>
        </w:rPr>
        <w:t>年公务用车运行多，维护增加</w:t>
      </w:r>
      <w:r>
        <w:rPr>
          <w:rFonts w:hint="eastAsia" w:ascii="仿宋_GB2312" w:hAnsi="Times New Roman" w:eastAsia="仿宋_GB2312" w:cs="Times New Roman"/>
          <w:color w:val="auto"/>
          <w:sz w:val="32"/>
          <w:szCs w:val="32"/>
          <w:highlight w:val="none"/>
        </w:rPr>
        <w:t>。</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6.74</w:t>
      </w:r>
      <w:r>
        <w:rPr>
          <w:rFonts w:hint="eastAsia" w:ascii="仿宋_GB2312" w:eastAsia="仿宋_GB2312"/>
          <w:color w:val="auto"/>
          <w:sz w:val="32"/>
          <w:szCs w:val="32"/>
          <w:highlight w:val="none"/>
        </w:rPr>
        <w:t>万元。主要用于基层司法所业务、法律援助、普法宣传、社区矫正 、安置帮教、</w:t>
      </w:r>
      <w:r>
        <w:rPr>
          <w:rFonts w:hint="eastAsia" w:ascii="仿宋_GB2312" w:eastAsia="仿宋_GB2312"/>
          <w:color w:val="auto"/>
          <w:sz w:val="32"/>
          <w:szCs w:val="32"/>
          <w:highlight w:val="none"/>
          <w:lang w:eastAsia="zh-CN"/>
        </w:rPr>
        <w:t>乡村振兴</w:t>
      </w:r>
      <w:r>
        <w:rPr>
          <w:rFonts w:hint="eastAsia" w:ascii="仿宋_GB2312" w:eastAsia="仿宋_GB2312"/>
          <w:color w:val="auto"/>
          <w:sz w:val="32"/>
          <w:szCs w:val="32"/>
          <w:highlight w:val="none"/>
        </w:rPr>
        <w:t>、办案业务等所需的公务用车燃料费、维修费、过路过桥费、保险费等支出。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1.67</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28</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2022年减少</w:t>
      </w:r>
      <w:r>
        <w:rPr>
          <w:rFonts w:hint="eastAsia" w:ascii="仿宋_GB2312" w:eastAsia="仿宋_GB2312"/>
          <w:color w:val="auto"/>
          <w:sz w:val="32"/>
          <w:szCs w:val="32"/>
          <w:highlight w:val="none"/>
          <w:lang w:val="en-US" w:eastAsia="zh-CN"/>
        </w:rPr>
        <w:t>4.32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。主要原因是厉行节俭</w:t>
      </w:r>
      <w:r>
        <w:rPr>
          <w:rFonts w:hint="eastAsia" w:ascii="仿宋_GB2312" w:eastAsia="仿宋_GB2312"/>
          <w:color w:val="auto"/>
          <w:sz w:val="32"/>
          <w:szCs w:val="32"/>
          <w:highlight w:val="none"/>
          <w:lang w:eastAsia="zh-CN"/>
        </w:rPr>
        <w:t>，公务活动减少</w:t>
      </w:r>
      <w:r>
        <w:rPr>
          <w:rFonts w:hint="eastAsia" w:ascii="仿宋_GB2312" w:eastAsia="仿宋_GB2312"/>
          <w:color w:val="auto"/>
          <w:sz w:val="32"/>
          <w:szCs w:val="32"/>
          <w:highlight w:val="none"/>
          <w:lang w:val="en-US" w:eastAsia="zh-CN"/>
        </w:rPr>
        <w:t>,接待标准降低</w:t>
      </w:r>
      <w:r>
        <w:rPr>
          <w:rFonts w:hint="eastAsia" w:ascii="仿宋_GB2312" w:eastAsia="仿宋_GB2312"/>
          <w:color w:val="auto"/>
          <w:sz w:val="32"/>
          <w:szCs w:val="32"/>
          <w:highlight w:val="none"/>
        </w:rPr>
        <w:t>。</w:t>
      </w:r>
    </w:p>
    <w:p>
      <w:pPr>
        <w:spacing w:line="600" w:lineRule="exact"/>
        <w:ind w:firstLine="640"/>
        <w:rPr>
          <w:rFonts w:hint="eastAsia" w:ascii="仿宋_GB2312" w:hAnsi="Times New Roman" w:eastAsia="仿宋_GB2312" w:cs="Times New Roman"/>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_GB2312" w:hAnsi="Times New Roman" w:eastAsia="仿宋_GB2312" w:cs="Times New Roman"/>
          <w:color w:val="auto"/>
          <w:sz w:val="32"/>
          <w:szCs w:val="32"/>
          <w:highlight w:val="none"/>
          <w:lang w:val="en-US" w:eastAsia="zh-CN"/>
        </w:rPr>
        <w:t>1.68</w:t>
      </w:r>
      <w:r>
        <w:rPr>
          <w:rFonts w:hint="eastAsia" w:ascii="仿宋_GB2312" w:hAnsi="Times New Roman" w:eastAsia="仿宋_GB2312" w:cs="Times New Roman"/>
          <w:color w:val="auto"/>
          <w:sz w:val="32"/>
          <w:szCs w:val="32"/>
          <w:highlight w:val="none"/>
          <w:lang w:eastAsia="zh-CN"/>
        </w:rPr>
        <w:t>万元，主要用于执行公务、开展业务活动开支的住宿费、用餐费。国内公务接待</w:t>
      </w:r>
      <w:r>
        <w:rPr>
          <w:rFonts w:hint="eastAsia" w:ascii="仿宋_GB2312" w:hAnsi="Times New Roman" w:eastAsia="仿宋_GB2312" w:cs="Times New Roman"/>
          <w:color w:val="auto"/>
          <w:sz w:val="32"/>
          <w:szCs w:val="32"/>
          <w:highlight w:val="none"/>
          <w:lang w:val="en-US" w:eastAsia="zh-CN"/>
        </w:rPr>
        <w:t>22</w:t>
      </w:r>
      <w:r>
        <w:rPr>
          <w:rFonts w:hint="eastAsia" w:ascii="仿宋_GB2312" w:hAnsi="Times New Roman" w:eastAsia="仿宋_GB2312" w:cs="Times New Roman"/>
          <w:color w:val="auto"/>
          <w:sz w:val="32"/>
          <w:szCs w:val="32"/>
          <w:highlight w:val="none"/>
          <w:lang w:eastAsia="zh-CN"/>
        </w:rPr>
        <w:t>批次，约</w:t>
      </w:r>
      <w:r>
        <w:rPr>
          <w:rFonts w:hint="eastAsia" w:ascii="仿宋_GB2312" w:hAnsi="Times New Roman" w:eastAsia="仿宋_GB2312" w:cs="Times New Roman"/>
          <w:color w:val="auto"/>
          <w:sz w:val="32"/>
          <w:szCs w:val="32"/>
          <w:highlight w:val="none"/>
          <w:lang w:val="en-US" w:eastAsia="zh-CN"/>
        </w:rPr>
        <w:t>230</w:t>
      </w:r>
      <w:r>
        <w:rPr>
          <w:rFonts w:hint="eastAsia" w:ascii="仿宋_GB2312" w:hAnsi="Times New Roman" w:eastAsia="仿宋_GB2312" w:cs="Times New Roman"/>
          <w:color w:val="auto"/>
          <w:sz w:val="32"/>
          <w:szCs w:val="32"/>
          <w:highlight w:val="none"/>
          <w:lang w:eastAsia="zh-CN"/>
        </w:rPr>
        <w:t>人次（不包括陪同人员）。具体内容包括：上级来局检查指导、考察调研以及相关单位来我局学习交流等服务保障。）</w:t>
      </w:r>
    </w:p>
    <w:p>
      <w:pPr>
        <w:spacing w:line="600" w:lineRule="exact"/>
        <w:ind w:firstLine="642"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31"/>
          <w:rFonts w:ascii="黑体" w:hAnsi="黑体" w:eastAsia="黑体"/>
          <w:color w:val="auto"/>
          <w:highlight w:val="none"/>
        </w:rPr>
      </w:pPr>
      <w:bookmarkStart w:id="151" w:name="_Toc15396610"/>
      <w:bookmarkStart w:id="152" w:name="_Toc753686409_WPSOffice_Level2"/>
      <w:bookmarkStart w:id="153" w:name="_Toc61595035_WPSOffice_Level2"/>
      <w:bookmarkStart w:id="154" w:name="_Toc15377218"/>
      <w:bookmarkStart w:id="155" w:name="_Toc1995516849_WPSOffice_Level2"/>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151"/>
      <w:bookmarkEnd w:id="152"/>
      <w:bookmarkEnd w:id="153"/>
      <w:bookmarkEnd w:id="154"/>
      <w:bookmarkEnd w:id="155"/>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ascii="黑体" w:hAnsi="黑体" w:eastAsia="黑体"/>
          <w:b w:val="0"/>
          <w:color w:val="auto"/>
          <w:highlight w:val="none"/>
        </w:rPr>
      </w:pPr>
      <w:bookmarkStart w:id="156" w:name="_Toc15377219"/>
      <w:bookmarkStart w:id="157" w:name="_Toc15396611"/>
      <w:bookmarkStart w:id="158" w:name="_Toc1748171127_WPSOffice_Level2"/>
      <w:bookmarkStart w:id="159" w:name="_Toc1596716839_WPSOffice_Level2"/>
      <w:bookmarkStart w:id="160" w:name="_Toc612815721_WPSOffice_Level2"/>
      <w:bookmarkStart w:id="161" w:name="_Toc1596716839"/>
      <w:r>
        <w:rPr>
          <w:rStyle w:val="31"/>
          <w:rFonts w:hint="eastAsia" w:ascii="黑体" w:hAnsi="黑体" w:eastAsia="黑体"/>
          <w:b w:val="0"/>
          <w:color w:val="auto"/>
          <w:highlight w:val="none"/>
        </w:rPr>
        <w:t>国有资本经营预算支出决算情况说明</w:t>
      </w:r>
      <w:bookmarkEnd w:id="156"/>
      <w:bookmarkEnd w:id="157"/>
      <w:bookmarkEnd w:id="158"/>
      <w:bookmarkEnd w:id="159"/>
      <w:bookmarkEnd w:id="160"/>
    </w:p>
    <w:bookmarkEnd w:id="161"/>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hint="eastAsia" w:ascii="黑体" w:hAnsi="黑体" w:eastAsia="黑体"/>
          <w:b w:val="0"/>
          <w:color w:val="auto"/>
          <w:highlight w:val="none"/>
        </w:rPr>
      </w:pPr>
      <w:bookmarkStart w:id="162" w:name="_Toc15396612"/>
      <w:bookmarkStart w:id="163" w:name="_Toc279839767_WPSOffice_Level2"/>
      <w:bookmarkStart w:id="164" w:name="_Toc1723559113_WPSOffice_Level2"/>
      <w:bookmarkStart w:id="165" w:name="_Toc15377221"/>
      <w:bookmarkStart w:id="166" w:name="_Toc1766320430_WPSOffice_Level2"/>
      <w:bookmarkStart w:id="167" w:name="_Toc279839767"/>
      <w:r>
        <w:rPr>
          <w:rStyle w:val="31"/>
          <w:rFonts w:hint="eastAsia" w:ascii="黑体" w:hAnsi="黑体" w:eastAsia="黑体"/>
          <w:b w:val="0"/>
          <w:color w:val="auto"/>
          <w:highlight w:val="none"/>
        </w:rPr>
        <w:t>其他重要事项的情况说明</w:t>
      </w:r>
      <w:bookmarkEnd w:id="162"/>
      <w:bookmarkEnd w:id="163"/>
      <w:bookmarkEnd w:id="164"/>
      <w:bookmarkEnd w:id="165"/>
      <w:bookmarkEnd w:id="166"/>
    </w:p>
    <w:bookmarkEnd w:id="167"/>
    <w:p>
      <w:pPr>
        <w:spacing w:line="600" w:lineRule="exact"/>
        <w:ind w:firstLine="642" w:firstLineChars="200"/>
        <w:outlineLvl w:val="2"/>
        <w:rPr>
          <w:rFonts w:ascii="仿宋" w:hAnsi="仿宋" w:eastAsia="仿宋"/>
          <w:color w:val="auto"/>
          <w:sz w:val="32"/>
          <w:szCs w:val="32"/>
          <w:highlight w:val="none"/>
        </w:rPr>
      </w:pPr>
      <w:bookmarkStart w:id="168" w:name="_Toc961310604_WPSOffice_Level3"/>
      <w:bookmarkStart w:id="169" w:name="_Toc15377222"/>
      <w:bookmarkStart w:id="170" w:name="_Toc1171752054_WPSOffice_Level3"/>
      <w:bookmarkStart w:id="171" w:name="_Toc102818410_WPSOffice_Level3"/>
      <w:bookmarkStart w:id="172" w:name="_Toc31870"/>
      <w:bookmarkStart w:id="173" w:name="_Toc613099372_WPSOffice_Level3"/>
      <w:r>
        <w:rPr>
          <w:rFonts w:hint="eastAsia" w:ascii="仿宋" w:hAnsi="仿宋" w:eastAsia="仿宋"/>
          <w:b/>
          <w:color w:val="auto"/>
          <w:sz w:val="32"/>
          <w:szCs w:val="32"/>
          <w:highlight w:val="none"/>
        </w:rPr>
        <w:t>（一）机关运行经费支出情况</w:t>
      </w:r>
      <w:bookmarkEnd w:id="168"/>
      <w:bookmarkEnd w:id="169"/>
      <w:bookmarkEnd w:id="170"/>
      <w:bookmarkEnd w:id="171"/>
      <w:bookmarkEnd w:id="172"/>
      <w:bookmarkEnd w:id="173"/>
    </w:p>
    <w:p>
      <w:pPr>
        <w:spacing w:line="58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，广元市昭化区司法局机关运行经费支出</w:t>
      </w:r>
      <w:r>
        <w:rPr>
          <w:rFonts w:hint="eastAsia" w:ascii="仿宋_GB2312" w:hAnsi="仿宋_GB2312" w:eastAsia="仿宋_GB2312" w:cs="仿宋_GB2312"/>
          <w:color w:val="auto"/>
          <w:sz w:val="32"/>
          <w:szCs w:val="32"/>
          <w:highlight w:val="none"/>
          <w:lang w:val="en-US" w:eastAsia="zh-CN"/>
        </w:rPr>
        <w:t>78.56</w:t>
      </w:r>
      <w:r>
        <w:rPr>
          <w:rFonts w:hint="eastAsia" w:ascii="仿宋_GB2312" w:hAnsi="仿宋_GB2312" w:eastAsia="仿宋_GB2312" w:cs="仿宋_GB2312"/>
          <w:color w:val="auto"/>
          <w:sz w:val="32"/>
          <w:szCs w:val="32"/>
          <w:highlight w:val="none"/>
        </w:rPr>
        <w:t>万元，比</w:t>
      </w:r>
      <w:r>
        <w:rPr>
          <w:rFonts w:hint="eastAsia" w:ascii="仿宋_GB2312" w:hAnsi="仿宋_GB2312" w:eastAsia="仿宋_GB2312" w:cs="仿宋_GB2312"/>
          <w:color w:val="auto"/>
          <w:sz w:val="32"/>
          <w:szCs w:val="32"/>
          <w:highlight w:val="none"/>
          <w:lang w:eastAsia="zh-CN"/>
        </w:rPr>
        <w:t>2023年增加</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，主要原因是人员增加</w:t>
      </w:r>
      <w:r>
        <w:rPr>
          <w:rFonts w:hint="eastAsia" w:ascii="仿宋_GB2312" w:hAnsi="仿宋_GB2312" w:eastAsia="仿宋_GB2312" w:cs="仿宋_GB2312"/>
          <w:color w:val="auto"/>
          <w:sz w:val="32"/>
          <w:szCs w:val="32"/>
          <w:highlight w:val="none"/>
          <w:lang w:val="en-US"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174" w:name="_Toc937524973_WPSOffice_Level3"/>
      <w:bookmarkStart w:id="175" w:name="_Toc17440"/>
      <w:bookmarkStart w:id="176" w:name="_Toc1758662163_WPSOffice_Level3"/>
      <w:bookmarkStart w:id="177" w:name="_Toc382461795_WPSOffice_Level3"/>
      <w:bookmarkStart w:id="178" w:name="_Toc15377223"/>
      <w:bookmarkStart w:id="179" w:name="_Toc1426477912_WPSOffice_Level3"/>
      <w:r>
        <w:rPr>
          <w:rFonts w:hint="eastAsia" w:ascii="仿宋" w:hAnsi="仿宋" w:eastAsia="仿宋"/>
          <w:b/>
          <w:color w:val="auto"/>
          <w:sz w:val="32"/>
          <w:szCs w:val="32"/>
          <w:highlight w:val="none"/>
        </w:rPr>
        <w:t>（二）政府采购支出情况</w:t>
      </w:r>
      <w:bookmarkEnd w:id="174"/>
      <w:bookmarkEnd w:id="175"/>
      <w:bookmarkEnd w:id="176"/>
      <w:bookmarkEnd w:id="177"/>
      <w:bookmarkEnd w:id="178"/>
      <w:bookmarkEnd w:id="179"/>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，广元市昭化区司法局政府采购支出总额</w:t>
      </w:r>
      <w:r>
        <w:rPr>
          <w:rFonts w:hint="eastAsia" w:ascii="仿宋_GB2312" w:hAnsi="仿宋_GB2312" w:eastAsia="仿宋_GB2312"/>
          <w:color w:val="auto"/>
          <w:kern w:val="2"/>
          <w:sz w:val="32"/>
          <w:szCs w:val="24"/>
        </w:rPr>
        <w:t>14</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49万元</w:t>
      </w:r>
      <w:r>
        <w:rPr>
          <w:rFonts w:hint="eastAsia" w:ascii="仿宋_GB2312" w:hAnsi="仿宋_GB2312" w:eastAsia="仿宋_GB2312" w:cs="仿宋_GB2312"/>
          <w:color w:val="auto"/>
          <w:sz w:val="32"/>
          <w:szCs w:val="32"/>
          <w:highlight w:val="none"/>
        </w:rPr>
        <w:t>，其中：政府采购货物支出</w:t>
      </w:r>
      <w:r>
        <w:rPr>
          <w:rFonts w:hint="eastAsia" w:ascii="仿宋_GB2312" w:hAnsi="仿宋_GB2312" w:eastAsia="仿宋_GB2312"/>
          <w:color w:val="auto"/>
          <w:kern w:val="2"/>
          <w:sz w:val="32"/>
          <w:szCs w:val="24"/>
        </w:rPr>
        <w:t>14</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49万元</w:t>
      </w:r>
      <w:r>
        <w:rPr>
          <w:rFonts w:hint="eastAsia" w:ascii="仿宋_GB2312" w:hAnsi="仿宋_GB2312" w:eastAsia="仿宋_GB2312" w:cs="仿宋_GB2312"/>
          <w:color w:val="auto"/>
          <w:sz w:val="32"/>
          <w:szCs w:val="32"/>
          <w:highlight w:val="none"/>
        </w:rPr>
        <w:t>、政府采购工程支出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万元。主要用于采购电脑、打印机等办公设备。授予中小企业合同金额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180" w:name="_Toc753686409_WPSOffice_Level3"/>
      <w:bookmarkStart w:id="181" w:name="_Toc19523"/>
      <w:bookmarkStart w:id="182" w:name="_Toc1648778726_WPSOffice_Level3"/>
      <w:bookmarkStart w:id="183" w:name="_Toc15377224"/>
      <w:bookmarkStart w:id="184" w:name="_Toc61595035_WPSOffice_Level3"/>
      <w:bookmarkStart w:id="185" w:name="_Toc2002397841_WPSOffice_Level3"/>
      <w:r>
        <w:rPr>
          <w:rFonts w:hint="eastAsia" w:ascii="仿宋" w:hAnsi="仿宋" w:eastAsia="仿宋"/>
          <w:b/>
          <w:color w:val="auto"/>
          <w:sz w:val="32"/>
          <w:szCs w:val="32"/>
          <w:highlight w:val="none"/>
        </w:rPr>
        <w:t>（三）国有资产占有使用情况</w:t>
      </w:r>
      <w:bookmarkEnd w:id="180"/>
      <w:bookmarkEnd w:id="181"/>
      <w:bookmarkEnd w:id="182"/>
      <w:bookmarkEnd w:id="183"/>
      <w:bookmarkEnd w:id="184"/>
      <w:bookmarkEnd w:id="185"/>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12月31日，共有车辆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执法执勤车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。主要用于</w:t>
      </w:r>
      <w:r>
        <w:rPr>
          <w:rFonts w:hint="eastAsia" w:ascii="仿宋_GB2312" w:eastAsia="仿宋_GB2312"/>
          <w:color w:val="auto"/>
          <w:sz w:val="32"/>
          <w:szCs w:val="32"/>
          <w:highlight w:val="none"/>
        </w:rPr>
        <w:t>基层司法所业务、法律援助、普法宣传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社区矫正、安置帮教、</w:t>
      </w:r>
      <w:r>
        <w:rPr>
          <w:rFonts w:hint="eastAsia" w:ascii="仿宋_GB2312" w:eastAsia="仿宋_GB2312"/>
          <w:color w:val="auto"/>
          <w:sz w:val="32"/>
          <w:szCs w:val="32"/>
          <w:highlight w:val="none"/>
          <w:lang w:eastAsia="zh-CN"/>
        </w:rPr>
        <w:t>乡村振兴</w:t>
      </w:r>
      <w:r>
        <w:rPr>
          <w:rFonts w:hint="eastAsia" w:ascii="仿宋_GB2312" w:eastAsia="仿宋_GB2312"/>
          <w:color w:val="auto"/>
          <w:sz w:val="32"/>
          <w:szCs w:val="32"/>
          <w:highlight w:val="none"/>
        </w:rPr>
        <w:t>、办案业务等所需的公务用车燃料费、维修费、过路过桥费、保险费等支出。</w:t>
      </w:r>
      <w:r>
        <w:rPr>
          <w:rFonts w:hint="eastAsia" w:ascii="仿宋_GB2312" w:hAnsi="仿宋_GB2312" w:eastAsia="仿宋_GB2312" w:cs="仿宋_GB2312"/>
          <w:color w:val="auto"/>
          <w:sz w:val="32"/>
          <w:szCs w:val="32"/>
          <w:highlight w:val="none"/>
        </w:rPr>
        <w:t>单价50万元以上通用设备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186" w:name="_Toc1995516849_WPSOffice_Level3"/>
      <w:r>
        <w:rPr>
          <w:rFonts w:hint="eastAsia" w:ascii="仿宋" w:hAnsi="仿宋" w:eastAsia="仿宋"/>
          <w:b/>
          <w:color w:val="auto"/>
          <w:sz w:val="32"/>
          <w:szCs w:val="32"/>
          <w:highlight w:val="none"/>
        </w:rPr>
        <w:t>（四）预算绩效管理情况</w:t>
      </w:r>
      <w:bookmarkEnd w:id="186"/>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年度预算编制阶段，组织对基层司法业务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普法宣传经费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法律援助金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法律顾问费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行政复议工作经费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依法治区和法治政府建设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司法辅助人员包干经费</w:t>
      </w:r>
      <w:r>
        <w:rPr>
          <w:rFonts w:hint="eastAsia" w:ascii="仿宋_GB2312" w:hAnsi="仿宋_GB2312" w:eastAsia="仿宋_GB2312" w:cs="仿宋_GB2312"/>
          <w:color w:val="auto"/>
          <w:sz w:val="32"/>
          <w:szCs w:val="32"/>
          <w:highlight w:val="none"/>
          <w:lang w:eastAsia="zh-CN"/>
        </w:rPr>
        <w:t>、争取资金工作经费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2023年度组织一般公共预算、政府性基金预算、国有资本经营预算以及资本资产、债券资金等全面开展绩效自评，形成202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司法局</w:t>
      </w:r>
      <w:r>
        <w:rPr>
          <w:rFonts w:hint="eastAsia" w:ascii="仿宋_GB2312" w:hAnsi="仿宋_GB2312" w:eastAsia="仿宋_GB2312" w:cs="仿宋_GB2312"/>
          <w:color w:val="auto"/>
          <w:sz w:val="32"/>
          <w:szCs w:val="32"/>
          <w:highlight w:val="none"/>
        </w:rPr>
        <w:t>（部门）整体（含部门预算项目）绩效自评报告、依法治区和法治政府建设等专项预算项目绩效自评报告。</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广元市司法局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按照预算绩效管理要求，本部门对2023年整体支出的人员类、运转类、特定目标类项目开展绩效自评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法律援助</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我局</w:t>
      </w:r>
      <w:r>
        <w:rPr>
          <w:rFonts w:hint="eastAsia" w:ascii="仿宋_GB2312" w:hAnsi="仿宋_GB2312" w:eastAsia="仿宋_GB2312" w:cs="仿宋_GB2312"/>
          <w:color w:val="auto"/>
          <w:sz w:val="32"/>
          <w:szCs w:val="32"/>
          <w:highlight w:val="none"/>
        </w:rPr>
        <w:t>法律援助项目资金主要用于支付法律援助人员办案补贴和律师值班补贴，通过数量指标、时效指标、质量指标、成本指标进行绩效评价项目评价</w:t>
      </w:r>
      <w:r>
        <w:rPr>
          <w:rFonts w:hint="eastAsia" w:ascii="仿宋_GB2312" w:hAnsi="仿宋_GB2312" w:eastAsia="仿宋_GB2312" w:cs="仿宋_GB2312"/>
          <w:color w:val="auto"/>
          <w:sz w:val="32"/>
          <w:szCs w:val="32"/>
          <w:highlight w:val="none"/>
          <w:lang w:eastAsia="zh-CN"/>
        </w:rPr>
        <w:t>；依法治区和</w:t>
      </w:r>
      <w:r>
        <w:rPr>
          <w:rFonts w:hint="eastAsia" w:ascii="仿宋_GB2312" w:hAnsi="仿宋_GB2312" w:eastAsia="仿宋_GB2312" w:cs="仿宋_GB2312"/>
          <w:color w:val="auto"/>
          <w:sz w:val="32"/>
          <w:szCs w:val="32"/>
          <w:highlight w:val="none"/>
          <w:lang w:val="en-US" w:eastAsia="zh-CN"/>
        </w:rPr>
        <w:t>法治政府建设</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全面完成年度目标任务，积极开展法治政府示范创建，</w:t>
      </w:r>
      <w:r>
        <w:rPr>
          <w:rFonts w:hint="eastAsia" w:ascii="仿宋_GB2312" w:hAnsi="仿宋_GB2312" w:eastAsia="仿宋_GB2312" w:cs="仿宋_GB2312"/>
          <w:color w:val="auto"/>
          <w:sz w:val="32"/>
          <w:szCs w:val="32"/>
          <w:highlight w:val="none"/>
          <w:lang w:eastAsia="zh-CN"/>
        </w:rPr>
        <w:t>成功创建“</w:t>
      </w:r>
      <w:r>
        <w:rPr>
          <w:rFonts w:hint="eastAsia" w:ascii="仿宋_GB2312" w:hAnsi="仿宋_GB2312" w:eastAsia="仿宋_GB2312" w:cs="仿宋_GB2312"/>
          <w:color w:val="auto"/>
          <w:sz w:val="32"/>
          <w:szCs w:val="32"/>
          <w:highlight w:val="none"/>
          <w:lang w:val="en-US" w:eastAsia="zh-CN"/>
        </w:rPr>
        <w:t>省级法治政府建设示范区”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基层司法业务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通过广大基层人民调解员和全区各级安置帮教工作人员的努力，有效维护了当地社会稳定；</w:t>
      </w:r>
      <w:r>
        <w:rPr>
          <w:rFonts w:hint="eastAsia" w:ascii="仿宋_GB2312" w:hAnsi="仿宋_GB2312" w:eastAsia="仿宋_GB2312" w:cs="仿宋_GB2312"/>
          <w:color w:val="auto"/>
          <w:sz w:val="32"/>
          <w:szCs w:val="32"/>
          <w:highlight w:val="none"/>
          <w:lang w:val="en-US" w:eastAsia="zh-CN"/>
        </w:rPr>
        <w:t>普法宣传</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年，顺利通过全省“八五”普法中期评估验收。扎实开展“法律七进+”“一月一主题”等法治宣传活动800余场次，通过短信平台向群众发布普法短信80余万条，群众法治意识大幅提升，有效提升</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人民群众</w:t>
      </w:r>
      <w:r>
        <w:rPr>
          <w:rFonts w:hint="eastAsia" w:ascii="仿宋_GB2312" w:hAnsi="仿宋_GB2312" w:eastAsia="仿宋_GB2312" w:cs="仿宋_GB2312"/>
          <w:color w:val="auto"/>
          <w:sz w:val="32"/>
          <w:szCs w:val="32"/>
          <w:highlight w:val="none"/>
          <w:lang w:val="en-US" w:eastAsia="zh-CN"/>
        </w:rPr>
        <w:t>的法治意识和法治素养。政府法律顾问经费</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2023年，区政府法律顾问为我区</w:t>
      </w:r>
      <w:r>
        <w:rPr>
          <w:rFonts w:hint="eastAsia" w:ascii="仿宋_GB2312" w:hAnsi="仿宋_GB2312" w:eastAsia="仿宋_GB2312" w:cs="仿宋_GB2312"/>
          <w:color w:val="auto"/>
          <w:sz w:val="32"/>
          <w:szCs w:val="32"/>
          <w:highlight w:val="none"/>
          <w:lang w:eastAsia="zh-CN"/>
        </w:rPr>
        <w:t>审查重大行政决策、政府合同协议、行政规范性文件139件，协助处理涉法事务48件，提出法律意见建议543条。（部分业务涉密，不予公开）</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绩效自评报告详见附件（第四部分）。</w:t>
      </w: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rPr>
      </w:pP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187" w:name="_Toc15396613"/>
      <w:bookmarkStart w:id="188" w:name="_Toc56324611_WPSOffice_Level1"/>
      <w:bookmarkStart w:id="189" w:name="_Toc15377225"/>
      <w:bookmarkStart w:id="190" w:name="_Toc643982899_WPSOffice_Level1"/>
      <w:bookmarkStart w:id="191" w:name="_Toc1483023753_WPSOffice_Level1"/>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187"/>
      <w:bookmarkEnd w:id="188"/>
      <w:bookmarkEnd w:id="189"/>
      <w:bookmarkEnd w:id="190"/>
      <w:bookmarkEnd w:id="191"/>
    </w:p>
    <w:p>
      <w:pPr>
        <w:spacing w:line="600" w:lineRule="exact"/>
        <w:jc w:val="left"/>
        <w:rPr>
          <w:rFonts w:ascii="宋体"/>
          <w:b/>
          <w:color w:val="auto"/>
          <w:sz w:val="44"/>
          <w:szCs w:val="44"/>
          <w:highlight w:val="none"/>
        </w:rPr>
      </w:pP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bookmarkStart w:id="192" w:name="_Toc15396614"/>
      <w:bookmarkStart w:id="193" w:name="_Toc15377226"/>
      <w:r>
        <w:rPr>
          <w:rFonts w:hint="eastAsia" w:ascii="仿宋_GB2312" w:hAnsi="仿宋_GB2312" w:eastAsia="仿宋_GB2312"/>
          <w:color w:val="000000"/>
          <w:sz w:val="32"/>
          <w:szCs w:val="32"/>
        </w:rPr>
        <w:t>一、财政拨款收入：指单位从同级财政部门取得的财政预算资金。</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二、事业收入：指事业单位开展专业业务活动及辅助活动取得的收入。</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三、经营收入：指事业单位在专业业务活动及其辅助活动之外开展非独立核算经营活动取得的收入。</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四、其他收入：指单位取得的除上述收入以外的各项收入。</w:t>
      </w:r>
    </w:p>
    <w:p>
      <w:pPr>
        <w:pStyle w:val="28"/>
        <w:spacing w:line="576"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32"/>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六、年初结转和结余：指以前年度尚未完成、结转到本年按有关规定继续使用的资金。 </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七、结余分配：指事业单位按照会计制度规定缴纳的所得税、提取的专用结余以及转入非财政拨款结余的金额等。</w:t>
      </w:r>
    </w:p>
    <w:p>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八、年末结转和结余：指单位按有关规定结转到下年或以后年度继续使用的资金。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auto"/>
          <w:sz w:val="32"/>
          <w:szCs w:val="24"/>
          <w:lang w:eastAsia="zh-CN"/>
        </w:rPr>
        <w:t>九</w:t>
      </w:r>
      <w:r>
        <w:rPr>
          <w:rFonts w:hint="eastAsia" w:ascii="仿宋_GB2312" w:eastAsia="仿宋_GB2312"/>
          <w:color w:val="auto"/>
          <w:sz w:val="32"/>
          <w:szCs w:val="24"/>
        </w:rPr>
        <w:t>、</w:t>
      </w:r>
      <w:r>
        <w:rPr>
          <w:rFonts w:hint="eastAsia" w:ascii="仿宋_GB2312" w:hAnsi="仿宋_GB2312" w:eastAsia="仿宋_GB2312" w:cs="仿宋_GB2312"/>
          <w:color w:val="000000"/>
          <w:sz w:val="32"/>
          <w:szCs w:val="32"/>
        </w:rPr>
        <w:t>公共安全支出（类）司法（款）行政运行（项）：指反映行政单位（包括实行公务员管理的事业单位）的基本支出。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十、</w:t>
      </w:r>
      <w:r>
        <w:rPr>
          <w:rFonts w:hint="eastAsia" w:ascii="仿宋_GB2312" w:hAnsi="仿宋_GB2312" w:eastAsia="仿宋_GB2312" w:cs="仿宋_GB2312"/>
          <w:color w:val="000000"/>
          <w:sz w:val="32"/>
          <w:szCs w:val="32"/>
        </w:rPr>
        <w:t>公共安全支出（类）司法（款）一般行政管理事务（项）：指反映行政单位（包括实行公务员管理的事业单位）</w:t>
      </w:r>
      <w:r>
        <w:rPr>
          <w:rFonts w:hint="eastAsia" w:ascii="仿宋_GB2312" w:hAnsi="仿宋_GB2312" w:eastAsia="仿宋_GB2312" w:cs="仿宋_GB2312"/>
          <w:color w:val="000000"/>
          <w:sz w:val="32"/>
          <w:szCs w:val="32"/>
          <w:lang w:eastAsia="zh-CN"/>
        </w:rPr>
        <w:t>未单独设置项级科目的其他项目支出</w:t>
      </w:r>
      <w:r>
        <w:rPr>
          <w:rFonts w:hint="eastAsia" w:ascii="仿宋_GB2312" w:hAnsi="仿宋_GB2312" w:eastAsia="仿宋_GB2312" w:cs="仿宋_GB2312"/>
          <w:color w:val="000000"/>
          <w:sz w:val="32"/>
          <w:szCs w:val="32"/>
        </w:rPr>
        <w:t>。</w:t>
      </w:r>
    </w:p>
    <w:p>
      <w:pPr>
        <w:spacing w:line="560" w:lineRule="exact"/>
        <w:ind w:firstLine="640" w:firstLineChars="200"/>
        <w:rPr>
          <w:rStyle w:val="19"/>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公共安全支出（类）司法（款）</w:t>
      </w:r>
      <w:r>
        <w:rPr>
          <w:rStyle w:val="19"/>
          <w:rFonts w:hint="eastAsia" w:ascii="仿宋_GB2312" w:hAnsi="仿宋_GB2312" w:eastAsia="仿宋_GB2312" w:cs="仿宋_GB2312"/>
          <w:b w:val="0"/>
          <w:bCs/>
          <w:color w:val="000000"/>
          <w:sz w:val="32"/>
          <w:szCs w:val="32"/>
        </w:rPr>
        <w:t>基层司法业务（项）：指反映各级司法行政部门用于基层业务的支出，包括基层工作指导费、调解费、安置帮教费、司法所经费和公共法律服务平台相关支出、人民陪审员选任管理费用、人民监督员选任管理费用等支出。</w:t>
      </w:r>
    </w:p>
    <w:p>
      <w:pPr>
        <w:spacing w:line="560" w:lineRule="exact"/>
        <w:ind w:firstLine="640" w:firstLineChars="200"/>
        <w:rPr>
          <w:rFonts w:hint="eastAsia" w:ascii="仿宋_GB2312" w:hAnsi="仿宋_GB2312" w:eastAsia="仿宋_GB2312" w:cs="仿宋_GB2312"/>
          <w:color w:val="000000"/>
          <w:sz w:val="32"/>
          <w:szCs w:val="32"/>
        </w:rPr>
      </w:pPr>
      <w:r>
        <w:rPr>
          <w:rStyle w:val="19"/>
          <w:rFonts w:hint="eastAsia" w:ascii="仿宋_GB2312" w:hAnsi="仿宋_GB2312" w:eastAsia="仿宋_GB2312" w:cs="仿宋_GB2312"/>
          <w:b w:val="0"/>
          <w:bCs/>
          <w:color w:val="000000"/>
          <w:sz w:val="32"/>
          <w:szCs w:val="32"/>
          <w:lang w:val="en-US" w:eastAsia="zh-CN"/>
        </w:rPr>
        <w:t>十二、</w:t>
      </w:r>
      <w:r>
        <w:rPr>
          <w:rFonts w:hint="eastAsia" w:ascii="仿宋_GB2312" w:hAnsi="仿宋_GB2312" w:eastAsia="仿宋_GB2312" w:cs="仿宋_GB2312"/>
          <w:color w:val="000000"/>
          <w:sz w:val="32"/>
          <w:szCs w:val="32"/>
        </w:rPr>
        <w:t>公共安全支出（类）司法（款）普法宣传（项）：指反映各级司法行政部门用于组织各种媒体的宣传、普法装备与设施、宣传资料、对外宣传、法制作品的审读评审等方面的支出。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公共安全支出（类）司法（款）公共法律服务（项）：反映司法行政部门用于法律援助、司法鉴定、公证、仲裁等公共法律服务工作的相关支出。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十四</w:t>
      </w:r>
      <w:r>
        <w:rPr>
          <w:rFonts w:hint="eastAsia" w:ascii="仿宋_GB2312" w:hAnsi="仿宋_GB2312" w:eastAsia="仿宋_GB2312" w:cs="仿宋_GB2312"/>
          <w:color w:val="000000"/>
          <w:sz w:val="32"/>
          <w:szCs w:val="32"/>
        </w:rPr>
        <w:t>.公共安全支出（类）司法（款）</w:t>
      </w:r>
      <w:r>
        <w:rPr>
          <w:rFonts w:hint="eastAsia" w:ascii="仿宋_GB2312" w:hAnsi="仿宋_GB2312" w:eastAsia="仿宋_GB2312" w:cs="仿宋_GB2312"/>
          <w:color w:val="000000"/>
          <w:sz w:val="32"/>
          <w:szCs w:val="32"/>
          <w:lang w:eastAsia="zh-CN"/>
        </w:rPr>
        <w:t>社区矫正</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指</w:t>
      </w:r>
      <w:r>
        <w:rPr>
          <w:rFonts w:hint="eastAsia" w:ascii="仿宋_GB2312" w:hAnsi="仿宋_GB2312" w:eastAsia="仿宋_GB2312" w:cs="仿宋_GB2312"/>
          <w:color w:val="000000"/>
          <w:sz w:val="32"/>
          <w:szCs w:val="32"/>
        </w:rPr>
        <w:t>反映司法行政部门用于社区矫正的相关支出。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十四</w:t>
      </w:r>
      <w:r>
        <w:rPr>
          <w:rFonts w:hint="eastAsia" w:ascii="仿宋_GB2312" w:hAnsi="仿宋_GB2312" w:eastAsia="仿宋_GB2312" w:cs="仿宋_GB2312"/>
          <w:color w:val="000000"/>
          <w:sz w:val="32"/>
          <w:szCs w:val="32"/>
        </w:rPr>
        <w:t>.公共安全支出（类）司法（款）法</w:t>
      </w:r>
      <w:r>
        <w:rPr>
          <w:rFonts w:hint="eastAsia" w:ascii="仿宋_GB2312" w:hAnsi="仿宋_GB2312" w:eastAsia="仿宋_GB2312" w:cs="仿宋_GB2312"/>
          <w:color w:val="000000"/>
          <w:sz w:val="32"/>
          <w:szCs w:val="32"/>
          <w:lang w:val="en-US" w:eastAsia="zh-CN"/>
        </w:rPr>
        <w:t>治</w:t>
      </w:r>
      <w:r>
        <w:rPr>
          <w:rFonts w:hint="eastAsia" w:ascii="仿宋_GB2312" w:hAnsi="仿宋_GB2312" w:eastAsia="仿宋_GB2312" w:cs="仿宋_GB2312"/>
          <w:color w:val="000000"/>
          <w:sz w:val="32"/>
          <w:szCs w:val="32"/>
        </w:rPr>
        <w:t>建设（项):</w:t>
      </w:r>
      <w:r>
        <w:rPr>
          <w:rFonts w:hint="eastAsia" w:ascii="仿宋_GB2312" w:hAnsi="仿宋_GB2312" w:eastAsia="仿宋_GB2312" w:cs="仿宋_GB2312"/>
          <w:color w:val="000000"/>
          <w:sz w:val="32"/>
          <w:szCs w:val="32"/>
          <w:lang w:eastAsia="zh-CN"/>
        </w:rPr>
        <w:t>指</w:t>
      </w:r>
      <w:r>
        <w:rPr>
          <w:rFonts w:hint="eastAsia" w:ascii="仿宋_GB2312" w:hAnsi="仿宋_GB2312" w:eastAsia="仿宋_GB2312" w:cs="仿宋_GB2312"/>
          <w:color w:val="000000"/>
          <w:sz w:val="32"/>
          <w:szCs w:val="32"/>
        </w:rPr>
        <w:t>反映全面依法治</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相关工作、执法监督、行政复议等方面的支出。</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十五、公共安全支出（类）司法（款）其他司法支出（项）：指反映上述以外其他用于司法方面的支出。</w:t>
      </w:r>
    </w:p>
    <w:p>
      <w:pPr>
        <w:spacing w:line="560" w:lineRule="exact"/>
        <w:ind w:firstLine="640" w:firstLineChars="200"/>
        <w:rPr>
          <w:rFonts w:hint="eastAsia" w:ascii="仿宋_GB2312" w:eastAsia="仿宋_GB2312"/>
          <w:color w:val="auto"/>
          <w:sz w:val="32"/>
          <w:szCs w:val="24"/>
        </w:rPr>
      </w:pPr>
      <w:r>
        <w:rPr>
          <w:rFonts w:hint="eastAsia" w:ascii="仿宋_GB2312" w:hAnsi="仿宋_GB2312" w:eastAsia="仿宋_GB2312" w:cs="仿宋_GB2312"/>
          <w:color w:val="000000"/>
          <w:sz w:val="32"/>
          <w:szCs w:val="32"/>
          <w:lang w:eastAsia="zh-CN"/>
        </w:rPr>
        <w:t>十六</w:t>
      </w:r>
      <w:r>
        <w:rPr>
          <w:rFonts w:hint="eastAsia" w:ascii="仿宋_GB2312" w:hAnsi="仿宋_GB2312" w:eastAsia="仿宋_GB2312" w:cs="仿宋_GB2312"/>
          <w:color w:val="000000"/>
          <w:sz w:val="32"/>
          <w:szCs w:val="32"/>
        </w:rPr>
        <w:t>、社会保障和就业（类）行政事业单位离</w:t>
      </w:r>
      <w:r>
        <w:rPr>
          <w:rFonts w:hint="eastAsia" w:ascii="仿宋_GB2312" w:eastAsia="仿宋_GB2312"/>
          <w:color w:val="auto"/>
          <w:sz w:val="32"/>
          <w:szCs w:val="24"/>
        </w:rPr>
        <w:t>退休（款）机关事业单位基本养老保险缴费支出（项）:指部门实施养老保险制度由单位缴纳的养老保险费的支出。</w:t>
      </w:r>
    </w:p>
    <w:p>
      <w:pPr>
        <w:pStyle w:val="28"/>
        <w:kinsoku/>
        <w:wordWrap/>
        <w:bidi w:val="0"/>
        <w:snapToGrid/>
        <w:spacing w:beforeLines="0" w:afterLines="0" w:line="576" w:lineRule="exact"/>
        <w:ind w:firstLine="640" w:firstLineChars="200"/>
        <w:rPr>
          <w:rFonts w:hint="eastAsia" w:ascii="仿宋_GB2312" w:eastAsia="仿宋_GB2312"/>
          <w:color w:val="auto"/>
          <w:sz w:val="32"/>
          <w:szCs w:val="24"/>
        </w:rPr>
      </w:pPr>
      <w:r>
        <w:rPr>
          <w:rFonts w:hint="eastAsia" w:ascii="仿宋_GB2312" w:eastAsia="仿宋_GB2312"/>
          <w:color w:val="auto"/>
          <w:sz w:val="32"/>
          <w:szCs w:val="24"/>
          <w:lang w:eastAsia="zh-CN"/>
        </w:rPr>
        <w:t>十七</w:t>
      </w:r>
      <w:r>
        <w:rPr>
          <w:rFonts w:hint="eastAsia" w:ascii="仿宋_GB2312" w:eastAsia="仿宋_GB2312"/>
          <w:color w:val="auto"/>
          <w:sz w:val="32"/>
          <w:szCs w:val="24"/>
        </w:rPr>
        <w:t>、卫生健康（类）行政事业单位医疗（款）行政单位医疗（项）:指机关及参公管理事业单位用于单位应缴纳基本医疗保险支出。</w:t>
      </w:r>
    </w:p>
    <w:p>
      <w:pPr>
        <w:pStyle w:val="28"/>
        <w:kinsoku/>
        <w:wordWrap/>
        <w:bidi w:val="0"/>
        <w:snapToGrid/>
        <w:spacing w:beforeLines="0" w:afterLines="0" w:line="576" w:lineRule="exact"/>
        <w:ind w:firstLine="640" w:firstLineChars="200"/>
        <w:rPr>
          <w:rFonts w:hint="eastAsia" w:ascii="仿宋_GB2312" w:eastAsia="仿宋_GB2312"/>
          <w:color w:val="auto"/>
          <w:sz w:val="32"/>
          <w:szCs w:val="24"/>
        </w:rPr>
      </w:pPr>
      <w:r>
        <w:rPr>
          <w:rFonts w:hint="eastAsia" w:ascii="仿宋_GB2312" w:eastAsia="仿宋_GB2312"/>
          <w:color w:val="auto"/>
          <w:sz w:val="32"/>
          <w:szCs w:val="24"/>
          <w:lang w:eastAsia="zh-CN"/>
        </w:rPr>
        <w:t>十八</w:t>
      </w:r>
      <w:r>
        <w:rPr>
          <w:rFonts w:hint="eastAsia" w:ascii="仿宋_GB2312" w:eastAsia="仿宋_GB2312"/>
          <w:color w:val="auto"/>
          <w:sz w:val="32"/>
          <w:szCs w:val="24"/>
        </w:rPr>
        <w:t>、住房保障支出（类）住房改革支出（款）住房公积金（项）：指按照《住房公积金管理条例》的规定，由单位及其在职职工缴存的长期住房储金。</w:t>
      </w:r>
    </w:p>
    <w:p>
      <w:pPr>
        <w:pStyle w:val="28"/>
        <w:kinsoku/>
        <w:wordWrap/>
        <w:bidi w:val="0"/>
        <w:snapToGrid/>
        <w:spacing w:beforeLines="0" w:afterLines="0" w:line="576" w:lineRule="exact"/>
        <w:ind w:firstLine="640" w:firstLineChars="200"/>
        <w:rPr>
          <w:rFonts w:hint="eastAsia" w:ascii="仿宋_GB2312" w:eastAsia="仿宋_GB2312"/>
          <w:color w:val="auto"/>
          <w:sz w:val="32"/>
          <w:szCs w:val="24"/>
        </w:rPr>
      </w:pPr>
      <w:r>
        <w:rPr>
          <w:rFonts w:hint="eastAsia" w:ascii="仿宋_GB2312" w:eastAsia="仿宋_GB2312"/>
          <w:color w:val="auto"/>
          <w:sz w:val="32"/>
          <w:szCs w:val="24"/>
          <w:lang w:eastAsia="zh-CN"/>
        </w:rPr>
        <w:t>十九</w:t>
      </w:r>
      <w:r>
        <w:rPr>
          <w:rFonts w:hint="eastAsia" w:ascii="仿宋_GB2312" w:eastAsia="仿宋_GB2312"/>
          <w:color w:val="auto"/>
          <w:sz w:val="32"/>
          <w:szCs w:val="24"/>
        </w:rPr>
        <w:t>、</w:t>
      </w:r>
      <w:r>
        <w:rPr>
          <w:rFonts w:hint="eastAsia" w:ascii="仿宋_GB2312" w:hAnsi="仿宋_GB2312" w:eastAsia="仿宋_GB2312"/>
          <w:color w:val="000000"/>
          <w:kern w:val="2"/>
          <w:sz w:val="32"/>
          <w:szCs w:val="24"/>
        </w:rPr>
        <w:t>基本支出：指为保障机构正常运转、完成日常工作任务而发生的人员支出和公用支出。</w:t>
      </w:r>
    </w:p>
    <w:p>
      <w:pPr>
        <w:pStyle w:val="28"/>
        <w:kinsoku/>
        <w:wordWrap/>
        <w:bidi w:val="0"/>
        <w:snapToGrid/>
        <w:spacing w:beforeLines="0" w:afterLines="0" w:line="576" w:lineRule="exact"/>
        <w:ind w:firstLine="640" w:firstLineChars="200"/>
        <w:rPr>
          <w:rFonts w:hint="eastAsia" w:ascii="仿宋_GB2312" w:eastAsia="仿宋_GB2312"/>
          <w:color w:val="auto"/>
          <w:sz w:val="32"/>
          <w:szCs w:val="24"/>
        </w:rPr>
      </w:pPr>
      <w:r>
        <w:rPr>
          <w:rFonts w:hint="eastAsia" w:ascii="仿宋_GB2312" w:eastAsia="仿宋_GB2312"/>
          <w:color w:val="auto"/>
          <w:sz w:val="32"/>
          <w:szCs w:val="24"/>
          <w:lang w:eastAsia="zh-CN"/>
        </w:rPr>
        <w:t>二十</w:t>
      </w:r>
      <w:r>
        <w:rPr>
          <w:rFonts w:hint="eastAsia" w:ascii="仿宋_GB2312" w:eastAsia="仿宋_GB2312"/>
          <w:color w:val="auto"/>
          <w:sz w:val="32"/>
          <w:szCs w:val="24"/>
        </w:rPr>
        <w:t xml:space="preserve">、项目支出：指在基本支出之外为完成特定行政任务和事业发展目标所发生的支出。 </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eastAsia="仿宋_GB2312"/>
          <w:color w:val="auto"/>
          <w:sz w:val="32"/>
          <w:szCs w:val="24"/>
          <w:lang w:eastAsia="zh-CN"/>
        </w:rPr>
        <w:t>二十一</w:t>
      </w:r>
      <w:r>
        <w:rPr>
          <w:rFonts w:hint="eastAsia" w:ascii="仿宋_GB2312" w:eastAsia="仿宋_GB2312"/>
          <w:color w:val="auto"/>
          <w:sz w:val="32"/>
          <w:szCs w:val="24"/>
        </w:rPr>
        <w:t>、</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hAnsi="仿宋_GB2312" w:eastAsia="仿宋_GB2312"/>
          <w:color w:val="000000"/>
          <w:sz w:val="32"/>
          <w:szCs w:val="24"/>
        </w:rPr>
      </w:pPr>
      <w:r>
        <w:rPr>
          <w:rFonts w:hint="eastAsia" w:ascii="仿宋_GB2312" w:eastAsia="仿宋_GB2312"/>
          <w:color w:val="auto"/>
          <w:sz w:val="32"/>
          <w:szCs w:val="24"/>
          <w:lang w:eastAsia="zh-CN"/>
        </w:rPr>
        <w:t>二十二</w:t>
      </w:r>
      <w:r>
        <w:rPr>
          <w:rFonts w:hint="eastAsia" w:ascii="仿宋_GB2312" w:eastAsia="仿宋_GB2312"/>
          <w:color w:val="auto"/>
          <w:sz w:val="32"/>
          <w:szCs w:val="24"/>
        </w:rPr>
        <w:t>、</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rPr>
      </w:pPr>
    </w:p>
    <w:p>
      <w:pPr>
        <w:spacing w:line="600" w:lineRule="exact"/>
        <w:jc w:val="center"/>
        <w:outlineLvl w:val="0"/>
        <w:rPr>
          <w:rFonts w:hint="eastAsia" w:ascii="黑体" w:hAnsi="黑体" w:eastAsia="黑体"/>
          <w:color w:val="auto"/>
          <w:sz w:val="44"/>
          <w:szCs w:val="44"/>
          <w:highlight w:val="none"/>
        </w:rPr>
      </w:pPr>
      <w:bookmarkStart w:id="194" w:name="_Toc801783234_WPSOffice_Level1"/>
      <w:bookmarkStart w:id="195" w:name="_Toc858874779_WPSOffice_Level1"/>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30"/>
          <w:rFonts w:ascii="黑体" w:hAnsi="黑体" w:eastAsia="黑体"/>
          <w:b w:val="0"/>
          <w:color w:val="auto"/>
          <w:highlight w:val="none"/>
        </w:rPr>
      </w:pPr>
      <w:bookmarkStart w:id="196" w:name="_Toc1464944191_WPSOffice_Level1"/>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192"/>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简体" w:hAnsi="方正小标宋简体" w:eastAsia="方正小标宋简体" w:cs="方正小标宋简体"/>
          <w:b w:val="0"/>
          <w:bCs/>
          <w:color w:val="auto"/>
          <w:sz w:val="32"/>
          <w:szCs w:val="32"/>
          <w:lang w:val="en-US" w:eastAsia="zh-CN"/>
        </w:rPr>
      </w:pPr>
      <w:bookmarkStart w:id="197" w:name="_Toc11763756_WPSOffice_Level2"/>
      <w:bookmarkStart w:id="198" w:name="_Toc1738284686_WPSOffice_Level1"/>
      <w:bookmarkStart w:id="199" w:name="_Toc1546110092_WPSOffice_Level1"/>
      <w:bookmarkStart w:id="200" w:name="_Toc15396618"/>
      <w:r>
        <w:rPr>
          <w:rFonts w:hint="eastAsia" w:ascii="方正小标宋简体" w:hAnsi="方正小标宋简体" w:eastAsia="方正小标宋简体" w:cs="方正小标宋简体"/>
          <w:b w:val="0"/>
          <w:bCs/>
          <w:color w:val="auto"/>
          <w:sz w:val="32"/>
          <w:szCs w:val="32"/>
          <w:lang w:val="en-US" w:eastAsia="zh-CN"/>
        </w:rPr>
        <w:t>2023年部门整体支出绩效自评报告</w:t>
      </w:r>
      <w:bookmarkEnd w:id="197"/>
    </w:p>
    <w:p>
      <w:pPr>
        <w:keepNext w:val="0"/>
        <w:keepLines w:val="0"/>
        <w:pageBreakBefore w:val="0"/>
        <w:widowControl w:val="0"/>
        <w:kinsoku/>
        <w:wordWrap/>
        <w:overflowPunct/>
        <w:topLinePunct w:val="0"/>
        <w:autoSpaceDE/>
        <w:autoSpaceDN/>
        <w:bidi w:val="0"/>
        <w:adjustRightInd w:val="0"/>
        <w:snapToGrid w:val="0"/>
        <w:spacing w:line="576" w:lineRule="exact"/>
        <w:ind w:left="0" w:right="0" w:rightChars="0"/>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为了进一步加强财政支付预算管理，提高财政资金使用效益，根据《关于开展202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年部门、政策和项目支出绩效评价工作的通知》(昭财发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zh-CN"/>
        </w:rPr>
        <w:t>号)的要求，结合我局2023年部门预算管理、项目的实施情况等，现将我局2023年开展</w:t>
      </w:r>
      <w:r>
        <w:rPr>
          <w:rFonts w:hint="eastAsia" w:ascii="仿宋_GB2312" w:hAnsi="仿宋_GB2312" w:eastAsia="仿宋_GB2312" w:cs="仿宋_GB2312"/>
          <w:color w:val="auto"/>
          <w:sz w:val="32"/>
          <w:szCs w:val="32"/>
        </w:rPr>
        <w:t>部门整体支出绩效自评报告如下：</w:t>
      </w:r>
    </w:p>
    <w:p>
      <w:pPr>
        <w:keepNext w:val="0"/>
        <w:keepLines w:val="0"/>
        <w:pageBreakBefore w:val="0"/>
        <w:widowControl w:val="0"/>
        <w:kinsoku/>
        <w:wordWrap/>
        <w:overflowPunct/>
        <w:topLinePunct w:val="0"/>
        <w:autoSpaceDE/>
        <w:autoSpaceDN/>
        <w:bidi w:val="0"/>
        <w:spacing w:line="540" w:lineRule="exact"/>
        <w:ind w:left="0" w:right="0" w:rightChars="0" w:firstLine="640" w:firstLineChars="200"/>
        <w:textAlignment w:val="auto"/>
        <w:outlineLvl w:val="0"/>
        <w:rPr>
          <w:rFonts w:eastAsia="黑体"/>
          <w:color w:val="auto"/>
          <w:sz w:val="32"/>
          <w:szCs w:val="32"/>
        </w:rPr>
      </w:pPr>
      <w:bookmarkStart w:id="201" w:name="_Toc1120000205_WPSOffice_Level2"/>
      <w:r>
        <w:rPr>
          <w:rFonts w:eastAsia="黑体"/>
          <w:color w:val="auto"/>
          <w:sz w:val="32"/>
          <w:szCs w:val="32"/>
        </w:rPr>
        <w:t>一、</w:t>
      </w:r>
      <w:r>
        <w:rPr>
          <w:rFonts w:hint="eastAsia" w:eastAsia="黑体" w:cs="Times New Roman"/>
          <w:color w:val="auto"/>
          <w:sz w:val="32"/>
          <w:szCs w:val="32"/>
          <w:lang w:eastAsia="zh-CN"/>
        </w:rPr>
        <w:t>预算单位</w:t>
      </w:r>
      <w:r>
        <w:rPr>
          <w:rFonts w:hint="default" w:ascii="Times New Roman" w:hAnsi="Times New Roman" w:eastAsia="黑体" w:cs="Times New Roman"/>
          <w:color w:val="auto"/>
          <w:sz w:val="32"/>
          <w:szCs w:val="32"/>
        </w:rPr>
        <w:t>概况</w:t>
      </w:r>
      <w:bookmarkEnd w:id="201"/>
    </w:p>
    <w:p>
      <w:pPr>
        <w:keepNext w:val="0"/>
        <w:keepLines w:val="0"/>
        <w:pageBreakBefore w:val="0"/>
        <w:widowControl w:val="0"/>
        <w:kinsoku/>
        <w:wordWrap/>
        <w:overflowPunct/>
        <w:topLinePunct w:val="0"/>
        <w:autoSpaceDE/>
        <w:autoSpaceDN/>
        <w:bidi w:val="0"/>
        <w:spacing w:line="540" w:lineRule="exact"/>
        <w:ind w:left="0" w:right="0" w:rightChars="0" w:firstLine="640" w:firstLineChars="200"/>
        <w:textAlignment w:val="auto"/>
        <w:outlineLvl w:val="1"/>
        <w:rPr>
          <w:rFonts w:hint="eastAsia" w:ascii="Times New Roman" w:hAnsi="Times New Roman" w:eastAsia="楷体_GB2312" w:cs="Times New Roman"/>
          <w:color w:val="auto"/>
          <w:sz w:val="32"/>
          <w:szCs w:val="32"/>
          <w:lang w:eastAsia="zh-CN"/>
        </w:rPr>
      </w:pPr>
      <w:bookmarkStart w:id="202" w:name="_Toc612815721_WPSOffice_Level3"/>
      <w:r>
        <w:rPr>
          <w:rFonts w:hint="eastAsia"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一</w:t>
      </w:r>
      <w:r>
        <w:rPr>
          <w:rFonts w:hint="eastAsia" w:ascii="Times New Roman" w:hAnsi="Times New Roman" w:eastAsia="楷体_GB2312" w:cs="Times New Roman"/>
          <w:color w:val="auto"/>
          <w:sz w:val="32"/>
          <w:szCs w:val="32"/>
        </w:rPr>
        <w:t>）机构</w:t>
      </w:r>
      <w:r>
        <w:rPr>
          <w:rFonts w:hint="eastAsia" w:ascii="Times New Roman" w:hAnsi="Times New Roman" w:eastAsia="楷体_GB2312" w:cs="Times New Roman"/>
          <w:color w:val="auto"/>
          <w:sz w:val="32"/>
          <w:szCs w:val="32"/>
          <w:lang w:eastAsia="zh-CN"/>
        </w:rPr>
        <w:t>组成</w:t>
      </w:r>
      <w:bookmarkEnd w:id="202"/>
    </w:p>
    <w:p>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区司法局为一级预算单位，单位性质为行政单位，执行行政单位会计制度。设下列内设机构：</w:t>
      </w:r>
      <w:r>
        <w:rPr>
          <w:rFonts w:hint="eastAsia" w:ascii="仿宋_GB2312" w:hAnsi="仿宋_GB2312" w:eastAsia="仿宋_GB2312" w:cs="仿宋_GB2312"/>
          <w:color w:val="auto"/>
          <w:sz w:val="32"/>
          <w:szCs w:val="32"/>
          <w:lang w:val="en-US" w:eastAsia="zh-CN"/>
        </w:rPr>
        <w:t>区委依法治区办秘书室、办公室、依法治理股、合法性审查股、行政执法监督股、复议应诉股、基层股、公共法律服务股、社区矫正股、政治处。</w:t>
      </w:r>
    </w:p>
    <w:p>
      <w:pPr>
        <w:keepNext w:val="0"/>
        <w:keepLines w:val="0"/>
        <w:pageBreakBefore w:val="0"/>
        <w:widowControl w:val="0"/>
        <w:kinsoku/>
        <w:wordWrap/>
        <w:overflowPunct/>
        <w:topLinePunct w:val="0"/>
        <w:autoSpaceDE/>
        <w:autoSpaceDN/>
        <w:bidi w:val="0"/>
        <w:spacing w:line="540" w:lineRule="exact"/>
        <w:ind w:left="0" w:right="0" w:rightChars="0" w:firstLine="640" w:firstLineChars="200"/>
        <w:textAlignment w:val="auto"/>
        <w:outlineLvl w:val="1"/>
        <w:rPr>
          <w:rFonts w:ascii="仿宋_GB2312"/>
          <w:color w:val="auto"/>
          <w:sz w:val="32"/>
          <w:szCs w:val="32"/>
        </w:rPr>
      </w:pPr>
      <w:bookmarkStart w:id="203" w:name="_Toc1766320430_WPSOffice_Level3"/>
      <w:r>
        <w:rPr>
          <w:rFonts w:eastAsia="楷体_GB2312"/>
          <w:color w:val="auto"/>
          <w:sz w:val="32"/>
          <w:szCs w:val="32"/>
        </w:rPr>
        <w:t>（</w:t>
      </w:r>
      <w:r>
        <w:rPr>
          <w:rFonts w:hint="eastAsia" w:eastAsia="楷体_GB2312"/>
          <w:color w:val="auto"/>
          <w:sz w:val="32"/>
          <w:szCs w:val="32"/>
          <w:lang w:eastAsia="zh-CN"/>
        </w:rPr>
        <w:t>二</w:t>
      </w:r>
      <w:r>
        <w:rPr>
          <w:rFonts w:eastAsia="楷体_GB2312"/>
          <w:color w:val="auto"/>
          <w:sz w:val="32"/>
          <w:szCs w:val="32"/>
        </w:rPr>
        <w:t>）机构职能</w:t>
      </w:r>
      <w:bookmarkEnd w:id="203"/>
    </w:p>
    <w:p>
      <w:pPr>
        <w:keepNext w:val="0"/>
        <w:keepLines w:val="0"/>
        <w:pageBreakBefore w:val="0"/>
        <w:widowControl w:val="0"/>
        <w:kinsoku/>
        <w:wordWrap/>
        <w:overflowPunct/>
        <w:topLinePunct w:val="0"/>
        <w:autoSpaceDE/>
        <w:autoSpaceDN/>
        <w:bidi w:val="0"/>
        <w:spacing w:line="540" w:lineRule="exact"/>
        <w:ind w:left="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承担全面依法治区</w:t>
      </w:r>
      <w:r>
        <w:rPr>
          <w:rFonts w:hint="eastAsia" w:ascii="仿宋_GB2312" w:hAnsi="仿宋_GB2312" w:eastAsia="仿宋_GB2312" w:cs="仿宋_GB2312"/>
          <w:color w:val="auto"/>
          <w:sz w:val="32"/>
          <w:szCs w:val="32"/>
          <w:u w:val="none"/>
          <w:lang w:eastAsia="zh-CN"/>
        </w:rPr>
        <w:t>重大问题的政策研究，协调有关方面提出全面依法治区的规划建议，负责</w:t>
      </w:r>
      <w:r>
        <w:rPr>
          <w:rFonts w:hint="eastAsia" w:ascii="仿宋_GB2312" w:hAnsi="仿宋_GB2312" w:eastAsia="仿宋_GB2312" w:cs="仿宋_GB2312"/>
          <w:color w:val="auto"/>
          <w:sz w:val="32"/>
          <w:szCs w:val="32"/>
          <w:u w:val="none"/>
        </w:rPr>
        <w:t>重大决策部署的组织实施和督察工作。</w:t>
      </w:r>
    </w:p>
    <w:p>
      <w:pPr>
        <w:keepNext w:val="0"/>
        <w:keepLines w:val="0"/>
        <w:pageBreakBefore w:val="0"/>
        <w:widowControl w:val="0"/>
        <w:kinsoku/>
        <w:wordWrap/>
        <w:overflowPunct/>
        <w:topLinePunct w:val="0"/>
        <w:autoSpaceDE/>
        <w:autoSpaceDN/>
        <w:bidi w:val="0"/>
        <w:spacing w:line="540" w:lineRule="exact"/>
        <w:ind w:left="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协助上级做好相关立法工作。组织承办送区政府征求意见的地方规章，汇总上报修改意见工作。</w:t>
      </w:r>
    </w:p>
    <w:p>
      <w:pPr>
        <w:keepNext w:val="0"/>
        <w:keepLines w:val="0"/>
        <w:pageBreakBefore w:val="0"/>
        <w:widowControl w:val="0"/>
        <w:kinsoku/>
        <w:wordWrap/>
        <w:overflowPunct/>
        <w:topLinePunct w:val="0"/>
        <w:autoSpaceDE/>
        <w:autoSpaceDN/>
        <w:bidi w:val="0"/>
        <w:spacing w:line="540" w:lineRule="exact"/>
        <w:ind w:left="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负责区政府规范性文件、重大行政决策、重要行政措施发布前的合法性审查。承办区政府规范性文件的报送备案工作。负责各乡镇（街道）政府和区政府各部门报送区政府的规范性文件的备案审查工作。组织清理区政府规范性文件，监督指导全区规范性文件审查和清理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承担统筹推进法治政府建设的责任。指导监督区政府各部门、各乡镇（街道）政府依法行政工作。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承担行政执法监督工作。负责综合协调、监督检查行政执法，推进严格规范公正文明执法。负责全区行政执法主体、人员资格审查和行政执法证、监督检查证的审核管理及人员培训工作。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指导监督全区行政复议、行政应诉和行政赔偿工作，承办向区政府申请的行政复议、行政赔偿、行政裁决案件，代理区政府行政应诉案件。组织区政府行政行为听证等工作。</w:t>
      </w:r>
      <w:r>
        <w:rPr>
          <w:rFonts w:hint="eastAsia" w:ascii="仿宋_GB2312" w:hAnsi="仿宋_GB2312" w:eastAsia="仿宋_GB2312" w:cs="仿宋_GB2312"/>
          <w:color w:val="auto"/>
          <w:sz w:val="32"/>
          <w:szCs w:val="32"/>
          <w:u w:val="none"/>
          <w:lang w:eastAsia="zh-CN"/>
        </w:rPr>
        <w:t>指导协调仲裁业务工作，牵头负责全区行政调解的指导、督促和协调工作。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承担区政府法律顾问的聘任和管理。负责全区公共法律服务体系建设规划并指导实施。</w:t>
      </w:r>
      <w:r>
        <w:rPr>
          <w:rFonts w:hint="eastAsia" w:ascii="仿宋_GB2312" w:hAnsi="仿宋_GB2312" w:eastAsia="仿宋_GB2312" w:cs="仿宋_GB2312"/>
          <w:color w:val="auto"/>
          <w:sz w:val="32"/>
          <w:szCs w:val="32"/>
          <w:u w:val="none"/>
          <w:lang w:eastAsia="zh-CN"/>
        </w:rPr>
        <w:t>统筹和布局全区城乡、区域法律服务资源。</w:t>
      </w:r>
      <w:r>
        <w:rPr>
          <w:rFonts w:hint="eastAsia" w:ascii="仿宋_GB2312" w:hAnsi="仿宋_GB2312" w:eastAsia="仿宋_GB2312" w:cs="仿宋_GB2312"/>
          <w:color w:val="auto"/>
          <w:sz w:val="32"/>
          <w:szCs w:val="32"/>
          <w:u w:val="none"/>
        </w:rPr>
        <w:t>监督管理律师、法律援助、司法鉴定、公证和基层法律服务行业工作。</w:t>
      </w:r>
      <w:r>
        <w:rPr>
          <w:rFonts w:hint="eastAsia" w:ascii="仿宋_GB2312" w:hAnsi="仿宋_GB2312" w:eastAsia="仿宋_GB2312" w:cs="仿宋_GB2312"/>
          <w:color w:val="auto"/>
          <w:sz w:val="32"/>
          <w:szCs w:val="32"/>
          <w:u w:val="none"/>
          <w:lang w:eastAsia="zh-CN"/>
        </w:rPr>
        <w:t>负责</w:t>
      </w:r>
      <w:r>
        <w:rPr>
          <w:rFonts w:hint="eastAsia" w:ascii="仿宋_GB2312" w:hAnsi="仿宋_GB2312" w:eastAsia="仿宋_GB2312" w:cs="仿宋_GB2312"/>
          <w:color w:val="auto"/>
          <w:sz w:val="32"/>
          <w:szCs w:val="32"/>
          <w:u w:val="none"/>
        </w:rPr>
        <w:t>全区外来企业、民营企业法律服务工作。</w:t>
      </w:r>
      <w:r>
        <w:rPr>
          <w:rFonts w:hint="eastAsia" w:ascii="仿宋_GB2312" w:hAnsi="仿宋_GB2312" w:eastAsia="仿宋_GB2312" w:cs="仿宋_GB2312"/>
          <w:color w:val="auto"/>
          <w:sz w:val="32"/>
          <w:szCs w:val="32"/>
          <w:u w:val="none"/>
          <w:lang w:eastAsia="zh-CN"/>
        </w:rPr>
        <w:t>监督管理所属社会组织。</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承担统筹规划法治社会建设的责任。负责拟订法治宣传教育规划，组织实施普法宣传工作，组织对外法治宣传。指导依法治理和法治创建工作。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指导人民调解和行业性专业性调解等工作。推动人民参与和促进法治建设，负责人民监督员的选任管理工作，</w:t>
      </w:r>
      <w:r>
        <w:rPr>
          <w:rFonts w:hint="eastAsia" w:ascii="仿宋_GB2312" w:hAnsi="仿宋_GB2312" w:eastAsia="仿宋_GB2312" w:cs="仿宋_GB2312"/>
          <w:color w:val="auto"/>
          <w:sz w:val="32"/>
          <w:szCs w:val="32"/>
          <w:u w:val="none"/>
          <w:lang w:eastAsia="zh-CN"/>
        </w:rPr>
        <w:t>负责</w:t>
      </w:r>
      <w:r>
        <w:rPr>
          <w:rFonts w:hint="eastAsia" w:ascii="仿宋_GB2312" w:hAnsi="仿宋_GB2312" w:eastAsia="仿宋_GB2312" w:cs="仿宋_GB2312"/>
          <w:color w:val="auto"/>
          <w:sz w:val="32"/>
          <w:szCs w:val="32"/>
          <w:u w:val="none"/>
        </w:rPr>
        <w:t>人民陪审员选任工作。指导管理司法所建设。</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承担社区矫正工作。指导刑满释放人员安置帮教工作。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承担本系统财务、装备、设施、警车管理等保障工作。负责本单位安全生产、环境保护工作。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3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12.</w:t>
      </w:r>
      <w:r>
        <w:rPr>
          <w:rFonts w:hint="eastAsia" w:ascii="仿宋_GB2312" w:hAnsi="仿宋_GB2312" w:eastAsia="仿宋_GB2312" w:cs="仿宋_GB2312"/>
          <w:color w:val="auto"/>
          <w:sz w:val="32"/>
          <w:szCs w:val="32"/>
          <w:u w:val="none"/>
        </w:rPr>
        <w:t>完成区委和区政府交办的其他工作。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eastAsia="楷体_GB2312"/>
          <w:color w:val="auto"/>
          <w:sz w:val="32"/>
          <w:szCs w:val="32"/>
        </w:rPr>
      </w:pPr>
      <w:bookmarkStart w:id="204" w:name="_Toc11763756_WPSOffice_Level3"/>
      <w:r>
        <w:rPr>
          <w:rFonts w:eastAsia="楷体_GB2312"/>
          <w:color w:val="auto"/>
          <w:sz w:val="32"/>
          <w:szCs w:val="32"/>
        </w:rPr>
        <w:t>（</w:t>
      </w:r>
      <w:r>
        <w:rPr>
          <w:rFonts w:hint="eastAsia" w:eastAsia="楷体_GB2312"/>
          <w:color w:val="auto"/>
          <w:sz w:val="32"/>
          <w:szCs w:val="32"/>
          <w:lang w:eastAsia="zh-CN"/>
        </w:rPr>
        <w:t>三</w:t>
      </w:r>
      <w:r>
        <w:rPr>
          <w:rFonts w:eastAsia="楷体_GB2312"/>
          <w:color w:val="auto"/>
          <w:sz w:val="32"/>
          <w:szCs w:val="32"/>
        </w:rPr>
        <w:t>）人员概况</w:t>
      </w:r>
      <w:bookmarkEnd w:id="204"/>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sz w:val="32"/>
          <w:szCs w:val="32"/>
        </w:rPr>
        <w:t>共有编制</w:t>
      </w:r>
      <w:r>
        <w:rPr>
          <w:rFonts w:hint="eastAsia" w:ascii="仿宋_GB2312" w:hAnsi="仿宋_GB2312" w:eastAsia="仿宋_GB2312" w:cs="仿宋_GB2312"/>
          <w:color w:val="auto"/>
          <w:sz w:val="32"/>
          <w:szCs w:val="32"/>
          <w:lang w:val="en-US" w:eastAsia="zh-CN"/>
        </w:rPr>
        <w:t>4</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eastAsia="zh-CN"/>
        </w:rPr>
        <w:t>政法专编</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参公事业编制</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名，机关工勤编制6名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cs="仿宋_GB2312"/>
          <w:color w:val="auto"/>
          <w:sz w:val="32"/>
          <w:szCs w:val="32"/>
          <w:lang w:eastAsia="zh-CN"/>
        </w:rPr>
        <w:t>2</w:t>
      </w:r>
      <w:r>
        <w:rPr>
          <w:rFonts w:hint="eastAsia" w:ascii="仿宋_GB2312" w:hAnsi="仿宋_GB2312" w:eastAsia="仿宋_GB2312" w:cs="仿宋_GB2312"/>
          <w:color w:val="auto"/>
          <w:sz w:val="32"/>
          <w:szCs w:val="32"/>
          <w:lang w:val="zh-CN" w:eastAsia="zh-CN"/>
        </w:rPr>
        <w:t>023年预算实有在职人员</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val="zh-CN" w:eastAsia="zh-CN"/>
        </w:rPr>
        <w:t>人，</w:t>
      </w:r>
      <w:r>
        <w:rPr>
          <w:rFonts w:hint="eastAsia" w:ascii="仿宋_GB2312" w:hAnsi="仿宋_GB2312" w:eastAsia="仿宋_GB2312" w:cs="仿宋_GB2312"/>
          <w:color w:val="auto"/>
          <w:sz w:val="32"/>
          <w:szCs w:val="32"/>
          <w:lang w:val="en-US" w:eastAsia="zh-CN"/>
        </w:rPr>
        <w:t>其中：公务员40人、参公人中员2名、机关工勤8人、事业管理3人。</w:t>
      </w:r>
      <w:r>
        <w:rPr>
          <w:rFonts w:hint="eastAsia" w:ascii="仿宋_GB2312" w:hAnsi="仿宋_GB2312" w:eastAsia="仿宋_GB2312" w:cs="仿宋_GB2312"/>
          <w:color w:val="auto"/>
          <w:sz w:val="32"/>
          <w:szCs w:val="32"/>
          <w:lang w:val="zh-CN" w:eastAsia="zh-CN"/>
        </w:rPr>
        <w:t>按财政供给率分，财政全额供给</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val="zh-CN" w:eastAsia="zh-CN"/>
        </w:rPr>
        <w:t>人。退休</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zh-CN" w:eastAsia="zh-CN"/>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bookmarkStart w:id="205" w:name="_Toc42794015_WPSOffice_Level2"/>
      <w:r>
        <w:rPr>
          <w:rFonts w:hint="default" w:ascii="Times New Roman" w:hAnsi="Times New Roman" w:eastAsia="黑体" w:cs="Times New Roman"/>
          <w:color w:val="auto"/>
          <w:sz w:val="32"/>
          <w:szCs w:val="32"/>
        </w:rPr>
        <w:t>二、</w:t>
      </w:r>
      <w:r>
        <w:rPr>
          <w:rFonts w:hint="eastAsia" w:eastAsia="黑体" w:cs="Times New Roman"/>
          <w:color w:val="auto"/>
          <w:sz w:val="32"/>
          <w:szCs w:val="32"/>
          <w:lang w:eastAsia="zh-CN"/>
        </w:rPr>
        <w:t>预算单位</w:t>
      </w:r>
      <w:r>
        <w:rPr>
          <w:rFonts w:hint="default" w:ascii="Times New Roman" w:hAnsi="Times New Roman" w:eastAsia="黑体" w:cs="Times New Roman"/>
          <w:color w:val="auto"/>
          <w:sz w:val="32"/>
          <w:szCs w:val="32"/>
        </w:rPr>
        <w:t>财政支出情况</w:t>
      </w:r>
      <w:bookmarkEnd w:id="205"/>
    </w:p>
    <w:p>
      <w:pPr>
        <w:keepNext/>
        <w:keepLines/>
        <w:pageBreakBefore w:val="0"/>
        <w:widowControl w:val="0"/>
        <w:kinsoku/>
        <w:wordWrap/>
        <w:overflowPunct/>
        <w:topLinePunct w:val="0"/>
        <w:autoSpaceDE/>
        <w:autoSpaceDN/>
        <w:bidi w:val="0"/>
        <w:spacing w:line="540" w:lineRule="exact"/>
        <w:ind w:firstLine="643"/>
        <w:textAlignment w:val="auto"/>
        <w:rPr>
          <w:rFonts w:hint="eastAsia" w:ascii="楷体_GB2312" w:hAnsi="楷体_GB2312" w:eastAsia="楷体_GB2312"/>
          <w:b w:val="0"/>
          <w:bCs/>
          <w:color w:val="auto"/>
          <w:sz w:val="32"/>
          <w:szCs w:val="24"/>
          <w:lang w:eastAsia="zh-CN"/>
        </w:rPr>
      </w:pPr>
      <w:bookmarkStart w:id="206" w:name="_Toc1120000205_WPSOffice_Level3"/>
      <w:r>
        <w:rPr>
          <w:rFonts w:hint="default" w:ascii="楷体_GB2312" w:hAnsi="楷体_GB2312" w:eastAsia="楷体_GB2312"/>
          <w:b w:val="0"/>
          <w:bCs/>
          <w:color w:val="auto"/>
          <w:sz w:val="32"/>
          <w:szCs w:val="24"/>
          <w:lang w:eastAsia="zh-CN"/>
        </w:rPr>
        <w:t>（一）</w:t>
      </w:r>
      <w:r>
        <w:rPr>
          <w:rFonts w:hint="eastAsia" w:ascii="楷体_GB2312" w:hAnsi="楷体_GB2312" w:eastAsia="楷体_GB2312"/>
          <w:b w:val="0"/>
          <w:bCs/>
          <w:color w:val="auto"/>
          <w:sz w:val="32"/>
          <w:szCs w:val="24"/>
          <w:lang w:eastAsia="zh-CN"/>
        </w:rPr>
        <w:t>单位财政资金收入情况</w:t>
      </w:r>
      <w:bookmarkEnd w:id="206"/>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区</w:t>
      </w:r>
      <w:r>
        <w:rPr>
          <w:rFonts w:hint="eastAsia" w:ascii="仿宋_GB2312" w:hAnsi="仿宋_GB2312" w:eastAsia="仿宋_GB2312" w:cs="仿宋_GB2312"/>
          <w:color w:val="auto"/>
          <w:sz w:val="32"/>
          <w:szCs w:val="32"/>
          <w:lang w:val="en-US" w:eastAsia="zh-CN"/>
        </w:rPr>
        <w:t>司法局2023年年初预算收入987.83万元，其中一般公共预算收入987.83万元，占收入的100%。年终决算收入1223.22万元</w:t>
      </w:r>
      <w:r>
        <w:rPr>
          <w:rFonts w:hint="eastAsia" w:ascii="仿宋_GB2312" w:hAnsi="仿宋_GB2312" w:eastAsia="仿宋_GB2312" w:cs="仿宋_GB2312"/>
          <w:color w:val="auto"/>
          <w:sz w:val="32"/>
          <w:szCs w:val="32"/>
          <w:lang w:val="zh-CN" w:eastAsia="zh-CN"/>
        </w:rPr>
        <w:t>。</w:t>
      </w:r>
    </w:p>
    <w:p>
      <w:pPr>
        <w:keepNext/>
        <w:keepLines/>
        <w:pageBreakBefore w:val="0"/>
        <w:widowControl w:val="0"/>
        <w:kinsoku/>
        <w:wordWrap/>
        <w:overflowPunct/>
        <w:topLinePunct w:val="0"/>
        <w:autoSpaceDE/>
        <w:autoSpaceDN/>
        <w:bidi w:val="0"/>
        <w:spacing w:line="540" w:lineRule="exact"/>
        <w:ind w:firstLine="643"/>
        <w:textAlignment w:val="auto"/>
        <w:rPr>
          <w:rFonts w:hint="eastAsia" w:ascii="楷体_GB2312" w:hAnsi="楷体_GB2312" w:eastAsia="楷体_GB2312"/>
          <w:b w:val="0"/>
          <w:bCs/>
          <w:color w:val="auto"/>
          <w:sz w:val="32"/>
          <w:szCs w:val="24"/>
          <w:lang w:eastAsia="zh-CN"/>
        </w:rPr>
      </w:pPr>
      <w:bookmarkStart w:id="207" w:name="_Toc42794015_WPSOffice_Level3"/>
      <w:r>
        <w:rPr>
          <w:rFonts w:hint="eastAsia" w:ascii="楷体_GB2312" w:hAnsi="楷体_GB2312" w:eastAsia="楷体_GB2312"/>
          <w:b w:val="0"/>
          <w:bCs/>
          <w:color w:val="auto"/>
          <w:sz w:val="32"/>
          <w:szCs w:val="24"/>
          <w:lang w:eastAsia="zh-CN"/>
        </w:rPr>
        <w:t>（二）单位财政支出情况</w:t>
      </w:r>
      <w:bookmarkEnd w:id="207"/>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安排预算支出1223.22万</w:t>
      </w:r>
      <w:r>
        <w:rPr>
          <w:rFonts w:hint="default"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val="en-US" w:eastAsia="zh-CN"/>
        </w:rPr>
        <w:t>（基本支出840.84万元，项目支出382.38万元）。年终决算支出1223.22万元</w:t>
      </w:r>
      <w:r>
        <w:rPr>
          <w:rFonts w:hint="default" w:ascii="仿宋_GB2312" w:hAnsi="仿宋_GB2312" w:eastAsia="仿宋_GB2312" w:cs="仿宋_GB2312"/>
          <w:color w:val="auto"/>
          <w:sz w:val="32"/>
          <w:szCs w:val="32"/>
          <w:lang w:val="en-US" w:eastAsia="zh-CN"/>
        </w:rPr>
        <w:t>。</w:t>
      </w:r>
    </w:p>
    <w:p>
      <w:pPr>
        <w:keepNext/>
        <w:keepLines/>
        <w:pageBreakBefore w:val="0"/>
        <w:widowControl w:val="0"/>
        <w:kinsoku/>
        <w:wordWrap/>
        <w:overflowPunct/>
        <w:topLinePunct w:val="0"/>
        <w:autoSpaceDE/>
        <w:autoSpaceDN/>
        <w:bidi w:val="0"/>
        <w:spacing w:line="540" w:lineRule="exact"/>
        <w:ind w:firstLine="643"/>
        <w:textAlignment w:val="auto"/>
        <w:rPr>
          <w:rFonts w:hint="eastAsia" w:ascii="楷体_GB2312" w:hAnsi="楷体_GB2312" w:eastAsia="楷体_GB2312"/>
          <w:b w:val="0"/>
          <w:bCs/>
          <w:color w:val="auto"/>
          <w:sz w:val="32"/>
          <w:szCs w:val="24"/>
        </w:rPr>
      </w:pPr>
      <w:bookmarkStart w:id="208" w:name="_Toc137378472_WPSOffice_Level3"/>
      <w:r>
        <w:rPr>
          <w:rFonts w:hint="eastAsia" w:ascii="楷体_GB2312" w:hAnsi="楷体_GB2312" w:eastAsia="楷体_GB2312"/>
          <w:b w:val="0"/>
          <w:bCs/>
          <w:color w:val="auto"/>
          <w:sz w:val="32"/>
          <w:szCs w:val="24"/>
        </w:rPr>
        <w:t>（三）结余分配和结转结余情况。</w:t>
      </w:r>
      <w:bookmarkEnd w:id="208"/>
    </w:p>
    <w:p>
      <w:pPr>
        <w:pStyle w:val="7"/>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2023年无结转结余情况。</w:t>
      </w:r>
    </w:p>
    <w:p>
      <w:pPr>
        <w:keepNext/>
        <w:keepLines/>
        <w:pageBreakBefore w:val="0"/>
        <w:widowControl w:val="0"/>
        <w:kinsoku/>
        <w:wordWrap/>
        <w:overflowPunct/>
        <w:topLinePunct w:val="0"/>
        <w:autoSpaceDE/>
        <w:autoSpaceDN/>
        <w:bidi w:val="0"/>
        <w:spacing w:line="540" w:lineRule="exact"/>
        <w:ind w:firstLine="640"/>
        <w:textAlignment w:val="auto"/>
        <w:rPr>
          <w:rFonts w:hint="eastAsia" w:ascii="黑体" w:hAnsi="黑体" w:eastAsia="黑体"/>
          <w:color w:val="auto"/>
          <w:sz w:val="32"/>
          <w:szCs w:val="24"/>
        </w:rPr>
      </w:pPr>
      <w:bookmarkStart w:id="209" w:name="_Toc137378472_WPSOffice_Level2"/>
      <w:r>
        <w:rPr>
          <w:rFonts w:hint="eastAsia" w:ascii="黑体" w:hAnsi="黑体" w:eastAsia="黑体"/>
          <w:color w:val="auto"/>
          <w:sz w:val="32"/>
          <w:szCs w:val="24"/>
        </w:rPr>
        <w:t>三、部门预算绩效分析</w:t>
      </w:r>
      <w:bookmarkEnd w:id="209"/>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eastAsia" w:ascii="Times New Roman" w:hAnsi="Times New Roman" w:eastAsia="楷体_GB2312" w:cs="Times New Roman"/>
          <w:color w:val="auto"/>
          <w:sz w:val="32"/>
          <w:szCs w:val="32"/>
          <w:lang w:eastAsia="zh-CN"/>
        </w:rPr>
      </w:pPr>
      <w:bookmarkStart w:id="210" w:name="_Toc540684081_WPSOffice_Level3"/>
      <w:r>
        <w:rPr>
          <w:rFonts w:hint="eastAsia" w:ascii="Times New Roman" w:hAnsi="Times New Roman" w:eastAsia="楷体_GB2312" w:cs="Times New Roman"/>
          <w:color w:val="auto"/>
          <w:sz w:val="32"/>
          <w:szCs w:val="32"/>
          <w:lang w:eastAsia="zh-CN"/>
        </w:rPr>
        <w:t>（一）部门预算项目绩效管理</w:t>
      </w:r>
      <w:bookmarkEnd w:id="21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绩效目标编制要素完整的，绩效指标细化量化的准确，绩效目标纳入本单位局长办公会研究决策。年初预算和年末决算编制内容真实有效，编制数据完整，准确。年初预算（含追加项目资金）绩效目标编制完整、合理。报表报送及时准确。单位人员类、运转类、特定目标类项目收支执行进度良好、部门整体绩效目标完成较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目标的制定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本单位在年初编制预算时，根据司法局年度工作计划，制定了</w:t>
      </w:r>
      <w:r>
        <w:rPr>
          <w:rFonts w:hint="default" w:ascii="仿宋_GB2312" w:hAnsi="仿宋_GB2312" w:eastAsia="仿宋_GB2312" w:cs="仿宋_GB2312"/>
          <w:color w:val="auto"/>
          <w:sz w:val="32"/>
          <w:szCs w:val="32"/>
          <w:lang w:val="en-US" w:eastAsia="zh-CN"/>
        </w:rPr>
        <w:t>普法</w:t>
      </w:r>
      <w:r>
        <w:rPr>
          <w:rFonts w:hint="eastAsia" w:ascii="仿宋_GB2312" w:hAnsi="仿宋_GB2312" w:eastAsia="仿宋_GB2312" w:cs="仿宋_GB2312"/>
          <w:color w:val="auto"/>
          <w:sz w:val="32"/>
          <w:szCs w:val="32"/>
          <w:lang w:val="en-US" w:eastAsia="zh-CN"/>
        </w:rPr>
        <w:t>宣传绩效目标、</w:t>
      </w:r>
      <w:r>
        <w:rPr>
          <w:rFonts w:hint="default" w:ascii="仿宋_GB2312" w:hAnsi="仿宋_GB2312" w:eastAsia="仿宋_GB2312" w:cs="仿宋_GB2312"/>
          <w:color w:val="auto"/>
          <w:sz w:val="32"/>
          <w:szCs w:val="32"/>
          <w:lang w:val="en-US" w:eastAsia="zh-CN"/>
        </w:rPr>
        <w:t>基层司法业务</w:t>
      </w:r>
      <w:r>
        <w:rPr>
          <w:rFonts w:hint="eastAsia" w:ascii="仿宋_GB2312" w:hAnsi="仿宋_GB2312" w:eastAsia="仿宋_GB2312" w:cs="仿宋_GB2312"/>
          <w:color w:val="auto"/>
          <w:sz w:val="32"/>
          <w:szCs w:val="32"/>
          <w:lang w:val="en-US" w:eastAsia="zh-CN"/>
        </w:rPr>
        <w:t>经费绩效目标、</w:t>
      </w:r>
      <w:r>
        <w:rPr>
          <w:rFonts w:hint="default" w:ascii="仿宋_GB2312" w:hAnsi="仿宋_GB2312" w:eastAsia="仿宋_GB2312" w:cs="仿宋_GB2312"/>
          <w:color w:val="auto"/>
          <w:sz w:val="32"/>
          <w:szCs w:val="32"/>
          <w:lang w:val="en-US" w:eastAsia="zh-CN"/>
        </w:rPr>
        <w:t>法律援助</w:t>
      </w:r>
      <w:r>
        <w:rPr>
          <w:rFonts w:hint="eastAsia" w:ascii="仿宋_GB2312" w:hAnsi="仿宋_GB2312" w:eastAsia="仿宋_GB2312" w:cs="仿宋_GB2312"/>
          <w:color w:val="auto"/>
          <w:sz w:val="32"/>
          <w:szCs w:val="32"/>
          <w:lang w:val="en-US" w:eastAsia="zh-CN"/>
        </w:rPr>
        <w:t>绩效目标、</w:t>
      </w:r>
      <w:r>
        <w:rPr>
          <w:rFonts w:hint="default" w:ascii="仿宋_GB2312" w:hAnsi="仿宋_GB2312" w:eastAsia="仿宋_GB2312" w:cs="仿宋_GB2312"/>
          <w:color w:val="auto"/>
          <w:sz w:val="32"/>
          <w:szCs w:val="32"/>
          <w:lang w:val="en-US" w:eastAsia="zh-CN"/>
        </w:rPr>
        <w:t>社区矫正</w:t>
      </w:r>
      <w:r>
        <w:rPr>
          <w:rFonts w:hint="eastAsia" w:ascii="仿宋_GB2312" w:hAnsi="仿宋_GB2312" w:eastAsia="仿宋_GB2312" w:cs="仿宋_GB2312"/>
          <w:color w:val="auto"/>
          <w:sz w:val="32"/>
          <w:szCs w:val="32"/>
          <w:lang w:val="en-US" w:eastAsia="zh-CN"/>
        </w:rPr>
        <w:t>工作经费绩效目标、</w:t>
      </w:r>
      <w:r>
        <w:rPr>
          <w:rFonts w:hint="default" w:ascii="仿宋_GB2312" w:hAnsi="仿宋_GB2312" w:eastAsia="仿宋_GB2312" w:cs="仿宋_GB2312"/>
          <w:color w:val="auto"/>
          <w:sz w:val="32"/>
          <w:szCs w:val="32"/>
          <w:lang w:val="en-US" w:eastAsia="zh-CN"/>
        </w:rPr>
        <w:t>劳教人员释放解教经费</w:t>
      </w:r>
      <w:r>
        <w:rPr>
          <w:rFonts w:hint="eastAsia" w:ascii="仿宋_GB2312" w:hAnsi="仿宋_GB2312" w:eastAsia="仿宋_GB2312" w:cs="仿宋_GB2312"/>
          <w:color w:val="auto"/>
          <w:sz w:val="32"/>
          <w:szCs w:val="32"/>
          <w:lang w:val="en-US" w:eastAsia="zh-CN"/>
        </w:rPr>
        <w:t>目标、</w:t>
      </w:r>
      <w:r>
        <w:rPr>
          <w:rFonts w:hint="default" w:ascii="仿宋_GB2312" w:hAnsi="仿宋_GB2312" w:eastAsia="仿宋_GB2312" w:cs="仿宋_GB2312"/>
          <w:color w:val="auto"/>
          <w:sz w:val="32"/>
          <w:szCs w:val="32"/>
          <w:lang w:val="en-US" w:eastAsia="zh-CN"/>
        </w:rPr>
        <w:t>依法治区和法治政府建设</w:t>
      </w:r>
      <w:r>
        <w:rPr>
          <w:rFonts w:hint="eastAsia" w:ascii="仿宋_GB2312" w:hAnsi="仿宋_GB2312" w:eastAsia="仿宋_GB2312" w:cs="仿宋_GB2312"/>
          <w:color w:val="auto"/>
          <w:sz w:val="32"/>
          <w:szCs w:val="32"/>
          <w:lang w:val="en-US" w:eastAsia="zh-CN"/>
        </w:rPr>
        <w:t>经费绩效目标、</w:t>
      </w:r>
      <w:r>
        <w:rPr>
          <w:rFonts w:hint="default" w:ascii="仿宋_GB2312" w:hAnsi="仿宋_GB2312" w:eastAsia="仿宋_GB2312" w:cs="仿宋_GB2312"/>
          <w:color w:val="auto"/>
          <w:sz w:val="32"/>
          <w:szCs w:val="32"/>
          <w:lang w:val="en-US" w:eastAsia="zh-CN"/>
        </w:rPr>
        <w:t>行政复议</w:t>
      </w:r>
      <w:r>
        <w:rPr>
          <w:rFonts w:hint="eastAsia" w:ascii="仿宋_GB2312" w:hAnsi="仿宋_GB2312" w:eastAsia="仿宋_GB2312" w:cs="仿宋_GB2312"/>
          <w:color w:val="auto"/>
          <w:sz w:val="32"/>
          <w:szCs w:val="32"/>
          <w:lang w:val="en-US" w:eastAsia="zh-CN"/>
        </w:rPr>
        <w:t>工作经费绩效目标、政府法律顾问费绩效目标、向上争取资金工作经费绩效目标,在绩效目标中按数量指标、质量指标、时效指标、成本指标等进行了细化和量化。预算编制和绩效目标的制定，均由各业务股室确认、经局领导审核通过后上报区财政局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2</w:t>
      </w:r>
      <w:r>
        <w:rPr>
          <w:rFonts w:hint="default" w:cs="Times New Roman"/>
          <w:color w:val="auto"/>
          <w:kern w:val="2"/>
          <w:sz w:val="32"/>
          <w:szCs w:val="32"/>
          <w:lang w:val="en" w:eastAsia="zh-CN" w:bidi="ar-SA"/>
        </w:rPr>
        <w:t>.</w:t>
      </w:r>
      <w:r>
        <w:rPr>
          <w:rFonts w:hint="eastAsia" w:ascii="Times New Roman" w:hAnsi="Times New Roman" w:eastAsia="仿宋_GB2312" w:cs="Times New Roman"/>
          <w:color w:val="auto"/>
          <w:kern w:val="2"/>
          <w:sz w:val="32"/>
          <w:szCs w:val="32"/>
          <w:lang w:val="en-US" w:eastAsia="zh-CN" w:bidi="ar-SA"/>
        </w:rPr>
        <w:t>目标的实现</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区司法局按照工作安排开展各项工作，全面完成了年初制定的</w:t>
      </w:r>
      <w:r>
        <w:rPr>
          <w:rFonts w:hint="default" w:ascii="仿宋_GB2312" w:hAnsi="仿宋_GB2312" w:eastAsia="仿宋_GB2312" w:cs="仿宋_GB2312"/>
          <w:color w:val="auto"/>
          <w:kern w:val="2"/>
          <w:sz w:val="32"/>
          <w:szCs w:val="32"/>
          <w:lang w:val="en-US" w:eastAsia="zh-CN" w:bidi="ar-SA"/>
        </w:rPr>
        <w:t>普法</w:t>
      </w:r>
      <w:r>
        <w:rPr>
          <w:rFonts w:hint="eastAsia" w:ascii="仿宋_GB2312" w:hAnsi="仿宋_GB2312" w:eastAsia="仿宋_GB2312" w:cs="仿宋_GB2312"/>
          <w:color w:val="auto"/>
          <w:kern w:val="2"/>
          <w:sz w:val="32"/>
          <w:szCs w:val="32"/>
          <w:lang w:val="en-US" w:eastAsia="zh-CN" w:bidi="ar-SA"/>
        </w:rPr>
        <w:t>宣传、</w:t>
      </w:r>
      <w:r>
        <w:rPr>
          <w:rFonts w:hint="default" w:ascii="仿宋_GB2312" w:hAnsi="仿宋_GB2312" w:eastAsia="仿宋_GB2312" w:cs="仿宋_GB2312"/>
          <w:color w:val="auto"/>
          <w:kern w:val="2"/>
          <w:sz w:val="32"/>
          <w:szCs w:val="32"/>
          <w:lang w:val="en-US" w:eastAsia="zh-CN" w:bidi="ar-SA"/>
        </w:rPr>
        <w:t>基层司法业务</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法律援助</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社区矫正</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劳教人员释放解教</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依法治区和法治政府建设</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行政复议</w:t>
      </w:r>
      <w:r>
        <w:rPr>
          <w:rFonts w:hint="eastAsia" w:ascii="仿宋_GB2312" w:hAnsi="仿宋_GB2312" w:eastAsia="仿宋_GB2312" w:cs="仿宋_GB2312"/>
          <w:color w:val="auto"/>
          <w:kern w:val="2"/>
          <w:sz w:val="32"/>
          <w:szCs w:val="32"/>
          <w:lang w:val="en-US" w:eastAsia="zh-CN" w:bidi="ar-SA"/>
        </w:rPr>
        <w:t>工作、政府法律顾问费、向上争取资金工作经费等各项绩效目标，各绩效目标的实际实现与预期目标基本稳合。各绩效目标完成情况详见项目支出绩效自评表。</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3</w:t>
      </w:r>
      <w:r>
        <w:rPr>
          <w:rFonts w:hint="default" w:cs="Times New Roman"/>
          <w:color w:val="auto"/>
          <w:kern w:val="2"/>
          <w:sz w:val="32"/>
          <w:szCs w:val="32"/>
          <w:lang w:val="en" w:eastAsia="zh-CN" w:bidi="ar-SA"/>
        </w:rPr>
        <w:t>.</w:t>
      </w:r>
      <w:r>
        <w:rPr>
          <w:rFonts w:hint="eastAsia" w:ascii="Times New Roman" w:hAnsi="Times New Roman" w:eastAsia="仿宋_GB2312" w:cs="Times New Roman"/>
          <w:color w:val="auto"/>
          <w:kern w:val="2"/>
          <w:sz w:val="32"/>
          <w:szCs w:val="32"/>
          <w:lang w:val="en-US" w:eastAsia="zh-CN" w:bidi="ar-SA"/>
        </w:rPr>
        <w:t>支出控制</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2023年，区司法局严格遵守各项财经纪律，加强本单位财务管理工作，制定了相关规章制度，加强和细化了预算编制，严格按照预算执行，各项目支出均控制在预算内，无超支和超范围支出，全年收支平衡。 </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4</w:t>
      </w:r>
      <w:r>
        <w:rPr>
          <w:rFonts w:hint="default" w:cs="Times New Roman"/>
          <w:color w:val="auto"/>
          <w:kern w:val="2"/>
          <w:sz w:val="32"/>
          <w:szCs w:val="32"/>
          <w:lang w:val="en" w:eastAsia="zh-CN" w:bidi="ar-SA"/>
        </w:rPr>
        <w:t>.</w:t>
      </w:r>
      <w:r>
        <w:rPr>
          <w:rFonts w:hint="eastAsia" w:ascii="Times New Roman" w:hAnsi="Times New Roman" w:eastAsia="仿宋_GB2312" w:cs="Times New Roman"/>
          <w:color w:val="auto"/>
          <w:kern w:val="2"/>
          <w:sz w:val="32"/>
          <w:szCs w:val="32"/>
          <w:lang w:val="en-US" w:eastAsia="zh-CN" w:bidi="ar-SA"/>
        </w:rPr>
        <w:t>及时处置和执行进度</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区司法局10个项目在年初编制绩效目标后，各绩效指标无任何调整，在执行中均是按照年初制定的目标执行。在执行过程加强了绩效运行监管，对存在问题的及时进行了细化，各指标执行中都是按照计划进度执行。</w:t>
      </w:r>
    </w:p>
    <w:p>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5</w:t>
      </w:r>
      <w:r>
        <w:rPr>
          <w:rFonts w:hint="default" w:cs="Times New Roman"/>
          <w:color w:val="auto"/>
          <w:kern w:val="2"/>
          <w:sz w:val="32"/>
          <w:szCs w:val="32"/>
          <w:lang w:val="en" w:eastAsia="zh-CN" w:bidi="ar-SA"/>
        </w:rPr>
        <w:t>.</w:t>
      </w:r>
      <w:r>
        <w:rPr>
          <w:rFonts w:hint="eastAsia" w:ascii="Times New Roman" w:hAnsi="Times New Roman" w:eastAsia="仿宋_GB2312" w:cs="Times New Roman"/>
          <w:color w:val="auto"/>
          <w:kern w:val="2"/>
          <w:sz w:val="32"/>
          <w:szCs w:val="32"/>
          <w:lang w:val="en-US" w:eastAsia="zh-CN" w:bidi="ar-SA"/>
        </w:rPr>
        <w:t>完成效率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2023年，区司法局10个项目资金执行率为100%，无结余和无效资金，通过项目的实施，达到了年初预期目标和效果。依据评价年度审计监督、财政检查结果，本单位预算管理方面无违纪违规问题。</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2" w:firstLineChars="200"/>
        <w:textAlignment w:val="auto"/>
        <w:rPr>
          <w:rFonts w:hint="eastAsia" w:cs="Times New Roman"/>
          <w:b/>
          <w:bCs/>
          <w:color w:val="auto"/>
          <w:sz w:val="32"/>
          <w:szCs w:val="32"/>
          <w:lang w:eastAsia="zh-CN"/>
        </w:rPr>
      </w:pPr>
      <w:bookmarkStart w:id="211" w:name="_Toc864634590_WPSOffice_Level3"/>
      <w:r>
        <w:rPr>
          <w:rFonts w:hint="eastAsia" w:cs="Times New Roman"/>
          <w:b/>
          <w:bCs/>
          <w:color w:val="auto"/>
          <w:sz w:val="32"/>
          <w:szCs w:val="32"/>
          <w:lang w:eastAsia="zh-CN"/>
        </w:rPr>
        <w:t>结果应用公开情况</w:t>
      </w:r>
      <w:bookmarkEnd w:id="21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 w:eastAsia="zh-CN" w:bidi="ar-SA"/>
        </w:rPr>
        <w:t>区司法局</w:t>
      </w:r>
      <w:r>
        <w:rPr>
          <w:rFonts w:hint="eastAsia" w:ascii="仿宋_GB2312" w:hAnsi="仿宋_GB2312" w:eastAsia="仿宋_GB2312" w:cs="仿宋_GB2312"/>
          <w:color w:val="auto"/>
          <w:kern w:val="2"/>
          <w:sz w:val="32"/>
          <w:szCs w:val="32"/>
          <w:lang w:val="en-US" w:eastAsia="zh-CN" w:bidi="ar-SA"/>
        </w:rPr>
        <w:t>严格执行预决算公开制度，经财政局批复二十日内，在区人民政府网站向社会公开本部门的预算、决算,公开内容真实、完整（含所有财政资金安排的“三公”经费、机关运行经费的安排、使用情况等）。严肃财经纪律，依法接受财政、审计、巡察、纪检监督和广大人民群众的监督。</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2" w:firstLineChars="200"/>
        <w:textAlignment w:val="auto"/>
        <w:rPr>
          <w:rFonts w:hint="eastAsia" w:cs="Times New Roman"/>
          <w:b/>
          <w:bCs/>
          <w:color w:val="auto"/>
          <w:sz w:val="32"/>
          <w:szCs w:val="32"/>
          <w:lang w:eastAsia="zh-CN"/>
        </w:rPr>
      </w:pPr>
      <w:bookmarkStart w:id="212" w:name="_Toc720479298_WPSOffice_Level3"/>
      <w:r>
        <w:rPr>
          <w:rFonts w:hint="eastAsia" w:cs="Times New Roman"/>
          <w:b/>
          <w:bCs/>
          <w:color w:val="auto"/>
          <w:sz w:val="32"/>
          <w:szCs w:val="32"/>
          <w:lang w:eastAsia="zh-CN"/>
        </w:rPr>
        <w:t>自评质量</w:t>
      </w:r>
      <w:bookmarkEnd w:id="212"/>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cs="Times New Roman"/>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本单位严格按照区财政局的要求，对2023年部门整体支出绩效中的目标制定、目标实现、支出控制、执行进度、预算完成等方面开展了自评，自评范围全面、客观、准确。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b w:val="0"/>
          <w:bCs w:val="0"/>
          <w:color w:val="auto"/>
          <w:sz w:val="32"/>
          <w:szCs w:val="32"/>
          <w:lang w:eastAsia="zh-CN"/>
        </w:rPr>
      </w:pPr>
      <w:r>
        <w:rPr>
          <w:rFonts w:hint="eastAsia" w:cs="Times New Roman"/>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w:t>
      </w:r>
      <w:bookmarkStart w:id="213" w:name="_Toc540684081_WPSOffice_Level2"/>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评价结论及建议</w:t>
      </w:r>
      <w:bookmarkEnd w:id="213"/>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textAlignment w:val="auto"/>
        <w:rPr>
          <w:rFonts w:hint="default" w:ascii="Times New Roman" w:hAnsi="Times New Roman" w:eastAsia="楷体_GB2312" w:cs="Times New Roman"/>
          <w:b w:val="0"/>
          <w:bCs/>
          <w:color w:val="auto"/>
          <w:sz w:val="32"/>
          <w:szCs w:val="32"/>
          <w:lang w:val="en-US" w:eastAsia="zh-CN"/>
        </w:rPr>
      </w:pPr>
      <w:bookmarkStart w:id="214" w:name="_Toc1619542913_WPSOffice_Level3"/>
      <w:r>
        <w:rPr>
          <w:rFonts w:hint="default" w:ascii="Times New Roman" w:hAnsi="Times New Roman" w:eastAsia="楷体_GB2312" w:cs="Times New Roman"/>
          <w:b w:val="0"/>
          <w:bCs/>
          <w:color w:val="auto"/>
          <w:sz w:val="32"/>
          <w:szCs w:val="32"/>
          <w:lang w:val="en-US" w:eastAsia="zh-CN"/>
        </w:rPr>
        <w:t>（一）自评结论</w:t>
      </w:r>
      <w:bookmarkEnd w:id="214"/>
      <w:r>
        <w:rPr>
          <w:rFonts w:hint="default" w:ascii="Times New Roman" w:hAnsi="Times New Roman" w:eastAsia="楷体_GB2312" w:cs="Times New Roman"/>
          <w:b w:val="0"/>
          <w:bCs/>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w:t>
      </w:r>
      <w:r>
        <w:rPr>
          <w:rFonts w:hint="default"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zh-CN" w:bidi="ar-SA"/>
        </w:rPr>
        <w:t>司法局</w:t>
      </w:r>
      <w:r>
        <w:rPr>
          <w:rFonts w:hint="default" w:ascii="仿宋_GB2312" w:hAnsi="仿宋_GB2312" w:eastAsia="仿宋_GB2312" w:cs="仿宋_GB2312"/>
          <w:color w:val="auto"/>
          <w:kern w:val="2"/>
          <w:sz w:val="32"/>
          <w:szCs w:val="32"/>
          <w:lang w:val="en-US" w:eastAsia="zh-CN" w:bidi="ar-SA"/>
        </w:rPr>
        <w:t>财务支出符合国家财经法规和财务管理制度规定以及有关专项资金管理办法的规定，资金的</w:t>
      </w:r>
      <w:r>
        <w:rPr>
          <w:rFonts w:hint="eastAsia" w:ascii="仿宋_GB2312" w:hAnsi="仿宋_GB2312" w:eastAsia="仿宋_GB2312" w:cs="仿宋_GB2312"/>
          <w:color w:val="auto"/>
          <w:kern w:val="2"/>
          <w:sz w:val="32"/>
          <w:szCs w:val="32"/>
          <w:lang w:val="en-US" w:eastAsia="zh-CN" w:bidi="ar-SA"/>
        </w:rPr>
        <w:t>拨付</w:t>
      </w:r>
      <w:r>
        <w:rPr>
          <w:rFonts w:hint="default" w:ascii="仿宋_GB2312" w:hAnsi="仿宋_GB2312" w:eastAsia="仿宋_GB2312" w:cs="仿宋_GB2312"/>
          <w:color w:val="auto"/>
          <w:kern w:val="2"/>
          <w:sz w:val="32"/>
          <w:szCs w:val="32"/>
          <w:lang w:val="en-US" w:eastAsia="zh-CN" w:bidi="ar-SA"/>
        </w:rPr>
        <w:t>有完整的审批过程和手续，支出符合部门预算批复的用途，资金使用无截留、挤占、挪用、虚列支出等情况。</w:t>
      </w:r>
      <w:r>
        <w:rPr>
          <w:rFonts w:hint="eastAsia" w:ascii="仿宋_GB2312" w:hAnsi="仿宋_GB2312" w:eastAsia="仿宋_GB2312" w:cs="仿宋_GB2312"/>
          <w:color w:val="auto"/>
          <w:kern w:val="2"/>
          <w:sz w:val="32"/>
          <w:szCs w:val="32"/>
          <w:lang w:val="en-US" w:eastAsia="zh-CN" w:bidi="ar-SA"/>
        </w:rPr>
        <w:t>全面完成了年初预期的各项绩效</w:t>
      </w:r>
      <w:r>
        <w:rPr>
          <w:rFonts w:hint="default" w:ascii="仿宋_GB2312" w:hAnsi="仿宋_GB2312" w:eastAsia="仿宋_GB2312" w:cs="仿宋_GB2312"/>
          <w:color w:val="auto"/>
          <w:kern w:val="2"/>
          <w:sz w:val="32"/>
          <w:szCs w:val="32"/>
          <w:lang w:val="en-US" w:eastAsia="zh-CN" w:bidi="ar-SA"/>
        </w:rPr>
        <w:t>目标</w:t>
      </w:r>
      <w:r>
        <w:rPr>
          <w:rFonts w:hint="eastAsia" w:ascii="仿宋_GB2312" w:hAnsi="仿宋_GB2312" w:eastAsia="仿宋_GB2312" w:cs="仿宋_GB2312"/>
          <w:color w:val="auto"/>
          <w:kern w:val="2"/>
          <w:sz w:val="32"/>
          <w:szCs w:val="32"/>
          <w:lang w:val="en-US" w:eastAsia="zh-CN" w:bidi="ar-SA"/>
        </w:rPr>
        <w:t>任务</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部门整体支出管理情况得到提升，</w:t>
      </w:r>
      <w:r>
        <w:rPr>
          <w:rFonts w:hint="default" w:ascii="仿宋_GB2312" w:hAnsi="仿宋_GB2312" w:eastAsia="仿宋_GB2312" w:cs="仿宋_GB2312"/>
          <w:color w:val="auto"/>
          <w:kern w:val="2"/>
          <w:sz w:val="32"/>
          <w:szCs w:val="32"/>
          <w:lang w:val="en-US" w:eastAsia="zh-CN" w:bidi="ar-SA"/>
        </w:rPr>
        <w:t>在保障机关运转、履行职能职责上整体情况良好</w:t>
      </w:r>
      <w:r>
        <w:rPr>
          <w:rFonts w:hint="eastAsia" w:ascii="仿宋_GB2312" w:hAnsi="仿宋_GB2312" w:eastAsia="仿宋_GB2312" w:cs="仿宋_GB2312"/>
          <w:color w:val="auto"/>
          <w:kern w:val="2"/>
          <w:sz w:val="32"/>
          <w:szCs w:val="32"/>
          <w:lang w:val="en-US" w:eastAsia="zh-CN" w:bidi="ar-SA"/>
        </w:rPr>
        <w:t>。根据《广元市昭化区2023年部门整体支出绩效评价指标体系》评分，得分97分，绩效自评结果优秀。</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textAlignment w:val="auto"/>
        <w:rPr>
          <w:rFonts w:hint="default" w:ascii="Times New Roman" w:hAnsi="Times New Roman" w:eastAsia="楷体_GB2312" w:cs="Times New Roman"/>
          <w:b w:val="0"/>
          <w:bCs/>
          <w:color w:val="auto"/>
          <w:sz w:val="32"/>
          <w:szCs w:val="32"/>
          <w:lang w:val="en-US" w:eastAsia="zh-CN"/>
        </w:rPr>
      </w:pPr>
      <w:bookmarkStart w:id="215" w:name="_Toc350335591_WPSOffice_Level3"/>
      <w:r>
        <w:rPr>
          <w:rFonts w:hint="eastAsia" w:ascii="Times New Roman" w:hAnsi="Times New Roman" w:eastAsia="楷体_GB2312" w:cs="Times New Roman"/>
          <w:b w:val="0"/>
          <w:bCs/>
          <w:color w:val="auto"/>
          <w:sz w:val="32"/>
          <w:szCs w:val="32"/>
          <w:lang w:val="en-US" w:eastAsia="zh-CN"/>
        </w:rPr>
        <w:t>(二)</w:t>
      </w:r>
      <w:r>
        <w:rPr>
          <w:rFonts w:hint="default" w:ascii="Times New Roman" w:hAnsi="Times New Roman" w:eastAsia="楷体_GB2312" w:cs="Times New Roman"/>
          <w:b w:val="0"/>
          <w:bCs/>
          <w:color w:val="auto"/>
          <w:sz w:val="32"/>
          <w:szCs w:val="32"/>
          <w:lang w:val="en-US" w:eastAsia="zh-CN"/>
        </w:rPr>
        <w:t>存在问题</w:t>
      </w:r>
      <w:bookmarkEnd w:id="215"/>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预、决算编制细化程度不够,编制过程中存在项目分类不够精细的情况。</w:t>
      </w:r>
    </w:p>
    <w:p>
      <w:pPr>
        <w:keepNext w:val="0"/>
        <w:keepLines w:val="0"/>
        <w:pageBreakBefore w:val="0"/>
        <w:widowControl w:val="0"/>
        <w:kinsoku/>
        <w:wordWrap/>
        <w:overflowPunct/>
        <w:topLinePunct w:val="0"/>
        <w:autoSpaceDE/>
        <w:autoSpaceDN/>
        <w:bidi w:val="0"/>
        <w:spacing w:line="540" w:lineRule="exact"/>
        <w:ind w:right="0" w:rightChars="0" w:firstLine="320" w:firstLineChars="100"/>
        <w:textAlignment w:val="auto"/>
        <w:outlineLvl w:val="1"/>
        <w:rPr>
          <w:rFonts w:eastAsia="楷体_GB2312"/>
          <w:color w:val="auto"/>
          <w:sz w:val="32"/>
          <w:szCs w:val="32"/>
        </w:rPr>
      </w:pPr>
      <w:bookmarkStart w:id="216" w:name="_Toc1635056805_WPSOffice_Level3"/>
      <w:r>
        <w:rPr>
          <w:rFonts w:eastAsia="楷体_GB2312"/>
          <w:color w:val="auto"/>
          <w:sz w:val="32"/>
          <w:szCs w:val="32"/>
        </w:rPr>
        <w:t>（三）改进建议</w:t>
      </w:r>
      <w:bookmarkEnd w:id="216"/>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本单位将不断完善部门预算编制工作，进一步</w:t>
      </w:r>
      <w:r>
        <w:rPr>
          <w:rFonts w:hint="default" w:ascii="仿宋_GB2312" w:hAnsi="仿宋_GB2312" w:eastAsia="仿宋_GB2312" w:cs="仿宋_GB2312"/>
          <w:color w:val="auto"/>
          <w:kern w:val="2"/>
          <w:sz w:val="32"/>
          <w:szCs w:val="32"/>
          <w:lang w:val="en-US" w:eastAsia="zh-CN" w:bidi="ar-SA"/>
        </w:rPr>
        <w:t>加大绩效项目管理力度，实施进度跟踪，合理支出，提升项目建设的经济效益和社会效益</w:t>
      </w:r>
      <w:r>
        <w:rPr>
          <w:rFonts w:hint="eastAsia" w:ascii="仿宋_GB2312" w:hAnsi="仿宋_GB2312" w:eastAsia="仿宋_GB2312" w:cs="仿宋_GB2312"/>
          <w:color w:val="auto"/>
          <w:kern w:val="2"/>
          <w:sz w:val="32"/>
          <w:szCs w:val="32"/>
          <w:lang w:val="en-US" w:eastAsia="zh-CN" w:bidi="ar-SA"/>
        </w:rPr>
        <w:t>；进一步加强学习，不断提高财政资金使用管理的水平和效率。</w:t>
      </w: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lang w:val="en-US" w:eastAsia="zh-CN"/>
        </w:rPr>
      </w:pPr>
    </w:p>
    <w:p>
      <w:pPr>
        <w:pStyle w:val="7"/>
        <w:rPr>
          <w:rFonts w:hint="eastAsia"/>
          <w:color w:val="auto"/>
          <w:lang w:val="en-US" w:eastAsia="zh-CN"/>
        </w:rPr>
      </w:pPr>
    </w:p>
    <w:p>
      <w:pPr>
        <w:rPr>
          <w:rFonts w:hint="eastAsia"/>
          <w:color w:val="auto"/>
          <w:lang w:val="en-US" w:eastAsia="zh-CN"/>
        </w:rPr>
      </w:pPr>
    </w:p>
    <w:tbl>
      <w:tblPr>
        <w:tblStyle w:val="17"/>
        <w:tblW w:w="10169"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927"/>
        <w:gridCol w:w="1568"/>
        <w:gridCol w:w="1173"/>
        <w:gridCol w:w="2025"/>
        <w:gridCol w:w="1200"/>
        <w:gridCol w:w="1352"/>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69"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0"/>
                <w:szCs w:val="20"/>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广元市昭化区司法局</w:t>
            </w:r>
            <w:r>
              <w:rPr>
                <w:rFonts w:hint="default" w:ascii="方正小标宋简体" w:hAnsi="方正小标宋简体" w:eastAsia="方正小标宋简体" w:cs="方正小标宋简体"/>
                <w:i w:val="0"/>
                <w:color w:val="000000"/>
                <w:kern w:val="0"/>
                <w:sz w:val="28"/>
                <w:szCs w:val="28"/>
                <w:u w:val="none"/>
                <w:lang w:val="en-US" w:eastAsia="zh-CN" w:bidi="ar"/>
              </w:rPr>
              <w:t>2023年</w:t>
            </w:r>
            <w:r>
              <w:rPr>
                <w:rFonts w:hint="eastAsia" w:ascii="方正小标宋简体" w:hAnsi="方正小标宋简体" w:eastAsia="方正小标宋简体" w:cs="方正小标宋简体"/>
                <w:i w:val="0"/>
                <w:color w:val="000000"/>
                <w:kern w:val="0"/>
                <w:sz w:val="28"/>
                <w:szCs w:val="28"/>
                <w:u w:val="none"/>
                <w:lang w:val="en-US" w:eastAsia="zh-CN" w:bidi="ar"/>
              </w:rPr>
              <w:t>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0169"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7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4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2741"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2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3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1223.22</w:t>
            </w:r>
          </w:p>
        </w:tc>
        <w:tc>
          <w:tcPr>
            <w:tcW w:w="1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w:t>
            </w:r>
            <w:r>
              <w:rPr>
                <w:rFonts w:hint="eastAsia" w:ascii="宋体" w:hAnsi="宋体" w:eastAsia="宋体" w:cs="宋体"/>
                <w:i w:val="0"/>
                <w:color w:val="000000"/>
                <w:kern w:val="0"/>
                <w:sz w:val="16"/>
                <w:szCs w:val="16"/>
                <w:u w:val="none"/>
                <w:lang w:val="en-US" w:eastAsia="zh-CN" w:bidi="ar"/>
              </w:rPr>
              <w:t>国有资本经营预算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54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4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202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5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0"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6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全面提升依法治区水平和推进法治政府建设。2023年底前，全面完成依法治区和法治政府建设各项工作任务，以创建省级法治政府建设示范区为抓手，切实推动解决法治建设领域的突出问题，加快建设更高水平的法治昭化，有效提升全区干部群众法治意识和法治素养。</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2.强化普法宣传。2023年12月31日之前，按照全区普法规划，开展“一月一主题”“法律七进+”以及各种群众性法治文化活动70场次，发放法治宣传资料及物品20万份，完成2023年度普法宣传工作。通过开展普法宣传，提高群众法律意识，让群众学法守法，依法办事，推进依法治区进程。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深化法律援助工作。全力实施法律援助民生实事项目，保质保量完成市、区下达的民生实事目标任务。组建全区农民工维权法律援助律师团队，做好省外农民工法律援助服务工作。规范法律援助经费管理使用，积极开展全区法律援助机构民、刑事法律援助案件质量评估。优化基层法律服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4.做好基层司法业务。进一步加强人民调解宣传，调解成功1000件以上，及时化解各类矛盾纠纷，2023年12月31日前完成发放12个镇兼职司法助理员津贴，切实维护社会和谐稳定。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5.加强社区矫正监管教育帮扶。确保在2023年度，持续开展社区矫正执法规范化建设、智慧矫正建设、业务培训、法治宣传等工作，强化对在册160余名社区矫正对象监督管理，保障无脱管、漏管及重新犯罪。</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严格落实安置帮教措施。确保在2023年度，指导督导各镇安置帮教工作领导小组和帮教小组，协调相关责任部门对全区500余名刑满释放人员进行安置帮教，保障刑满释放人员不发生恶性重大刑事案件和群体性事件，有效降低社会重新犯罪率。</w:t>
            </w:r>
          </w:p>
        </w:tc>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1.全面完成依法治区和法治政府建设各项工作任务，创建省级法治政府建设示范区。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2.完成2023年度普法宣传工作，开展“一月一主题”及各种群众性法治文化活动70场次。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3.全年办理法律援助案件206件，提供刑事法律帮助179件，提供咨询1932件，服务人次2295人次。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4.进一步加强人民调解宣传，排查矛盾纠纷6000余次，调处2560余件，全面完成年度既定目标。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5.加强社区矫正监管教育帮扶，无脱管、漏管及重新犯罪。</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6.严格落实安置帮教措施，有效降低社会重新犯罪率。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部门整体绩效指标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办理人民调解、法律援助、行政复议等案件数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1200件</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2766件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案件增加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管理社区矫正对象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160人</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开展普法宣传场次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70场次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70场次</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法律援助到位率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普法宣传到位率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人民调解案件成功率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工作完成时间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工资、住房公积金、各类保险及日常公用经费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729.45万元</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729.45万元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普法宣传、社区矫正、基层司法业务、依法治区和法治政府建设等经费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192.38万元</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192.38万元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对社会的促进作用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群众法治意识提高率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bl>
    <w:p>
      <w:pPr>
        <w:rPr>
          <w:rFonts w:hint="eastAsia"/>
        </w:rPr>
        <w:sectPr>
          <w:footerReference r:id="rId4" w:type="first"/>
          <w:footerReference r:id="rId3" w:type="default"/>
          <w:pgSz w:w="11905" w:h="16838"/>
          <w:pgMar w:top="2098" w:right="1474" w:bottom="1984" w:left="1587" w:header="454" w:footer="964" w:gutter="0"/>
          <w:pgNumType w:fmt="numberInDash"/>
          <w:cols w:space="0" w:num="1"/>
          <w:titlePg/>
          <w:rtlGutter w:val="0"/>
          <w:docGrid w:linePitch="435" w:charSpace="0"/>
        </w:sectPr>
      </w:pPr>
    </w:p>
    <w:p>
      <w:pPr>
        <w:keepNext/>
        <w:keepLines/>
        <w:kinsoku/>
        <w:wordWrap/>
        <w:autoSpaceDE w:val="0"/>
        <w:autoSpaceDN w:val="0"/>
        <w:bidi w:val="0"/>
        <w:adjustRightInd w:val="0"/>
        <w:spacing w:beforeLines="0" w:afterLines="0" w:line="576" w:lineRule="exact"/>
        <w:jc w:val="both"/>
        <w:textAlignment w:val="auto"/>
        <w:rPr>
          <w:rFonts w:hint="eastAsia"/>
          <w:color w:val="auto"/>
          <w:sz w:val="30"/>
          <w:szCs w:val="24"/>
        </w:rPr>
      </w:pPr>
      <w:r>
        <w:rPr>
          <w:rFonts w:hint="eastAsia" w:ascii="仿宋_GB2312" w:hAnsi="仿宋_GB2312" w:eastAsia="仿宋_GB2312"/>
          <w:color w:val="auto"/>
          <w:kern w:val="2"/>
          <w:sz w:val="32"/>
          <w:szCs w:val="24"/>
        </w:rPr>
        <w:t>附表：部门预算项目支出绩效自评表（2023年度）</w:t>
      </w:r>
    </w:p>
    <w:bookmarkEnd w:id="193"/>
    <w:bookmarkEnd w:id="198"/>
    <w:bookmarkEnd w:id="199"/>
    <w:bookmarkEnd w:id="200"/>
    <w:tbl>
      <w:tblPr>
        <w:tblStyle w:val="17"/>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38"/>
        <w:gridCol w:w="133"/>
        <w:gridCol w:w="799"/>
        <w:gridCol w:w="30"/>
        <w:gridCol w:w="977"/>
        <w:gridCol w:w="145"/>
        <w:gridCol w:w="654"/>
        <w:gridCol w:w="253"/>
        <w:gridCol w:w="1479"/>
        <w:gridCol w:w="544"/>
        <w:gridCol w:w="109"/>
        <w:gridCol w:w="692"/>
        <w:gridCol w:w="94"/>
        <w:gridCol w:w="1103"/>
        <w:gridCol w:w="76"/>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0" w:hRule="atLeast"/>
        </w:trPr>
        <w:tc>
          <w:tcPr>
            <w:tcW w:w="9860" w:type="dxa"/>
            <w:gridSpan w:val="17"/>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18" w:hRule="atLeast"/>
        </w:trPr>
        <w:tc>
          <w:tcPr>
            <w:tcW w:w="9860" w:type="dxa"/>
            <w:gridSpan w:val="17"/>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166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项目（政策）名称</w:t>
            </w:r>
          </w:p>
        </w:tc>
        <w:tc>
          <w:tcPr>
            <w:tcW w:w="8198"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依法治区和法治政府建设经费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98" w:hRule="atLeast"/>
        </w:trPr>
        <w:tc>
          <w:tcPr>
            <w:tcW w:w="166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97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11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0" w:hRule="atLeast"/>
        </w:trPr>
        <w:tc>
          <w:tcPr>
            <w:tcW w:w="1662" w:type="dxa"/>
            <w:gridSpan w:val="4"/>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1806"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276"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895"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10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2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22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22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8"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8"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 xml:space="preserve">  3.国有资本经营预算</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5"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81"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3" w:hRule="atLeast"/>
        </w:trPr>
        <w:tc>
          <w:tcPr>
            <w:tcW w:w="6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7050"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91"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050"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2023年底前，全面完成依法治区和法治政府建设各项工作任务，以争创创建省级法治政府建设示范区为抓手，切实推动解决法治建设领域的突出问题，完成法治建设受益群众大于8万人次，加快建设更高水平的法治昭化，有效提升全区干部群众法治意识和法治素养。</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全面完成依法治区和法治政府建设各项工作任务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46" w:hRule="atLeast"/>
        </w:trPr>
        <w:tc>
          <w:tcPr>
            <w:tcW w:w="6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9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9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11"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≥8万人次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≥8万人次</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1"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完成工作时间</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0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依法治区和法治政府建设办公费、印刷费、广告宣传等费用</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40万元</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40万元</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4"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经济社会秩序良好</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保护群众合法权益、维护社会稳定</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6"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提升群众法治意识</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5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22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受益群众满意度指标</w:t>
            </w:r>
          </w:p>
        </w:tc>
        <w:tc>
          <w:tcPr>
            <w:tcW w:w="8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9860" w:type="dxa"/>
            <w:gridSpan w:val="17"/>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9860" w:type="dxa"/>
            <w:gridSpan w:val="17"/>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项目（政策）名称</w:t>
            </w:r>
          </w:p>
        </w:tc>
        <w:tc>
          <w:tcPr>
            <w:tcW w:w="8198"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法律援助案经费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19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1806"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73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653"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96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3.国有资本经营预算</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1662"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955"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955"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2023年12月31日之前， 全面完成法律援助的工作目标，全年完成法律援助案件190件，为促进全区经济又好又快发展、维护社会和谐稳定作出积极贡献。</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全年办理法律援助案件206件，提供刑事法律帮助179件，提供咨询1932件，服务人次2295人次。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办理法律援助案件</w:t>
            </w:r>
          </w:p>
        </w:tc>
        <w:tc>
          <w:tcPr>
            <w:tcW w:w="65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190件</w:t>
            </w:r>
          </w:p>
        </w:tc>
        <w:tc>
          <w:tcPr>
            <w:tcW w:w="196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206件</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法律援助对象增加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法律援助案件办理成功率</w:t>
            </w:r>
          </w:p>
        </w:tc>
        <w:tc>
          <w:tcPr>
            <w:tcW w:w="65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完成工作时间</w:t>
            </w:r>
          </w:p>
        </w:tc>
        <w:tc>
          <w:tcPr>
            <w:tcW w:w="653"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965" w:type="dxa"/>
            <w:gridSpan w:val="4"/>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法律援助工作办公费、会议费、差旅费</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5万元</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5万元</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保护群众合法权益、维护社会稳定</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6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73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法律援助对象满意度指标</w:t>
            </w:r>
          </w:p>
        </w:tc>
        <w:tc>
          <w:tcPr>
            <w:tcW w:w="653"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Style w:val="42"/>
                <w:lang w:val="en-US" w:eastAsia="zh-CN" w:bidi="ar"/>
              </w:rPr>
              <w:t>90%</w:t>
            </w:r>
          </w:p>
        </w:tc>
        <w:tc>
          <w:tcPr>
            <w:tcW w:w="19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0" w:type="dxa"/>
            <w:gridSpan w:val="17"/>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0" w:type="dxa"/>
            <w:gridSpan w:val="17"/>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项目（政策）名称</w:t>
            </w:r>
          </w:p>
        </w:tc>
        <w:tc>
          <w:tcPr>
            <w:tcW w:w="8168"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政府法律顾问经费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85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2029"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4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345"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273"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3.国有资本经营预算</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2" w:type="dxa"/>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7088"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088"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为加快推进全面依法治区和法治政府建设，为区委区政府及时提供法律服务，降低决策风险。该项目计划从2022年9月起，2023年9月结束。主要内容：2022年9月与四川同方正（广元）律师事务所、四川永升律师事务所、四川天称律师事务所、四川新伦律师事务所签订区委区政府法律顾问协议，每个律师事务所法律顾问基础费用为2万元/年，考核费用为1万元/年，具体支付费用按照年度考核结果确定。</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审查重大行政决策、政府合同协议、行政规范性文件139件，协助处理涉法事务48件，提出法律意见建议543条。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9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5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52"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聘请政府法律顾问人数</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5人</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5人</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法律咨询意见采纳率（采纳条数/提出意见总数）</w:t>
            </w:r>
          </w:p>
        </w:tc>
        <w:tc>
          <w:tcPr>
            <w:tcW w:w="134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73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完成工作时间</w:t>
            </w:r>
          </w:p>
        </w:tc>
        <w:tc>
          <w:tcPr>
            <w:tcW w:w="1345"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1273"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发放法律顾问费</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15万元</w:t>
            </w:r>
          </w:p>
        </w:tc>
        <w:tc>
          <w:tcPr>
            <w:tcW w:w="127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15万元</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保护群众合法权益、维护社会稳定</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健全法治政府建设</w:t>
            </w:r>
          </w:p>
        </w:tc>
        <w:tc>
          <w:tcPr>
            <w:tcW w:w="13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5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行政机关满意</w:t>
            </w:r>
          </w:p>
        </w:tc>
        <w:tc>
          <w:tcPr>
            <w:tcW w:w="134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3"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73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5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134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3"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bl>
    <w:p>
      <w:pPr>
        <w:rPr>
          <w:rFonts w:hint="eastAsia" w:ascii="黑体" w:hAnsi="黑体" w:eastAsia="黑体"/>
          <w:color w:val="auto"/>
          <w:sz w:val="44"/>
          <w:szCs w:val="44"/>
          <w:highlight w:val="none"/>
        </w:rPr>
      </w:pPr>
    </w:p>
    <w:tbl>
      <w:tblPr>
        <w:tblStyle w:val="17"/>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331"/>
        <w:gridCol w:w="668"/>
        <w:gridCol w:w="291"/>
        <w:gridCol w:w="646"/>
        <w:gridCol w:w="395"/>
        <w:gridCol w:w="553"/>
        <w:gridCol w:w="490"/>
        <w:gridCol w:w="1487"/>
        <w:gridCol w:w="873"/>
        <w:gridCol w:w="453"/>
        <w:gridCol w:w="528"/>
        <w:gridCol w:w="648"/>
        <w:gridCol w:w="1432"/>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35" w:hRule="atLeast"/>
        </w:trPr>
        <w:tc>
          <w:tcPr>
            <w:tcW w:w="9400"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17" w:hRule="atLeast"/>
        </w:trPr>
        <w:tc>
          <w:tcPr>
            <w:tcW w:w="9400" w:type="dxa"/>
            <w:gridSpan w:val="14"/>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项目（政策）名称</w:t>
            </w:r>
          </w:p>
        </w:tc>
        <w:tc>
          <w:tcPr>
            <w:tcW w:w="7796"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普法宣传经费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73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080"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447" w:hRule="atLeast"/>
        </w:trPr>
        <w:tc>
          <w:tcPr>
            <w:tcW w:w="1604" w:type="dxa"/>
            <w:gridSpan w:val="3"/>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1885"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7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87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981"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8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8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8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413"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 xml:space="preserve">  3.国有资本经营预算</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1604" w:type="dxa"/>
            <w:gridSpan w:val="3"/>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1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1869"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1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31日之前，按照全区普法规划，开展“1+10”法治宣传教育主题活动70场次，发放宣传资料200000份，完成2022年度普法宣传工作。通过开展普法宣传，提高群众法律意识，让群众学法守法，依法办事，推进依法治区进程。</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顺利通过全省“八五”普法中期评估验收。扎实开展“法律七进+”“一月一主题”等法治宣传活动800余场次，通过短信平台向群众发布普法短信80余万条。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45" w:hRule="atLeast"/>
        </w:trPr>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9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4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10万人次</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10万人次</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宣传活动场次</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70场次</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70场次</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6"/>
                <w:szCs w:val="16"/>
                <w:u w:val="none"/>
                <w:lang w:val="en-US" w:eastAsia="zh-CN" w:bidi="ar"/>
              </w:rPr>
              <w:t>全年发放宣传资料数量</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20万份</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20万份</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完成工作时间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81"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普法宣传资料印刷费、办公费、广告制作等费用</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23万元</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23万元</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4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普法宣传覆盖面</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4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群众法治意识</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327"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93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参与群众满意度</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0" w:type="dxa"/>
          <w:trHeight w:val="635"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行政机关满意度</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860" w:type="dxa"/>
            <w:gridSpan w:val="15"/>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860" w:type="dxa"/>
            <w:gridSpan w:val="15"/>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项目（政策）名称</w:t>
            </w:r>
          </w:p>
        </w:tc>
        <w:tc>
          <w:tcPr>
            <w:tcW w:w="79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基层司法业务经费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89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2084"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4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326"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176"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3.国有资本经营预算</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5" w:type="dxa"/>
            <w:gridSpan w:val="4"/>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703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03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进一步加强人民调解宣传，调解成功1000件以上，及时化解各类矛盾纠纷，2023年12月31日前完成发放12个镇兼职司法助理员津贴，切实维护社会和谐稳定。</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进一步加强人民调解宣传，排查矛盾纠纷6000余次，调处2560余件，全面完成年度既定目标。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3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5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人民调解案件</w:t>
            </w:r>
          </w:p>
        </w:tc>
        <w:tc>
          <w:tcPr>
            <w:tcW w:w="13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1000件</w:t>
            </w:r>
          </w:p>
        </w:tc>
        <w:tc>
          <w:tcPr>
            <w:tcW w:w="117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2560件</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人民调解案件增多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调解成功率</w:t>
            </w:r>
          </w:p>
        </w:tc>
        <w:tc>
          <w:tcPr>
            <w:tcW w:w="13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完成工作时间</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4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人民调解工作经费</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6万元</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6万元</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4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发放各镇兼职司法助理员津贴及基层司法业务经费</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4万元</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4万元</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人民调解覆盖面</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12个乡镇</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w:t>
            </w:r>
          </w:p>
        </w:tc>
        <w:tc>
          <w:tcPr>
            <w:tcW w:w="189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93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pStyle w:val="7"/>
        <w:rPr>
          <w:rFonts w:hint="eastAsia"/>
        </w:rPr>
      </w:pPr>
    </w:p>
    <w:p>
      <w:pPr>
        <w:rPr>
          <w:rFonts w:hint="eastAsia"/>
        </w:rPr>
      </w:pPr>
    </w:p>
    <w:p>
      <w:pPr>
        <w:pStyle w:val="2"/>
        <w:rPr>
          <w:rFonts w:hint="eastAsia"/>
        </w:rPr>
      </w:pPr>
    </w:p>
    <w:tbl>
      <w:tblPr>
        <w:tblStyle w:val="17"/>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795"/>
        <w:gridCol w:w="1065"/>
        <w:gridCol w:w="930"/>
        <w:gridCol w:w="1923"/>
        <w:gridCol w:w="1235"/>
        <w:gridCol w:w="1367"/>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9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900" w:type="dxa"/>
            <w:gridSpan w:val="8"/>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项目（政策）名称</w:t>
            </w:r>
          </w:p>
        </w:tc>
        <w:tc>
          <w:tcPr>
            <w:tcW w:w="838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争取资金工作经费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5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1995" w:type="dxa"/>
            <w:gridSpan w:val="2"/>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36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3.国有资本经营预算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14"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73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通过积极向上申报，按照要求向上级申报资料，争取政法转移支付资金的下达。</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全年向上争取资金126万元。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争取办案业务、业务装备、法律援助等项目</w:t>
            </w:r>
            <w:bookmarkStart w:id="244" w:name="_GoBack"/>
            <w:bookmarkEnd w:id="244"/>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2023年争取资金总额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80万元</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130万元</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争取资金到位率</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完成任务时间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通过争取办案业务和业务装备经费，推动依法行政、依法办事、依法治区，维护全区社会、政治秩序稳定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pStyle w:val="7"/>
        <w:rPr>
          <w:rFonts w:hint="eastAsia"/>
        </w:rPr>
      </w:pPr>
    </w:p>
    <w:tbl>
      <w:tblPr>
        <w:tblStyle w:val="17"/>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6"/>
        <w:gridCol w:w="847"/>
        <w:gridCol w:w="1067"/>
        <w:gridCol w:w="862"/>
        <w:gridCol w:w="1509"/>
        <w:gridCol w:w="1236"/>
        <w:gridCol w:w="1254"/>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7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700" w:type="dxa"/>
            <w:gridSpan w:val="8"/>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项目（政策）名称</w:t>
            </w:r>
          </w:p>
        </w:tc>
        <w:tc>
          <w:tcPr>
            <w:tcW w:w="783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司法所辅助人员包干经费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6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广元市司法局</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90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广元市昭化区司法局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项目（政策）资金（万元）</w:t>
            </w:r>
          </w:p>
        </w:tc>
        <w:tc>
          <w:tcPr>
            <w:tcW w:w="1929" w:type="dxa"/>
            <w:gridSpan w:val="2"/>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50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23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25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（一）财政拨款小计</w:t>
            </w:r>
          </w:p>
        </w:tc>
        <w:tc>
          <w:tcPr>
            <w:tcW w:w="1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w:t>
            </w:r>
          </w:p>
        </w:tc>
        <w:tc>
          <w:tcPr>
            <w:tcW w:w="1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2.政府性基金</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 xml:space="preserve">  3.国有资本经营预算</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4.社保基金</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863"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（二）其他资金</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7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7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区政府决定和人社局核定，确定本单位15名司法辅助人员按月工资发放和社保缴费，年内12次以内发放完成，费用控制在68万元以内，确保辅助人员能协助开展各项司法业务工作，辅助人员和群众满意度大于90%以上。协助司法所开展指导调解、参与基层普法依法治理、组织提供公共法律服务、受委托承担社区矫正、协调安置帮教、参与基层法治建设等工作，进一步推动司法所业务工作开展，服务社会基层治理。</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完成司法辅助人员招聘并及时发放工资保险等。进一步推动司法所业务工作开展，服务社会基层治理。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3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招聘司法所辅助人员</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15个</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15个</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考评人数等级“不合格”率</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完成任务时间</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12个月</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辅助人员工资及保险</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68万元</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68万元</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司法所业务工作高效推进</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好坏</w:t>
            </w:r>
          </w:p>
        </w:tc>
        <w:tc>
          <w:tcPr>
            <w:tcW w:w="12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单位对辅助人员的满意度</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辅助人员对单位的满意度</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spacing w:line="600" w:lineRule="exact"/>
        <w:jc w:val="center"/>
        <w:outlineLvl w:val="0"/>
        <w:rPr>
          <w:rFonts w:hint="eastAsia" w:ascii="仿宋" w:hAnsi="仿宋" w:eastAsia="仿宋"/>
          <w:b w:val="0"/>
          <w:color w:val="auto"/>
          <w:highlight w:val="none"/>
        </w:rPr>
      </w:pPr>
      <w:bookmarkStart w:id="217" w:name="_Toc265518138_WPSOffice_Level1"/>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217"/>
      <w:bookmarkStart w:id="218" w:name="_Toc15396619"/>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19" w:name="_Toc864634590_WPSOffice_Level2"/>
      <w:r>
        <w:rPr>
          <w:rFonts w:hint="eastAsia" w:ascii="仿宋_GB2312" w:hAnsi="仿宋_GB2312" w:eastAsia="仿宋_GB2312" w:cs="仿宋_GB2312"/>
          <w:b w:val="0"/>
          <w:color w:val="auto"/>
          <w:highlight w:val="none"/>
        </w:rPr>
        <w:t>一、收</w:t>
      </w:r>
      <w:r>
        <w:rPr>
          <w:rStyle w:val="31"/>
          <w:rFonts w:hint="eastAsia" w:ascii="仿宋_GB2312" w:hAnsi="仿宋_GB2312" w:eastAsia="仿宋_GB2312" w:cs="仿宋_GB2312"/>
          <w:b w:val="0"/>
          <w:bCs w:val="0"/>
          <w:color w:val="auto"/>
          <w:highlight w:val="none"/>
        </w:rPr>
        <w:t>入支出决算总表</w:t>
      </w:r>
      <w:bookmarkEnd w:id="218"/>
      <w:bookmarkEnd w:id="219"/>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20" w:name="_Toc15396620"/>
      <w:bookmarkStart w:id="221" w:name="_Toc720479298_WPSOffice_Level2"/>
      <w:r>
        <w:rPr>
          <w:rFonts w:hint="eastAsia" w:ascii="仿宋_GB2312" w:hAnsi="仿宋_GB2312" w:eastAsia="仿宋_GB2312" w:cs="仿宋_GB2312"/>
          <w:b w:val="0"/>
          <w:color w:val="auto"/>
          <w:highlight w:val="none"/>
        </w:rPr>
        <w:t>二、收</w:t>
      </w:r>
      <w:r>
        <w:rPr>
          <w:rStyle w:val="31"/>
          <w:rFonts w:hint="eastAsia" w:ascii="仿宋_GB2312" w:hAnsi="仿宋_GB2312" w:eastAsia="仿宋_GB2312" w:cs="仿宋_GB2312"/>
          <w:b w:val="0"/>
          <w:bCs w:val="0"/>
          <w:color w:val="auto"/>
          <w:highlight w:val="none"/>
        </w:rPr>
        <w:t>入决算表</w:t>
      </w:r>
      <w:bookmarkEnd w:id="220"/>
      <w:bookmarkEnd w:id="221"/>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22" w:name="_Toc15396621"/>
      <w:bookmarkStart w:id="223" w:name="_Toc1619542913_WPSOffice_Level2"/>
      <w:r>
        <w:rPr>
          <w:rStyle w:val="31"/>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31"/>
          <w:rFonts w:hint="eastAsia" w:ascii="仿宋_GB2312" w:hAnsi="仿宋_GB2312" w:eastAsia="仿宋_GB2312" w:cs="仿宋_GB2312"/>
          <w:b w:val="0"/>
          <w:bCs w:val="0"/>
          <w:color w:val="auto"/>
          <w:highlight w:val="none"/>
        </w:rPr>
        <w:t>出决算表</w:t>
      </w:r>
      <w:bookmarkEnd w:id="222"/>
      <w:bookmarkEnd w:id="223"/>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b w:val="0"/>
          <w:color w:val="auto"/>
          <w:highlight w:val="none"/>
        </w:rPr>
      </w:pPr>
      <w:bookmarkStart w:id="224" w:name="_Toc15396622"/>
      <w:bookmarkStart w:id="225" w:name="_Toc350335591_WPSOffice_Level2"/>
      <w:r>
        <w:rPr>
          <w:rStyle w:val="31"/>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31"/>
          <w:rFonts w:hint="eastAsia" w:ascii="仿宋_GB2312" w:hAnsi="仿宋_GB2312" w:eastAsia="仿宋_GB2312" w:cs="仿宋_GB2312"/>
          <w:b w:val="0"/>
          <w:bCs w:val="0"/>
          <w:color w:val="auto"/>
          <w:highlight w:val="none"/>
        </w:rPr>
        <w:t>政拨款收入支出决算总表</w:t>
      </w:r>
      <w:bookmarkEnd w:id="224"/>
      <w:bookmarkEnd w:id="225"/>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Style w:val="31"/>
          <w:rFonts w:hint="eastAsia" w:ascii="仿宋_GB2312" w:hAnsi="仿宋_GB2312" w:eastAsia="仿宋_GB2312" w:cs="仿宋_GB2312"/>
          <w:b w:val="0"/>
          <w:bCs w:val="0"/>
          <w:color w:val="auto"/>
          <w:highlight w:val="none"/>
        </w:rPr>
      </w:pPr>
      <w:bookmarkStart w:id="226" w:name="_Toc15396623"/>
      <w:bookmarkStart w:id="227" w:name="_Toc1635056805_WPSOffice_Level2"/>
      <w:r>
        <w:rPr>
          <w:rStyle w:val="31"/>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31"/>
          <w:rFonts w:hint="eastAsia" w:ascii="仿宋_GB2312" w:hAnsi="仿宋_GB2312" w:eastAsia="仿宋_GB2312" w:cs="仿宋_GB2312"/>
          <w:b w:val="0"/>
          <w:bCs w:val="0"/>
          <w:color w:val="auto"/>
          <w:highlight w:val="none"/>
        </w:rPr>
        <w:t>政拨款支出决算明细表</w:t>
      </w:r>
      <w:bookmarkEnd w:id="226"/>
      <w:bookmarkEnd w:id="227"/>
      <w:bookmarkStart w:id="228" w:name="_Toc15396624"/>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29" w:name="_Toc1176837976_WPSOffice_Level2"/>
      <w:r>
        <w:rPr>
          <w:rStyle w:val="31"/>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般公共预算财政拨款支出决算表</w:t>
      </w:r>
      <w:bookmarkEnd w:id="228"/>
      <w:bookmarkEnd w:id="229"/>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30" w:name="_Toc15396625"/>
      <w:bookmarkStart w:id="231" w:name="_Toc240030355_WPSOffice_Level2"/>
      <w:r>
        <w:rPr>
          <w:rStyle w:val="31"/>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般公共预算财政拨款支出决算明细表</w:t>
      </w:r>
      <w:bookmarkEnd w:id="230"/>
      <w:bookmarkEnd w:id="231"/>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32" w:name="_Toc15396626"/>
      <w:bookmarkStart w:id="233" w:name="_Toc556435242_WPSOffice_Level2"/>
      <w:r>
        <w:rPr>
          <w:rStyle w:val="31"/>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般公共预算财政拨款基本支出决算表</w:t>
      </w:r>
      <w:bookmarkEnd w:id="232"/>
      <w:bookmarkEnd w:id="233"/>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34" w:name="_Toc15396627"/>
      <w:bookmarkStart w:id="235" w:name="_Toc442328435_WPSOffice_Level2"/>
      <w:r>
        <w:rPr>
          <w:rStyle w:val="31"/>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般公共预算财政拨款项目支出决算表</w:t>
      </w:r>
      <w:bookmarkEnd w:id="234"/>
      <w:bookmarkEnd w:id="235"/>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36" w:name="_Toc15396628"/>
      <w:bookmarkStart w:id="237" w:name="_Toc309098174_WPSOffice_Level2"/>
      <w:r>
        <w:rPr>
          <w:rStyle w:val="31"/>
          <w:rFonts w:hint="eastAsia" w:ascii="仿宋_GB2312" w:hAnsi="仿宋_GB2312" w:eastAsia="仿宋_GB2312" w:cs="仿宋_GB2312"/>
          <w:b w:val="0"/>
          <w:bCs w:val="0"/>
          <w:color w:val="auto"/>
          <w:highlight w:val="none"/>
        </w:rPr>
        <w:t>十、</w:t>
      </w:r>
      <w:bookmarkEnd w:id="236"/>
      <w:r>
        <w:rPr>
          <w:rFonts w:hint="eastAsia" w:ascii="仿宋_GB2312" w:hAnsi="仿宋_GB2312" w:eastAsia="仿宋_GB2312" w:cs="仿宋_GB2312"/>
          <w:b w:val="0"/>
          <w:color w:val="auto"/>
          <w:highlight w:val="none"/>
        </w:rPr>
        <w:t>政</w:t>
      </w:r>
      <w:r>
        <w:rPr>
          <w:rStyle w:val="31"/>
          <w:rFonts w:hint="eastAsia" w:ascii="仿宋_GB2312" w:hAnsi="仿宋_GB2312" w:eastAsia="仿宋_GB2312" w:cs="仿宋_GB2312"/>
          <w:b w:val="0"/>
          <w:bCs w:val="0"/>
          <w:color w:val="auto"/>
          <w:highlight w:val="none"/>
        </w:rPr>
        <w:t>府性基金预算财政拨款收入支出决算表</w:t>
      </w:r>
      <w:bookmarkEnd w:id="237"/>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38" w:name="_Toc15396629"/>
      <w:bookmarkStart w:id="239" w:name="_Toc788931228_WPSOffice_Level2"/>
      <w:r>
        <w:rPr>
          <w:rStyle w:val="31"/>
          <w:rFonts w:hint="eastAsia" w:ascii="仿宋_GB2312" w:hAnsi="仿宋_GB2312" w:eastAsia="仿宋_GB2312" w:cs="仿宋_GB2312"/>
          <w:b w:val="0"/>
          <w:bCs w:val="0"/>
          <w:color w:val="auto"/>
          <w:highlight w:val="none"/>
        </w:rPr>
        <w:t>十一、</w:t>
      </w:r>
      <w:bookmarkEnd w:id="238"/>
      <w:r>
        <w:rPr>
          <w:rFonts w:hint="eastAsia" w:ascii="仿宋_GB2312" w:hAnsi="仿宋_GB2312" w:eastAsia="仿宋_GB2312" w:cs="仿宋_GB2312"/>
          <w:b w:val="0"/>
          <w:color w:val="auto"/>
          <w:highlight w:val="none"/>
        </w:rPr>
        <w:t>国</w:t>
      </w:r>
      <w:r>
        <w:rPr>
          <w:rStyle w:val="31"/>
          <w:rFonts w:hint="eastAsia" w:ascii="仿宋_GB2312" w:hAnsi="仿宋_GB2312" w:eastAsia="仿宋_GB2312" w:cs="仿宋_GB2312"/>
          <w:b w:val="0"/>
          <w:bCs w:val="0"/>
          <w:color w:val="auto"/>
          <w:highlight w:val="none"/>
        </w:rPr>
        <w:t>有资本经营预算</w:t>
      </w:r>
      <w:r>
        <w:rPr>
          <w:rStyle w:val="31"/>
          <w:rFonts w:hint="eastAsia" w:ascii="仿宋_GB2312" w:hAnsi="仿宋_GB2312" w:eastAsia="仿宋_GB2312" w:cs="仿宋_GB2312"/>
          <w:b w:val="0"/>
          <w:bCs w:val="0"/>
          <w:color w:val="auto"/>
          <w:highlight w:val="none"/>
          <w:lang w:eastAsia="zh-CN"/>
        </w:rPr>
        <w:t>财政拨款收入</w:t>
      </w:r>
      <w:r>
        <w:rPr>
          <w:rStyle w:val="31"/>
          <w:rFonts w:hint="eastAsia" w:ascii="仿宋_GB2312" w:hAnsi="仿宋_GB2312" w:eastAsia="仿宋_GB2312" w:cs="仿宋_GB2312"/>
          <w:b w:val="0"/>
          <w:bCs w:val="0"/>
          <w:color w:val="auto"/>
          <w:highlight w:val="none"/>
        </w:rPr>
        <w:t>支出决算表</w:t>
      </w:r>
      <w:bookmarkEnd w:id="239"/>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40" w:name="_Toc15396630"/>
      <w:bookmarkStart w:id="241" w:name="_Toc1584871522_WPSOffice_Level2"/>
      <w:r>
        <w:rPr>
          <w:rStyle w:val="31"/>
          <w:rFonts w:hint="eastAsia" w:ascii="仿宋_GB2312" w:hAnsi="仿宋_GB2312" w:eastAsia="仿宋_GB2312" w:cs="仿宋_GB2312"/>
          <w:b w:val="0"/>
          <w:bCs w:val="0"/>
          <w:color w:val="auto"/>
          <w:highlight w:val="none"/>
        </w:rPr>
        <w:t>十二、</w:t>
      </w:r>
      <w:bookmarkEnd w:id="240"/>
      <w:r>
        <w:rPr>
          <w:rStyle w:val="31"/>
          <w:rFonts w:hint="eastAsia" w:ascii="仿宋_GB2312" w:hAnsi="仿宋_GB2312" w:eastAsia="仿宋_GB2312" w:cs="仿宋_GB2312"/>
          <w:b w:val="0"/>
          <w:bCs w:val="0"/>
          <w:color w:val="auto"/>
          <w:highlight w:val="none"/>
          <w:lang w:eastAsia="zh-CN"/>
        </w:rPr>
        <w:t>国有资本经营预算财政拨款支出决算表</w:t>
      </w:r>
      <w:bookmarkEnd w:id="241"/>
    </w:p>
    <w:p>
      <w:pPr>
        <w:pStyle w:val="4"/>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lang w:eastAsia="zh-CN"/>
        </w:rPr>
      </w:pPr>
      <w:bookmarkStart w:id="242" w:name="_Toc15396631"/>
      <w:bookmarkStart w:id="243" w:name="_Toc822825650_WPSOffice_Level2"/>
      <w:r>
        <w:rPr>
          <w:rStyle w:val="31"/>
          <w:rFonts w:hint="eastAsia" w:ascii="仿宋_GB2312" w:hAnsi="仿宋_GB2312" w:eastAsia="仿宋_GB2312" w:cs="仿宋_GB2312"/>
          <w:b w:val="0"/>
          <w:bCs w:val="0"/>
          <w:color w:val="auto"/>
          <w:highlight w:val="none"/>
        </w:rPr>
        <w:t>十三、</w:t>
      </w:r>
      <w:bookmarkEnd w:id="242"/>
      <w:r>
        <w:rPr>
          <w:rStyle w:val="31"/>
          <w:rFonts w:hint="eastAsia" w:ascii="仿宋_GB2312" w:hAnsi="仿宋_GB2312" w:eastAsia="仿宋_GB2312" w:cs="仿宋_GB2312"/>
          <w:b w:val="0"/>
          <w:bCs w:val="0"/>
          <w:color w:val="auto"/>
          <w:highlight w:val="none"/>
          <w:lang w:eastAsia="zh-CN"/>
        </w:rPr>
        <w:t>财政拨款“三公”经费支出决算表</w:t>
      </w:r>
      <w:bookmarkEnd w:id="243"/>
    </w:p>
    <w:sectPr>
      <w:footerReference r:id="rId7" w:type="first"/>
      <w:headerReference r:id="rId5" w:type="default"/>
      <w:footerReference r:id="rId6"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汉仪细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75756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210" w:leftChars="100" w:right="210" w:rightChars="100"/>
                            <w:rPr>
                              <w:rStyle w:val="20"/>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PAGE  \* MERGEFORMAT </w:instrText>
                          </w:r>
                          <w:r>
                            <w:rPr>
                              <w:rStyle w:val="20"/>
                              <w:rFonts w:ascii="宋体" w:hAnsi="宋体"/>
                              <w:sz w:val="28"/>
                              <w:szCs w:val="28"/>
                            </w:rPr>
                            <w:fldChar w:fldCharType="separate"/>
                          </w:r>
                          <w:r>
                            <w:rPr>
                              <w:rStyle w:val="20"/>
                              <w:rFonts w:ascii="宋体" w:hAnsi="宋体"/>
                              <w:sz w:val="28"/>
                              <w:szCs w:val="28"/>
                            </w:rPr>
                            <w:t>- 1 -</w:t>
                          </w:r>
                          <w:r>
                            <w:rPr>
                              <w:rStyle w:val="20"/>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575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11"/>
                      <w:ind w:left="210" w:leftChars="100" w:right="210" w:rightChars="100"/>
                      <w:rPr>
                        <w:rStyle w:val="20"/>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PAGE  \* MERGEFORMAT </w:instrText>
                    </w:r>
                    <w:r>
                      <w:rPr>
                        <w:rStyle w:val="20"/>
                        <w:rFonts w:ascii="宋体" w:hAnsi="宋体"/>
                        <w:sz w:val="28"/>
                        <w:szCs w:val="28"/>
                      </w:rPr>
                      <w:fldChar w:fldCharType="separate"/>
                    </w:r>
                    <w:r>
                      <w:rPr>
                        <w:rStyle w:val="20"/>
                        <w:rFonts w:ascii="宋体" w:hAnsi="宋体"/>
                        <w:sz w:val="28"/>
                        <w:szCs w:val="28"/>
                      </w:rPr>
                      <w:t>- 1 -</w:t>
                    </w:r>
                    <w:r>
                      <w:rPr>
                        <w:rStyle w:val="20"/>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758592" behindDoc="0" locked="0" layoutInCell="1" allowOverlap="1">
              <wp:simplePos x="0" y="0"/>
              <wp:positionH relativeFrom="margin">
                <wp:align>right</wp:align>
              </wp:positionH>
              <wp:positionV relativeFrom="paragraph">
                <wp:posOffset>0</wp:posOffset>
              </wp:positionV>
              <wp:extent cx="579755" cy="248285"/>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579755" cy="248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9.55pt;width:45.65pt;mso-position-horizontal:right;mso-position-horizontal-relative:margin;z-index:251758592;mso-width-relative:page;mso-height-relative:page;" filled="f" stroked="f" coordsize="21600,21600" o:gfxdata="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I6seXLTAAAAAwEAAA8AAAAAAAAAAQAgAAAAOAAAAGRycy9kb3ducmV2&#10;LnhtbFBLAQIUABQAAAAIAIdO4kA6amhqJAIAACsEAAAOAAAAAAAAAAEAIAAAADgBAABkcnMvZTJv&#10;RG9jLnhtbFBLBQYAAAAABgAGAFkBAADOBQAAAAA=&#10;">
              <v:fill on="f" focussize="0,0"/>
              <v:stroke on="f" weight="0.5pt"/>
              <v:imagedata o:title=""/>
              <o:lock v:ext="edit" aspectratio="f"/>
              <v:textbox inset="0mm,0mm,0mm,0mm">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75961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596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719455" cy="280035"/>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71945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2.05pt;width:56.65pt;mso-position-horizontal:right;mso-position-horizontal-relative:margin;z-index:251674624;mso-width-relative:page;mso-height-relative:page;" filled="f" stroked="f" coordsize="21600,21600" o:gfxdata="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deFAPTAAAABAEAAA8AAAAAAAAAAQAgAAAAOAAAAGRycy9kb3ducmV2Lnht&#10;bFBLAQIUABQAAAAIAIdO4kA2D4t8IQIAACsEAAAOAAAAAAAAAAEAIAAAADgBAABkcnMvZTJvRG9j&#10;LnhtbFBLBQYAAAAABgAGAFkBAADLBQAAAAA=&#10;">
              <v:fill on="f" focussize="0,0"/>
              <v:stroke on="f" weight="0.5pt"/>
              <v:imagedata o:title=""/>
              <o:lock v:ext="edit" aspectratio="f"/>
              <v:textbox inset="0mm,0mm,0mm,0mm">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DBF58D8"/>
    <w:multiLevelType w:val="singleLevel"/>
    <w:tmpl w:val="FDBF58D8"/>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C26861"/>
    <w:multiLevelType w:val="singleLevel"/>
    <w:tmpl w:val="62C26861"/>
    <w:lvl w:ilvl="0" w:tentative="0">
      <w:start w:val="2"/>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DBEA786"/>
    <w:rsid w:val="0DFF8F86"/>
    <w:rsid w:val="10C055FF"/>
    <w:rsid w:val="118107EC"/>
    <w:rsid w:val="11DD6519"/>
    <w:rsid w:val="1577561D"/>
    <w:rsid w:val="16BB723D"/>
    <w:rsid w:val="16DF07ED"/>
    <w:rsid w:val="16F7F6E5"/>
    <w:rsid w:val="175A00C4"/>
    <w:rsid w:val="17FBA39E"/>
    <w:rsid w:val="18015F3F"/>
    <w:rsid w:val="19DC4A50"/>
    <w:rsid w:val="1BE8440E"/>
    <w:rsid w:val="1D155CEE"/>
    <w:rsid w:val="1D73945E"/>
    <w:rsid w:val="1FAD513E"/>
    <w:rsid w:val="20F57F95"/>
    <w:rsid w:val="240371BF"/>
    <w:rsid w:val="25C741E6"/>
    <w:rsid w:val="27842671"/>
    <w:rsid w:val="27FD4E4D"/>
    <w:rsid w:val="28B8113B"/>
    <w:rsid w:val="29FD04D3"/>
    <w:rsid w:val="2ABE7A3E"/>
    <w:rsid w:val="2C4DEF51"/>
    <w:rsid w:val="2D57A6A1"/>
    <w:rsid w:val="2EFA178C"/>
    <w:rsid w:val="30B46D73"/>
    <w:rsid w:val="319F7F4E"/>
    <w:rsid w:val="32436FE5"/>
    <w:rsid w:val="33FDBA23"/>
    <w:rsid w:val="347B334B"/>
    <w:rsid w:val="39AE70AB"/>
    <w:rsid w:val="39FF40B1"/>
    <w:rsid w:val="3BD73DEA"/>
    <w:rsid w:val="3BFCB0A1"/>
    <w:rsid w:val="3C0C0783"/>
    <w:rsid w:val="3DBB5A05"/>
    <w:rsid w:val="3F3951F7"/>
    <w:rsid w:val="3F6A2013"/>
    <w:rsid w:val="3F795B0E"/>
    <w:rsid w:val="3F9F3A96"/>
    <w:rsid w:val="3FAEC147"/>
    <w:rsid w:val="3FBB5493"/>
    <w:rsid w:val="3FDB7044"/>
    <w:rsid w:val="3FF74DFD"/>
    <w:rsid w:val="3FF7E53D"/>
    <w:rsid w:val="437F34A5"/>
    <w:rsid w:val="473F64F1"/>
    <w:rsid w:val="47E7E15A"/>
    <w:rsid w:val="48731C4C"/>
    <w:rsid w:val="493C27E9"/>
    <w:rsid w:val="496F39ED"/>
    <w:rsid w:val="49FF41D3"/>
    <w:rsid w:val="4A185DC8"/>
    <w:rsid w:val="4BAF6AD1"/>
    <w:rsid w:val="4BE068DB"/>
    <w:rsid w:val="4BEE47B5"/>
    <w:rsid w:val="4BF6002B"/>
    <w:rsid w:val="4CD1746A"/>
    <w:rsid w:val="4EC97AE8"/>
    <w:rsid w:val="4ECE2238"/>
    <w:rsid w:val="4FFF0A16"/>
    <w:rsid w:val="4FFFBBA9"/>
    <w:rsid w:val="51DB4B86"/>
    <w:rsid w:val="522725E3"/>
    <w:rsid w:val="537F9295"/>
    <w:rsid w:val="55333C3E"/>
    <w:rsid w:val="559E8C47"/>
    <w:rsid w:val="55D911E7"/>
    <w:rsid w:val="55F7D41A"/>
    <w:rsid w:val="57C3794E"/>
    <w:rsid w:val="57FF3B1D"/>
    <w:rsid w:val="584BEB99"/>
    <w:rsid w:val="58DF63AC"/>
    <w:rsid w:val="59BE1659"/>
    <w:rsid w:val="5CF743B4"/>
    <w:rsid w:val="5CFD9656"/>
    <w:rsid w:val="5D5F936F"/>
    <w:rsid w:val="5E9270A6"/>
    <w:rsid w:val="5EED7F87"/>
    <w:rsid w:val="5EEF32A1"/>
    <w:rsid w:val="5EF3F2B2"/>
    <w:rsid w:val="5F3E0F6E"/>
    <w:rsid w:val="5F3EE62B"/>
    <w:rsid w:val="5F7EDAFE"/>
    <w:rsid w:val="5F7FE114"/>
    <w:rsid w:val="5FBFDF1F"/>
    <w:rsid w:val="5FEFF7FF"/>
    <w:rsid w:val="62FB352C"/>
    <w:rsid w:val="640D6BEF"/>
    <w:rsid w:val="64CA39A1"/>
    <w:rsid w:val="66AA647F"/>
    <w:rsid w:val="67BF6FE5"/>
    <w:rsid w:val="67FB6633"/>
    <w:rsid w:val="686368F6"/>
    <w:rsid w:val="6B7FCFEB"/>
    <w:rsid w:val="6C4A05C8"/>
    <w:rsid w:val="6CCF4F24"/>
    <w:rsid w:val="6D8F34B4"/>
    <w:rsid w:val="6D96C111"/>
    <w:rsid w:val="6DC3C55F"/>
    <w:rsid w:val="6E2B7A7F"/>
    <w:rsid w:val="6E3EA582"/>
    <w:rsid w:val="6EFE5DA6"/>
    <w:rsid w:val="6FADF2E5"/>
    <w:rsid w:val="6FAF1ADF"/>
    <w:rsid w:val="6FD74153"/>
    <w:rsid w:val="6FDB6EE5"/>
    <w:rsid w:val="6FF129AE"/>
    <w:rsid w:val="6FFD06E0"/>
    <w:rsid w:val="6FFF5724"/>
    <w:rsid w:val="715F3485"/>
    <w:rsid w:val="71AFEF69"/>
    <w:rsid w:val="71CC7D54"/>
    <w:rsid w:val="71EC3145"/>
    <w:rsid w:val="71FB23B4"/>
    <w:rsid w:val="72734D90"/>
    <w:rsid w:val="73BC5009"/>
    <w:rsid w:val="74E366CA"/>
    <w:rsid w:val="74E5A07B"/>
    <w:rsid w:val="75BBF533"/>
    <w:rsid w:val="75FD46DF"/>
    <w:rsid w:val="76C76308"/>
    <w:rsid w:val="76D97308"/>
    <w:rsid w:val="76EF3321"/>
    <w:rsid w:val="76F63990"/>
    <w:rsid w:val="77DFB2F4"/>
    <w:rsid w:val="797DCC28"/>
    <w:rsid w:val="79DECC46"/>
    <w:rsid w:val="79E7B28D"/>
    <w:rsid w:val="79EFD765"/>
    <w:rsid w:val="79EFE1EC"/>
    <w:rsid w:val="79F7AE39"/>
    <w:rsid w:val="7A4788BC"/>
    <w:rsid w:val="7AFFCA03"/>
    <w:rsid w:val="7B6538E8"/>
    <w:rsid w:val="7B6DB28F"/>
    <w:rsid w:val="7BEBFFA7"/>
    <w:rsid w:val="7BFC985E"/>
    <w:rsid w:val="7CBFFC2E"/>
    <w:rsid w:val="7D5F52A9"/>
    <w:rsid w:val="7D9B3A2B"/>
    <w:rsid w:val="7DB70E05"/>
    <w:rsid w:val="7DE62478"/>
    <w:rsid w:val="7DF379DF"/>
    <w:rsid w:val="7DF7CF4F"/>
    <w:rsid w:val="7E5F4ADF"/>
    <w:rsid w:val="7EDB8708"/>
    <w:rsid w:val="7EDFC8A3"/>
    <w:rsid w:val="7EEB781A"/>
    <w:rsid w:val="7EFF3410"/>
    <w:rsid w:val="7EFF8C32"/>
    <w:rsid w:val="7EFFCE20"/>
    <w:rsid w:val="7F57CB06"/>
    <w:rsid w:val="7F5CE31B"/>
    <w:rsid w:val="7F7BF167"/>
    <w:rsid w:val="7F7F6CED"/>
    <w:rsid w:val="7F7FD6F3"/>
    <w:rsid w:val="7F8B5B5A"/>
    <w:rsid w:val="7F93DEB0"/>
    <w:rsid w:val="7F9DDA17"/>
    <w:rsid w:val="7F9F20EE"/>
    <w:rsid w:val="7FD8C567"/>
    <w:rsid w:val="7FDEEAEA"/>
    <w:rsid w:val="7FEBDC47"/>
    <w:rsid w:val="7FED8C99"/>
    <w:rsid w:val="7FF9976D"/>
    <w:rsid w:val="7FFB2FC6"/>
    <w:rsid w:val="7FFB7A0A"/>
    <w:rsid w:val="7FFC49D2"/>
    <w:rsid w:val="7FFD9D0C"/>
    <w:rsid w:val="7FFDBFB2"/>
    <w:rsid w:val="7FFF943E"/>
    <w:rsid w:val="7FFF9B27"/>
    <w:rsid w:val="8BFD97AF"/>
    <w:rsid w:val="8ECF5476"/>
    <w:rsid w:val="8F7F77F1"/>
    <w:rsid w:val="9531466F"/>
    <w:rsid w:val="9C1FD40A"/>
    <w:rsid w:val="9E3A10E2"/>
    <w:rsid w:val="9FFECFDF"/>
    <w:rsid w:val="A2EFA090"/>
    <w:rsid w:val="A6BEA612"/>
    <w:rsid w:val="ABCB2946"/>
    <w:rsid w:val="ACFA84C1"/>
    <w:rsid w:val="AD7E09BC"/>
    <w:rsid w:val="B5FF4B6D"/>
    <w:rsid w:val="B7FF597A"/>
    <w:rsid w:val="B7FF77C0"/>
    <w:rsid w:val="B9FFE6A9"/>
    <w:rsid w:val="BB2FDAD7"/>
    <w:rsid w:val="BB3C45AE"/>
    <w:rsid w:val="BB3FAAF3"/>
    <w:rsid w:val="BBDF9520"/>
    <w:rsid w:val="BBF71E86"/>
    <w:rsid w:val="BBFF5081"/>
    <w:rsid w:val="BCFB227C"/>
    <w:rsid w:val="BD673580"/>
    <w:rsid w:val="BDC5FCAE"/>
    <w:rsid w:val="BDDF2210"/>
    <w:rsid w:val="BDFF34C0"/>
    <w:rsid w:val="BE39E336"/>
    <w:rsid w:val="BEFD2D9E"/>
    <w:rsid w:val="BF6E61FF"/>
    <w:rsid w:val="BF7067F6"/>
    <w:rsid w:val="BFC7CDDE"/>
    <w:rsid w:val="BFFF1702"/>
    <w:rsid w:val="C1FB0941"/>
    <w:rsid w:val="C7B76BEE"/>
    <w:rsid w:val="CF7F82C8"/>
    <w:rsid w:val="D42F6F8C"/>
    <w:rsid w:val="D5032148"/>
    <w:rsid w:val="D5FB5173"/>
    <w:rsid w:val="DAAD51CD"/>
    <w:rsid w:val="DAB7CB13"/>
    <w:rsid w:val="DACD40CE"/>
    <w:rsid w:val="DB6F3C0A"/>
    <w:rsid w:val="DD3F06F4"/>
    <w:rsid w:val="DD3FBB9B"/>
    <w:rsid w:val="DDAA83C5"/>
    <w:rsid w:val="DE691844"/>
    <w:rsid w:val="DEBF311B"/>
    <w:rsid w:val="DFEEED20"/>
    <w:rsid w:val="DFEF0A95"/>
    <w:rsid w:val="DFF72240"/>
    <w:rsid w:val="E375C823"/>
    <w:rsid w:val="E3FE73D2"/>
    <w:rsid w:val="E57F61EF"/>
    <w:rsid w:val="E5F6227F"/>
    <w:rsid w:val="E67D2B27"/>
    <w:rsid w:val="E69F7E8F"/>
    <w:rsid w:val="E70B2CF5"/>
    <w:rsid w:val="E7F7C9E5"/>
    <w:rsid w:val="E98FC0B9"/>
    <w:rsid w:val="EAAFBA08"/>
    <w:rsid w:val="EB571563"/>
    <w:rsid w:val="EBB910A9"/>
    <w:rsid w:val="EBDFBD80"/>
    <w:rsid w:val="EBF776B2"/>
    <w:rsid w:val="ED7F102A"/>
    <w:rsid w:val="EDF9BAF8"/>
    <w:rsid w:val="EE3E8C9A"/>
    <w:rsid w:val="EE7D2A95"/>
    <w:rsid w:val="EEEFC115"/>
    <w:rsid w:val="EF6B0338"/>
    <w:rsid w:val="EF9B67B5"/>
    <w:rsid w:val="EFBDBB5E"/>
    <w:rsid w:val="EFEB0AF8"/>
    <w:rsid w:val="EFF66859"/>
    <w:rsid w:val="EFFF117E"/>
    <w:rsid w:val="EFFF4717"/>
    <w:rsid w:val="F2964B20"/>
    <w:rsid w:val="F2B95996"/>
    <w:rsid w:val="F2DF8EC0"/>
    <w:rsid w:val="F2E1F9D4"/>
    <w:rsid w:val="F31F44B0"/>
    <w:rsid w:val="F3AD16F6"/>
    <w:rsid w:val="F4BE86CC"/>
    <w:rsid w:val="F4F6A5FD"/>
    <w:rsid w:val="F4FFD9B7"/>
    <w:rsid w:val="F5FA71F4"/>
    <w:rsid w:val="F667CF52"/>
    <w:rsid w:val="F6FCD411"/>
    <w:rsid w:val="F6FFFDE3"/>
    <w:rsid w:val="F7880819"/>
    <w:rsid w:val="F7BF7434"/>
    <w:rsid w:val="F86F8134"/>
    <w:rsid w:val="F87C7805"/>
    <w:rsid w:val="F97C7030"/>
    <w:rsid w:val="F97DFD94"/>
    <w:rsid w:val="FB360F90"/>
    <w:rsid w:val="FBBE4088"/>
    <w:rsid w:val="FBDBAF89"/>
    <w:rsid w:val="FBE5D973"/>
    <w:rsid w:val="FBEED4A7"/>
    <w:rsid w:val="FBF3D97B"/>
    <w:rsid w:val="FBFF4350"/>
    <w:rsid w:val="FCAFFA82"/>
    <w:rsid w:val="FD6F14E6"/>
    <w:rsid w:val="FDBF12F5"/>
    <w:rsid w:val="FDBFDAB1"/>
    <w:rsid w:val="FDCFAFEB"/>
    <w:rsid w:val="FDFE18C7"/>
    <w:rsid w:val="FDFF652C"/>
    <w:rsid w:val="FE765562"/>
    <w:rsid w:val="FEBF9311"/>
    <w:rsid w:val="FEE745AF"/>
    <w:rsid w:val="FEFCA23A"/>
    <w:rsid w:val="FEFDAAAD"/>
    <w:rsid w:val="FEFF5EB1"/>
    <w:rsid w:val="FF1577C4"/>
    <w:rsid w:val="FF31F05D"/>
    <w:rsid w:val="FF4972A9"/>
    <w:rsid w:val="FF52013D"/>
    <w:rsid w:val="FFB64B35"/>
    <w:rsid w:val="FFBED839"/>
    <w:rsid w:val="FFD747E4"/>
    <w:rsid w:val="FFDE1F4C"/>
    <w:rsid w:val="FFDF1522"/>
    <w:rsid w:val="FFEA3D48"/>
    <w:rsid w:val="FFEEB421"/>
    <w:rsid w:val="FFF51D29"/>
    <w:rsid w:val="FFF8FA63"/>
    <w:rsid w:val="FFFBC129"/>
    <w:rsid w:val="FFFBE28B"/>
    <w:rsid w:val="FFFC408A"/>
    <w:rsid w:val="FFFD7214"/>
    <w:rsid w:val="FFFDBA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next w:val="1"/>
    <w:qFormat/>
    <w:uiPriority w:val="0"/>
    <w:pPr>
      <w:spacing w:after="0"/>
      <w:ind w:left="200" w:firstLine="20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0"/>
    <w:pPr>
      <w:ind w:firstLine="420" w:firstLineChars="2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character" w:styleId="19">
    <w:name w:val="Strong"/>
    <w:basedOn w:val="18"/>
    <w:qFormat/>
    <w:uiPriority w:val="99"/>
    <w:rPr>
      <w:b/>
    </w:rPr>
  </w:style>
  <w:style w:type="character" w:styleId="20">
    <w:name w:val="page number"/>
    <w:unhideWhenUsed/>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font01"/>
    <w:basedOn w:val="18"/>
    <w:qFormat/>
    <w:uiPriority w:val="0"/>
    <w:rPr>
      <w:rFonts w:hint="eastAsia" w:ascii="宋体" w:hAnsi="宋体" w:eastAsia="宋体" w:cs="宋体"/>
      <w:color w:val="000000"/>
      <w:sz w:val="20"/>
      <w:szCs w:val="20"/>
      <w:u w:val="none"/>
    </w:rPr>
  </w:style>
  <w:style w:type="character" w:customStyle="1" w:styleId="41">
    <w:name w:val="font11"/>
    <w:basedOn w:val="18"/>
    <w:qFormat/>
    <w:uiPriority w:val="0"/>
    <w:rPr>
      <w:rFonts w:hint="eastAsia" w:ascii="宋体" w:hAnsi="宋体" w:eastAsia="宋体" w:cs="宋体"/>
      <w:color w:val="000000"/>
      <w:sz w:val="20"/>
      <w:szCs w:val="20"/>
      <w:u w:val="none"/>
    </w:rPr>
  </w:style>
  <w:style w:type="character" w:customStyle="1" w:styleId="42">
    <w:name w:val="font21"/>
    <w:basedOn w:val="18"/>
    <w:qFormat/>
    <w:uiPriority w:val="0"/>
    <w:rPr>
      <w:rFonts w:hint="eastAsia" w:ascii="宋体" w:hAnsi="宋体" w:eastAsia="宋体" w:cs="宋体"/>
      <w:color w:val="000000"/>
      <w:sz w:val="20"/>
      <w:szCs w:val="20"/>
      <w:u w:val="none"/>
    </w:rPr>
  </w:style>
  <w:style w:type="character" w:customStyle="1" w:styleId="43">
    <w:name w:val="font12"/>
    <w:basedOn w:val="18"/>
    <w:qFormat/>
    <w:uiPriority w:val="0"/>
    <w:rPr>
      <w:rFonts w:ascii="汉仪细圆B5" w:hAnsi="汉仪细圆B5" w:eastAsia="汉仪细圆B5" w:cs="汉仪细圆B5"/>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media/user/9a56d326-b612-485e-9e8b-e9c5030df1c5/2015&#24180;&#23567;&#19969;&#24037;&#20316;/&#36130;&#21153;&#24037;&#20316;2014-2023/2016-2030&#39044;&#12289;&#20915;&#31639;&#20844;&#24320;/2021&#24180;&#37096;&#38376;&#20915;&#31639;&#20844;&#24320;&#65288;20220919&#20256;&#25919;&#27861;&#32929;&#65289;9.30&#22238;&#20256;&#20877;&#20462;&#25913;&#20877;&#19978;&#20256;15&#65306;11&#22312;&#21150;&#20844;&#23460;&#19978;&#20256;/&#25910;&#20837;&#26609;&#29366;&#22270;&#39292;&#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5910;&#20837;&#26609;&#29366;&#22270;&#39292;&#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edia/user/9a56d326-b612-485e-9e8b-e9c5030df1c5/2015&#24180;&#23567;&#19969;&#24037;&#20316;/&#36130;&#21153;&#24037;&#20316;2014-2023/2016-2030&#39044;&#12289;&#20915;&#31639;&#20844;&#24320;/2021&#24180;&#37096;&#38376;&#20915;&#31639;&#20844;&#24320;&#65288;20220919&#20256;&#25919;&#27861;&#32929;&#65289;9.30&#22238;&#20256;&#20877;&#20462;&#25913;&#20877;&#19978;&#20256;15&#65306;11&#22312;&#21150;&#20844;&#23460;&#19978;&#20256;/&#25910;&#20837;&#26609;&#29366;&#22270;&#39292;&#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edia/user/9a56d326-b612-485e-9e8b-e9c5030df1c5/2015&#24180;&#23567;&#19969;&#24037;&#20316;/&#36130;&#21153;&#24037;&#20316;2014-2023/2016-2030&#39044;&#12289;&#20915;&#31639;&#20844;&#24320;/2021&#24180;&#37096;&#38376;&#20915;&#31639;&#20844;&#24320;&#65288;20220919&#20256;&#25919;&#27861;&#32929;&#65289;9.30&#22238;&#20256;&#20877;&#20462;&#25913;&#20877;&#19978;&#20256;15&#65306;11&#22312;&#21150;&#20844;&#23460;&#19978;&#20256;/&#25910;&#20837;&#26609;&#29366;&#22270;&#39292;&#29366;&#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user/9a56d326-b612-485e-9e8b-e9c5030df1c5/2015&#24180;&#23567;&#19969;&#24037;&#20316;/&#36130;&#21153;&#24037;&#20316;2014-2023/2023&#24180;&#36130;&#21153;/2022&#24180;&#20915;&#31639;&#36719;&#20214;&#20256;&#21333;&#20301;&#65288;0114&#21152;&#29677;&#65289;/2022&#24180;&#20915;&#31639;&#36719;&#20214;&#20256;&#21333;&#20301;/&#25910;&#20837;&#26609;&#29366;&#22270;&#39292;&#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edia/user/9a56d326-b612-485e-9e8b-e9c5030df1c5/2015&#24180;&#23567;&#19969;&#24037;&#20316;/&#36130;&#21153;&#24037;&#20316;2014-2023/2016-2030&#39044;&#12289;&#20915;&#31639;&#20844;&#24320;/2016-2030&#39044;&#12289;&#20915;&#31639;&#20844;&#24320;/2018-2021&#24180;&#39044;&#20915;&#31639;&#20844;&#24320;&#26816;&#26597;&#25991;&#20214;&#65288;5.23&#36130;&#25919;&#23616;&#19971;&#27004;&#23457;&#26680;&#20844;&#24320;&#65289;/&#21496;&#27861;&#23616;2018-2021&#39044;&#20915;&#31639;&#20844;&#24320;&#65288;&#20462;&#25913;20210523&#12289;20220713&#12289;20220923&#65289;/2021&#24180;&#37096;&#38376;&#20915;&#31639;&#20844;&#24320;&#65288;20220919&#20256;&#25919;&#27861;&#32929;&#65289;9.30&#22238;&#20256;&#20877;&#20462;&#25913;&#20877;&#19978;&#20256;15&#65306;11&#22312;&#21150;&#20844;&#23460;&#19978;&#20256;/&#25910;&#20837;&#26609;&#29366;&#22270;&#39292;&#29366;&#2227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user/9a56d326-b612-485e-9e8b-e9c5030df1c5/2015&#24180;&#23567;&#19969;&#24037;&#20316;/&#36130;&#21153;&#24037;&#20316;2014-2023/2016-2030&#39044;&#12289;&#20915;&#31639;&#20844;&#24320;/2016-2030&#39044;&#12289;&#20915;&#31639;&#20844;&#24320;/2018-2021&#24180;&#39044;&#20915;&#31639;&#20844;&#24320;&#26816;&#26597;&#25991;&#20214;&#65288;5.23&#36130;&#25919;&#23616;&#19971;&#27004;&#23457;&#26680;&#20844;&#24320;&#65289;/&#21496;&#27861;&#23616;2018-2021&#39044;&#20915;&#31639;&#20844;&#24320;&#65288;&#20462;&#25913;20210523&#12289;20220713&#12289;20220923&#65289;/2021&#24180;&#37096;&#38376;&#20915;&#31639;&#20844;&#24320;&#65288;20220919&#20256;&#25919;&#27861;&#32929;&#65289;9.30&#22238;&#20256;&#20877;&#20462;&#25913;&#20877;&#19978;&#20256;15&#65306;11&#22312;&#21150;&#20844;&#23460;&#19978;&#20256;/&#25910;&#20837;&#26609;&#29366;&#22270;&#39292;&#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9435215946844"/>
          <c:y val="0.0836713995943205"/>
        </c:manualLayout>
      </c:layout>
      <c:overlay val="false"/>
      <c:spPr>
        <a:noFill/>
        <a:ln>
          <a:noFill/>
        </a:ln>
        <a:effectLst/>
      </c:spPr>
      <c:txPr>
        <a:bodyPr rot="0" spcFirstLastPara="0" vertOverflow="ellipsis" vert="horz" wrap="square" anchor="ctr" anchorCtr="true"/>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[收入柱状图饼状图.xls]Sheet1!$D$28</c:f>
              <c:strCache>
                <c:ptCount val="1"/>
                <c:pt idx="0">
                  <c:v>财政拨款收、支决算总计变动情况</c:v>
                </c:pt>
              </c:strCache>
            </c:strRef>
          </c:tx>
          <c:spPr>
            <a:solidFill>
              <a:schemeClr val="accent1"/>
            </a:solidFill>
            <a:ln>
              <a:noFill/>
            </a:ln>
            <a:effectLst/>
          </c:spPr>
          <c:invertIfNegative val="false"/>
          <c:dLbls>
            <c:delete val="true"/>
          </c:dLbls>
          <c:cat>
            <c:strRef>
              <c:f>[收入柱状图饼状图.xls]Sheet1!$C$29:$C$30</c:f>
              <c:strCache>
                <c:ptCount val="2"/>
                <c:pt idx="0">
                  <c:v>2023年</c:v>
                </c:pt>
                <c:pt idx="1">
                  <c:v>2022年</c:v>
                </c:pt>
              </c:strCache>
            </c:strRef>
          </c:cat>
          <c:val>
            <c:numRef>
              <c:f>[收入柱状图饼状图.xls]Sheet1!$D$29:$D$30</c:f>
              <c:numCache>
                <c:formatCode>General</c:formatCode>
                <c:ptCount val="2"/>
                <c:pt idx="0">
                  <c:v>1223.22</c:v>
                </c:pt>
                <c:pt idx="1">
                  <c:v>1006.74</c:v>
                </c:pt>
              </c:numCache>
            </c:numRef>
          </c:val>
        </c:ser>
        <c:dLbls>
          <c:showLegendKey val="false"/>
          <c:showVal val="false"/>
          <c:showCatName val="false"/>
          <c:showSerName val="false"/>
          <c:showPercent val="false"/>
          <c:showBubbleSize val="false"/>
        </c:dLbls>
        <c:gapWidth val="219"/>
        <c:overlap val="-27"/>
        <c:axId val="906821514"/>
        <c:axId val="44525028"/>
      </c:barChart>
      <c:catAx>
        <c:axId val="90682151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525028"/>
        <c:crosses val="autoZero"/>
        <c:auto val="true"/>
        <c:lblAlgn val="ctr"/>
        <c:lblOffset val="100"/>
        <c:noMultiLvlLbl val="false"/>
      </c:catAx>
      <c:valAx>
        <c:axId val="4452502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68215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890197178"/>
          <c:y val="0.169399186327182"/>
        </c:manualLayout>
      </c:layout>
      <c:overlay val="false"/>
      <c:spPr>
        <a:noFill/>
        <a:ln>
          <a:noFill/>
        </a:ln>
        <a:effectLst/>
      </c:spPr>
      <c:txPr>
        <a:bodyPr rot="0" spcFirstLastPara="0" vertOverflow="ellipsis" vert="horz" wrap="square" anchor="ctr" anchorCtr="true"/>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'[收入柱状图饼状图.xls]2021'!$H$11</c:f>
              <c:strCache>
                <c:ptCount val="1"/>
                <c:pt idx="0">
                  <c:v>收入决算结构图</c:v>
                </c:pt>
              </c:strCache>
            </c:strRef>
          </c:tx>
          <c:explosion val="0"/>
          <c:dPt>
            <c:idx val="0"/>
            <c:bubble3D val="false"/>
            <c:explosion val="0"/>
            <c:spPr>
              <a:solidFill>
                <a:schemeClr val="accent1"/>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'[收入柱状图饼状图.xls]2021'!$I$10</c:f>
              <c:strCache>
                <c:ptCount val="1"/>
                <c:pt idx="0">
                  <c:v>一般公共预算财政拨款收入</c:v>
                </c:pt>
              </c:strCache>
            </c:strRef>
          </c:cat>
          <c:val>
            <c:numRef>
              <c:f>'[收入柱状图饼状图.xls]2021'!$I$11</c:f>
              <c:numCache>
                <c:formatCode>General</c:formatCode>
                <c:ptCount val="1"/>
                <c:pt idx="0">
                  <c:v>1006.74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5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59114139693356"/>
          <c:y val="0.896296296296296"/>
          <c:w val="0.363733333333333"/>
          <c:h val="0.040650406504065"/>
        </c:manualLayout>
      </c:layout>
      <c:overlay val="false"/>
      <c:spPr>
        <a:noFill/>
        <a:ln>
          <a:noFill/>
        </a:ln>
        <a:effectLst/>
      </c:spPr>
      <c:txPr>
        <a:bodyPr rot="0" spcFirstLastPara="0" vertOverflow="ellipsis" vert="horz" wrap="square" anchor="ctr" anchorCtr="true"/>
        <a:lstStyle/>
        <a:p>
          <a:pPr>
            <a:defRPr lang="zh-CN" sz="5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9767441860465"/>
          <c:y val="0.122093023255814"/>
        </c:manualLayout>
      </c:layout>
      <c:overlay val="false"/>
      <c:spPr>
        <a:noFill/>
        <a:ln>
          <a:noFill/>
        </a:ln>
        <a:effectLst/>
      </c:spPr>
      <c:txPr>
        <a:bodyPr rot="0" spcFirstLastPara="0" vertOverflow="ellipsis" vert="horz" wrap="square" anchor="ctr" anchorCtr="true"/>
        <a:lstStyle/>
        <a:p>
          <a:pPr>
            <a:defRPr lang="zh-CN" sz="8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[收入柱状图饼状图.xls]Sheet1!$D$18</c:f>
              <c:strCache>
                <c:ptCount val="1"/>
                <c:pt idx="0">
                  <c:v>支出决算结构图</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[收入柱状图饼状图.xls]Sheet1!$C$19:$C$20</c:f>
              <c:strCache>
                <c:ptCount val="2"/>
                <c:pt idx="0">
                  <c:v>基本支出</c:v>
                </c:pt>
                <c:pt idx="1">
                  <c:v>项目支出</c:v>
                </c:pt>
              </c:strCache>
            </c:strRef>
          </c:cat>
          <c:val>
            <c:numRef>
              <c:f>[收入柱状图饼状图.xls]Sheet1!$D$19:$D$20</c:f>
              <c:numCache>
                <c:formatCode>General</c:formatCode>
                <c:ptCount val="2"/>
                <c:pt idx="0">
                  <c:v>840.84</c:v>
                </c:pt>
                <c:pt idx="1">
                  <c:v>382.38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5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5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20348837209302"/>
          <c:y val="0.898449612403101"/>
          <c:w val="0.286499215070644"/>
          <c:h val="0.0806803314435238"/>
        </c:manualLayout>
      </c:layout>
      <c:overlay val="false"/>
      <c:spPr>
        <a:noFill/>
        <a:ln>
          <a:noFill/>
        </a:ln>
        <a:effectLst/>
      </c:spPr>
      <c:txPr>
        <a:bodyPr rot="0" spcFirstLastPara="0" vertOverflow="ellipsis" vert="horz" wrap="square" anchor="ctr" anchorCtr="true"/>
        <a:lstStyle/>
        <a:p>
          <a:pPr>
            <a:defRPr lang="zh-CN" sz="5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9435215946844"/>
          <c:y val="0.0836713995943205"/>
        </c:manualLayout>
      </c:layout>
      <c:overlay val="false"/>
      <c:spPr>
        <a:noFill/>
        <a:ln>
          <a:noFill/>
        </a:ln>
        <a:effectLst/>
      </c:spPr>
      <c:txPr>
        <a:bodyPr rot="0" spcFirstLastPara="0" vertOverflow="ellipsis" vert="horz" wrap="square" anchor="ctr" anchorCtr="true"/>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[收入柱状图饼状图.xls]Sheet1!$D$28</c:f>
              <c:strCache>
                <c:ptCount val="1"/>
                <c:pt idx="0">
                  <c:v>财政拨款收、支决算总计变动情况</c:v>
                </c:pt>
              </c:strCache>
            </c:strRef>
          </c:tx>
          <c:spPr>
            <a:solidFill>
              <a:schemeClr val="accent1"/>
            </a:solidFill>
            <a:ln>
              <a:noFill/>
            </a:ln>
            <a:effectLst/>
          </c:spPr>
          <c:invertIfNegative val="false"/>
          <c:dLbls>
            <c:delete val="true"/>
          </c:dLbls>
          <c:cat>
            <c:strRef>
              <c:f>[收入柱状图饼状图.xls]Sheet1!$C$29:$C$30</c:f>
              <c:strCache>
                <c:ptCount val="2"/>
                <c:pt idx="0">
                  <c:v>2023年</c:v>
                </c:pt>
                <c:pt idx="1">
                  <c:v>2022年</c:v>
                </c:pt>
              </c:strCache>
            </c:strRef>
          </c:cat>
          <c:val>
            <c:numRef>
              <c:f>[收入柱状图饼状图.xls]Sheet1!$D$29:$D$30</c:f>
              <c:numCache>
                <c:formatCode>General</c:formatCode>
                <c:ptCount val="2"/>
                <c:pt idx="0">
                  <c:v>1223.22</c:v>
                </c:pt>
                <c:pt idx="1">
                  <c:v>1006.74</c:v>
                </c:pt>
              </c:numCache>
            </c:numRef>
          </c:val>
        </c:ser>
        <c:dLbls>
          <c:showLegendKey val="false"/>
          <c:showVal val="false"/>
          <c:showCatName val="false"/>
          <c:showSerName val="false"/>
          <c:showPercent val="false"/>
          <c:showBubbleSize val="false"/>
        </c:dLbls>
        <c:gapWidth val="219"/>
        <c:overlap val="-27"/>
        <c:axId val="906821514"/>
        <c:axId val="44525028"/>
      </c:barChart>
      <c:catAx>
        <c:axId val="90682151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525028"/>
        <c:crosses val="autoZero"/>
        <c:auto val="true"/>
        <c:lblAlgn val="ctr"/>
        <c:lblOffset val="100"/>
        <c:noMultiLvlLbl val="false"/>
      </c:catAx>
      <c:valAx>
        <c:axId val="4452502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68215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一般公共预算财政拨款支出决算变动情况</a:t>
            </a:r>
            <a:endParaRPr sz="1000"/>
          </a:p>
        </c:rich>
      </c:tx>
      <c:layout/>
      <c:overlay val="false"/>
      <c:spPr>
        <a:noFill/>
        <a:ln>
          <a:noFill/>
        </a:ln>
        <a:effectLst/>
      </c:spPr>
    </c:title>
    <c:autoTitleDeleted val="false"/>
    <c:plotArea>
      <c:layout/>
      <c:barChart>
        <c:barDir val="col"/>
        <c:grouping val="clustered"/>
        <c:varyColors val="false"/>
        <c:ser>
          <c:idx val="0"/>
          <c:order val="0"/>
          <c:tx>
            <c:strRef>
              <c:f>'[收入柱状图饼状图.xls]2021'!$D$35</c:f>
              <c:strCache>
                <c:ptCount val="1"/>
                <c:pt idx="0">
                  <c:v>一般公共预算财政拨款支出决算变动情况</c:v>
                </c:pt>
              </c:strCache>
            </c:strRef>
          </c:tx>
          <c:spPr>
            <a:solidFill>
              <a:schemeClr val="accent1"/>
            </a:solidFill>
            <a:ln>
              <a:noFill/>
            </a:ln>
            <a:effectLst/>
          </c:spPr>
          <c:invertIfNegative val="false"/>
          <c:dLbls>
            <c:delete val="true"/>
          </c:dLbls>
          <c:cat>
            <c:strRef>
              <c:f>'[收入柱状图饼状图.xls]2021'!$C$36:$C$37</c:f>
              <c:strCache>
                <c:ptCount val="2"/>
                <c:pt idx="0">
                  <c:v>2023年</c:v>
                </c:pt>
                <c:pt idx="1">
                  <c:v>2022年</c:v>
                </c:pt>
              </c:strCache>
            </c:strRef>
          </c:cat>
          <c:val>
            <c:numRef>
              <c:f>'[收入柱状图饼状图.xls]2021'!$D$36:$D$37</c:f>
              <c:numCache>
                <c:formatCode>General</c:formatCode>
                <c:ptCount val="2"/>
                <c:pt idx="0">
                  <c:v>1223.22</c:v>
                </c:pt>
                <c:pt idx="1">
                  <c:v>1006.74</c:v>
                </c:pt>
              </c:numCache>
            </c:numRef>
          </c:val>
        </c:ser>
        <c:dLbls>
          <c:showLegendKey val="false"/>
          <c:showVal val="false"/>
          <c:showCatName val="false"/>
          <c:showSerName val="false"/>
          <c:showPercent val="false"/>
          <c:showBubbleSize val="false"/>
        </c:dLbls>
        <c:gapWidth val="219"/>
        <c:overlap val="-27"/>
        <c:axId val="969161351"/>
        <c:axId val="71333046"/>
      </c:barChart>
      <c:catAx>
        <c:axId val="96916135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333046"/>
        <c:crosses val="autoZero"/>
        <c:auto val="true"/>
        <c:lblAlgn val="ctr"/>
        <c:lblOffset val="100"/>
        <c:noMultiLvlLbl val="false"/>
      </c:catAx>
      <c:valAx>
        <c:axId val="7133304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916135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tx>
            <c:strRef>
              <c:f>[收入柱状图饼状图.xls]Sheet1!$E$46</c:f>
              <c:strCache>
                <c:ptCount val="1"/>
                <c:pt idx="0">
                  <c:v>一般公共预算财政拨款支出</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Lbls>
            <c:delete val="true"/>
          </c:dLbls>
          <c:cat>
            <c:strRef>
              <c:f>[收入柱状图饼状图.xls]Sheet1!$D$47:$D$50</c:f>
              <c:strCache>
                <c:ptCount val="4"/>
                <c:pt idx="0">
                  <c:v>公共安全支出</c:v>
                </c:pt>
                <c:pt idx="1">
                  <c:v>社会保障和就业支出</c:v>
                </c:pt>
                <c:pt idx="2">
                  <c:v>医疗卫生支出</c:v>
                </c:pt>
                <c:pt idx="3">
                  <c:v>住房保障支出</c:v>
                </c:pt>
              </c:strCache>
            </c:strRef>
          </c:cat>
          <c:val>
            <c:numRef>
              <c:f>[收入柱状图饼状图.xls]Sheet1!$E$47:$E$50</c:f>
              <c:numCache>
                <c:formatCode>General</c:formatCode>
                <c:ptCount val="4"/>
                <c:pt idx="0">
                  <c:v>1056.7</c:v>
                </c:pt>
                <c:pt idx="1">
                  <c:v>82.74</c:v>
                </c:pt>
                <c:pt idx="2">
                  <c:v>27.85</c:v>
                </c:pt>
                <c:pt idx="3">
                  <c:v>55.93</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800"/>
              <a:t>“三公”经费财政拨款支出结构</a:t>
            </a:r>
            <a:endParaRPr sz="800"/>
          </a:p>
        </c:rich>
      </c:tx>
      <c:layout/>
      <c:overlay val="false"/>
      <c:spPr>
        <a:noFill/>
        <a:ln>
          <a:noFill/>
        </a:ln>
        <a:effectLst/>
      </c:spPr>
    </c:title>
    <c:autoTitleDeleted val="false"/>
    <c:plotArea>
      <c:layout/>
      <c:pieChart>
        <c:varyColors val="true"/>
        <c:ser>
          <c:idx val="0"/>
          <c:order val="0"/>
          <c:tx>
            <c:strRef>
              <c:f>[收入柱状图饼状图.xls]Sheet1!$D$72</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[收入柱状图饼状图.xls]Sheet1!$C$73:$C$75</c:f>
              <c:strCache>
                <c:ptCount val="3"/>
                <c:pt idx="0">
                  <c:v>因公出国（境）经费支出</c:v>
                </c:pt>
                <c:pt idx="1">
                  <c:v>公务用车购置及运行维护费支出</c:v>
                </c:pt>
                <c:pt idx="2">
                  <c:v>公务接待费支出</c:v>
                </c:pt>
              </c:strCache>
            </c:strRef>
          </c:cat>
          <c:val>
            <c:numRef>
              <c:f>[收入柱状图饼状图.xls]Sheet1!$D$73:$D$75</c:f>
              <c:numCache>
                <c:formatCode>General</c:formatCode>
                <c:ptCount val="3"/>
                <c:pt idx="0">
                  <c:v>0</c:v>
                </c:pt>
                <c:pt idx="1">
                  <c:v>6.74</c:v>
                </c:pt>
                <c:pt idx="2">
                  <c:v>1.68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6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6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1a5bf28-5d67-4873-9fef-519321e54dcf}"/>
        <w:style w:val=""/>
        <w:category>
          <w:name w:val="常规"/>
          <w:gallery w:val="placeholder"/>
        </w:category>
        <w:types>
          <w:type w:val="bbPlcHdr"/>
        </w:types>
        <w:behaviors>
          <w:behavior w:val="content"/>
        </w:behaviors>
        <w:description w:val=""/>
        <w:guid w:val="{b1a5bf28-5d67-4873-9fef-519321e54dcf}"/>
      </w:docPartPr>
      <w:docPartBody>
        <w:p>
          <w:r>
            <w:rPr>
              <w:color w:val="808080"/>
            </w:rPr>
            <w:t>单击此处输入文字。</w:t>
          </w:r>
        </w:p>
      </w:docPartBody>
    </w:docPart>
    <w:docPart>
      <w:docPartPr>
        <w:name w:val="{e601ba30-1db7-4e29-901c-663a92081066}"/>
        <w:style w:val=""/>
        <w:category>
          <w:name w:val="常规"/>
          <w:gallery w:val="placeholder"/>
        </w:category>
        <w:types>
          <w:type w:val="bbPlcHdr"/>
        </w:types>
        <w:behaviors>
          <w:behavior w:val="content"/>
        </w:behaviors>
        <w:description w:val=""/>
        <w:guid w:val="{e601ba30-1db7-4e29-901c-663a92081066}"/>
      </w:docPartPr>
      <w:docPartBody>
        <w:p>
          <w:r>
            <w:rPr>
              <w:color w:val="808080"/>
            </w:rPr>
            <w:t>单击此处输入文字。</w:t>
          </w:r>
        </w:p>
      </w:docPartBody>
    </w:docPart>
    <w:docPart>
      <w:docPartPr>
        <w:name w:val="{28d95e85-97a5-4155-98a8-81de5b9f6b42}"/>
        <w:style w:val=""/>
        <w:category>
          <w:name w:val="常规"/>
          <w:gallery w:val="placeholder"/>
        </w:category>
        <w:types>
          <w:type w:val="bbPlcHdr"/>
        </w:types>
        <w:behaviors>
          <w:behavior w:val="content"/>
        </w:behaviors>
        <w:description w:val=""/>
        <w:guid w:val="{28d95e85-97a5-4155-98a8-81de5b9f6b42}"/>
      </w:docPartPr>
      <w:docPartBody>
        <w:p>
          <w:r>
            <w:rPr>
              <w:color w:val="808080"/>
            </w:rPr>
            <w:t>单击此处输入文字。</w:t>
          </w:r>
        </w:p>
      </w:docPartBody>
    </w:docPart>
    <w:docPart>
      <w:docPartPr>
        <w:name w:val="{d480f30a-0c04-4ec9-a123-f1e9b0b8458c}"/>
        <w:style w:val=""/>
        <w:category>
          <w:name w:val="常规"/>
          <w:gallery w:val="placeholder"/>
        </w:category>
        <w:types>
          <w:type w:val="bbPlcHdr"/>
        </w:types>
        <w:behaviors>
          <w:behavior w:val="content"/>
        </w:behaviors>
        <w:description w:val=""/>
        <w:guid w:val="{d480f30a-0c04-4ec9-a123-f1e9b0b8458c}"/>
      </w:docPartPr>
      <w:docPartBody>
        <w:p>
          <w:r>
            <w:rPr>
              <w:color w:val="808080"/>
            </w:rPr>
            <w:t>单击此处输入文字。</w:t>
          </w:r>
        </w:p>
      </w:docPartBody>
    </w:docPart>
    <w:docPart>
      <w:docPartPr>
        <w:name w:val="{95949ab2-544b-4656-97b5-d4d271528107}"/>
        <w:style w:val=""/>
        <w:category>
          <w:name w:val="常规"/>
          <w:gallery w:val="placeholder"/>
        </w:category>
        <w:types>
          <w:type w:val="bbPlcHdr"/>
        </w:types>
        <w:behaviors>
          <w:behavior w:val="content"/>
        </w:behaviors>
        <w:description w:val=""/>
        <w:guid w:val="{95949ab2-544b-4656-97b5-d4d271528107}"/>
      </w:docPartPr>
      <w:docPartBody>
        <w:p>
          <w:r>
            <w:rPr>
              <w:color w:val="808080"/>
            </w:rPr>
            <w:t>单击此处输入文字。</w:t>
          </w:r>
        </w:p>
      </w:docPartBody>
    </w:docPart>
    <w:docPart>
      <w:docPartPr>
        <w:name w:val="{fb1a9930-7874-427f-af4e-d1f9c77429f5}"/>
        <w:style w:val=""/>
        <w:category>
          <w:name w:val="常规"/>
          <w:gallery w:val="placeholder"/>
        </w:category>
        <w:types>
          <w:type w:val="bbPlcHdr"/>
        </w:types>
        <w:behaviors>
          <w:behavior w:val="content"/>
        </w:behaviors>
        <w:description w:val=""/>
        <w:guid w:val="{fb1a9930-7874-427f-af4e-d1f9c77429f5}"/>
      </w:docPartPr>
      <w:docPartBody>
        <w:p>
          <w:r>
            <w:rPr>
              <w:color w:val="808080"/>
            </w:rPr>
            <w:t>单击此处输入文字。</w:t>
          </w:r>
        </w:p>
      </w:docPartBody>
    </w:docPart>
    <w:docPart>
      <w:docPartPr>
        <w:name w:val="{4b768b0c-b937-46dd-befb-83d90fcd0496}"/>
        <w:style w:val=""/>
        <w:category>
          <w:name w:val="常规"/>
          <w:gallery w:val="placeholder"/>
        </w:category>
        <w:types>
          <w:type w:val="bbPlcHdr"/>
        </w:types>
        <w:behaviors>
          <w:behavior w:val="content"/>
        </w:behaviors>
        <w:description w:val=""/>
        <w:guid w:val="{4b768b0c-b937-46dd-befb-83d90fcd0496}"/>
      </w:docPartPr>
      <w:docPartBody>
        <w:p>
          <w:r>
            <w:rPr>
              <w:color w:val="808080"/>
            </w:rPr>
            <w:t>单击此处输入文字。</w:t>
          </w:r>
        </w:p>
      </w:docPartBody>
    </w:docPart>
    <w:docPart>
      <w:docPartPr>
        <w:name w:val="{5df4cc3b-1c0a-4712-a9dd-9390a883e486}"/>
        <w:style w:val=""/>
        <w:category>
          <w:name w:val="常规"/>
          <w:gallery w:val="placeholder"/>
        </w:category>
        <w:types>
          <w:type w:val="bbPlcHdr"/>
        </w:types>
        <w:behaviors>
          <w:behavior w:val="content"/>
        </w:behaviors>
        <w:description w:val=""/>
        <w:guid w:val="{5df4cc3b-1c0a-4712-a9dd-9390a883e486}"/>
      </w:docPartPr>
      <w:docPartBody>
        <w:p>
          <w:r>
            <w:rPr>
              <w:color w:val="808080"/>
            </w:rPr>
            <w:t>单击此处输入文字。</w:t>
          </w:r>
        </w:p>
      </w:docPartBody>
    </w:docPart>
    <w:docPart>
      <w:docPartPr>
        <w:name w:val="{ba6d09a3-a196-4e2f-bfbd-c03f18bd0bdb}"/>
        <w:style w:val=""/>
        <w:category>
          <w:name w:val="常规"/>
          <w:gallery w:val="placeholder"/>
        </w:category>
        <w:types>
          <w:type w:val="bbPlcHdr"/>
        </w:types>
        <w:behaviors>
          <w:behavior w:val="content"/>
        </w:behaviors>
        <w:description w:val=""/>
        <w:guid w:val="{ba6d09a3-a196-4e2f-bfbd-c03f18bd0bdb}"/>
      </w:docPartPr>
      <w:docPartBody>
        <w:p>
          <w:r>
            <w:rPr>
              <w:color w:val="808080"/>
            </w:rPr>
            <w:t>单击此处输入文字。</w:t>
          </w:r>
        </w:p>
      </w:docPartBody>
    </w:docPart>
    <w:docPart>
      <w:docPartPr>
        <w:name w:val="{fa7e8ef1-709a-4706-97aa-a77e461a0566}"/>
        <w:style w:val=""/>
        <w:category>
          <w:name w:val="常规"/>
          <w:gallery w:val="placeholder"/>
        </w:category>
        <w:types>
          <w:type w:val="bbPlcHdr"/>
        </w:types>
        <w:behaviors>
          <w:behavior w:val="content"/>
        </w:behaviors>
        <w:description w:val=""/>
        <w:guid w:val="{fa7e8ef1-709a-4706-97aa-a77e461a0566}"/>
      </w:docPartPr>
      <w:docPartBody>
        <w:p>
          <w:r>
            <w:rPr>
              <w:color w:val="808080"/>
            </w:rPr>
            <w:t>单击此处输入文字。</w:t>
          </w:r>
        </w:p>
      </w:docPartBody>
    </w:docPart>
    <w:docPart>
      <w:docPartPr>
        <w:name w:val="{2c03ef58-3dc0-45c8-a80d-6f98a793c4f9}"/>
        <w:style w:val=""/>
        <w:category>
          <w:name w:val="常规"/>
          <w:gallery w:val="placeholder"/>
        </w:category>
        <w:types>
          <w:type w:val="bbPlcHdr"/>
        </w:types>
        <w:behaviors>
          <w:behavior w:val="content"/>
        </w:behaviors>
        <w:description w:val=""/>
        <w:guid w:val="{2c03ef58-3dc0-45c8-a80d-6f98a793c4f9}"/>
      </w:docPartPr>
      <w:docPartBody>
        <w:p>
          <w:r>
            <w:rPr>
              <w:color w:val="808080"/>
            </w:rPr>
            <w:t>单击此处输入文字。</w:t>
          </w:r>
        </w:p>
      </w:docPartBody>
    </w:docPart>
    <w:docPart>
      <w:docPartPr>
        <w:name w:val="{11b41b57-e57b-42b8-817c-6e02ddc112d0}"/>
        <w:style w:val=""/>
        <w:category>
          <w:name w:val="常规"/>
          <w:gallery w:val="placeholder"/>
        </w:category>
        <w:types>
          <w:type w:val="bbPlcHdr"/>
        </w:types>
        <w:behaviors>
          <w:behavior w:val="content"/>
        </w:behaviors>
        <w:description w:val=""/>
        <w:guid w:val="{11b41b57-e57b-42b8-817c-6e02ddc112d0}"/>
      </w:docPartPr>
      <w:docPartBody>
        <w:p>
          <w:r>
            <w:rPr>
              <w:color w:val="808080"/>
            </w:rPr>
            <w:t>单击此处输入文字。</w:t>
          </w:r>
        </w:p>
      </w:docPartBody>
    </w:docPart>
    <w:docPart>
      <w:docPartPr>
        <w:name w:val="{dc3d0c26-e275-4a83-967d-8bccf04a56b0}"/>
        <w:style w:val=""/>
        <w:category>
          <w:name w:val="常规"/>
          <w:gallery w:val="placeholder"/>
        </w:category>
        <w:types>
          <w:type w:val="bbPlcHdr"/>
        </w:types>
        <w:behaviors>
          <w:behavior w:val="content"/>
        </w:behaviors>
        <w:description w:val=""/>
        <w:guid w:val="{dc3d0c26-e275-4a83-967d-8bccf04a56b0}"/>
      </w:docPartPr>
      <w:docPartBody>
        <w:p>
          <w:r>
            <w:rPr>
              <w:color w:val="808080"/>
            </w:rPr>
            <w:t>单击此处输入文字。</w:t>
          </w:r>
        </w:p>
      </w:docPartBody>
    </w:docPart>
    <w:docPart>
      <w:docPartPr>
        <w:name w:val="{e97a9224-71a4-468c-a42b-89e38c8d757e}"/>
        <w:style w:val=""/>
        <w:category>
          <w:name w:val="常规"/>
          <w:gallery w:val="placeholder"/>
        </w:category>
        <w:types>
          <w:type w:val="bbPlcHdr"/>
        </w:types>
        <w:behaviors>
          <w:behavior w:val="content"/>
        </w:behaviors>
        <w:description w:val=""/>
        <w:guid w:val="{e97a9224-71a4-468c-a42b-89e38c8d757e}"/>
      </w:docPartPr>
      <w:docPartBody>
        <w:p>
          <w:r>
            <w:rPr>
              <w:color w:val="808080"/>
            </w:rPr>
            <w:t>单击此处输入文字。</w:t>
          </w:r>
        </w:p>
      </w:docPartBody>
    </w:docPart>
    <w:docPart>
      <w:docPartPr>
        <w:name w:val="{835543f1-2c87-4133-b422-a27635670c7a}"/>
        <w:style w:val=""/>
        <w:category>
          <w:name w:val="常规"/>
          <w:gallery w:val="placeholder"/>
        </w:category>
        <w:types>
          <w:type w:val="bbPlcHdr"/>
        </w:types>
        <w:behaviors>
          <w:behavior w:val="content"/>
        </w:behaviors>
        <w:description w:val=""/>
        <w:guid w:val="{835543f1-2c87-4133-b422-a27635670c7a}"/>
      </w:docPartPr>
      <w:docPartBody>
        <w:p>
          <w:r>
            <w:rPr>
              <w:color w:val="808080"/>
            </w:rPr>
            <w:t>单击此处输入文字。</w:t>
          </w:r>
        </w:p>
      </w:docPartBody>
    </w:docPart>
    <w:docPart>
      <w:docPartPr>
        <w:name w:val="{f9489862-d9da-4a7a-9331-720f088d0f6f}"/>
        <w:style w:val=""/>
        <w:category>
          <w:name w:val="常规"/>
          <w:gallery w:val="placeholder"/>
        </w:category>
        <w:types>
          <w:type w:val="bbPlcHdr"/>
        </w:types>
        <w:behaviors>
          <w:behavior w:val="content"/>
        </w:behaviors>
        <w:description w:val=""/>
        <w:guid w:val="{f9489862-d9da-4a7a-9331-720f088d0f6f}"/>
      </w:docPartPr>
      <w:docPartBody>
        <w:p>
          <w:r>
            <w:rPr>
              <w:color w:val="808080"/>
            </w:rPr>
            <w:t>单击此处输入文字。</w:t>
          </w:r>
        </w:p>
      </w:docPartBody>
    </w:docPart>
    <w:docPart>
      <w:docPartPr>
        <w:name w:val="{a8b2811c-ba69-4099-9358-1d0b557a2c1a}"/>
        <w:style w:val=""/>
        <w:category>
          <w:name w:val="常规"/>
          <w:gallery w:val="placeholder"/>
        </w:category>
        <w:types>
          <w:type w:val="bbPlcHdr"/>
        </w:types>
        <w:behaviors>
          <w:behavior w:val="content"/>
        </w:behaviors>
        <w:description w:val=""/>
        <w:guid w:val="{a8b2811c-ba69-4099-9358-1d0b557a2c1a}"/>
      </w:docPartPr>
      <w:docPartBody>
        <w:p>
          <w:r>
            <w:rPr>
              <w:color w:val="808080"/>
            </w:rPr>
            <w:t>单击此处输入文字。</w:t>
          </w:r>
        </w:p>
      </w:docPartBody>
    </w:docPart>
    <w:docPart>
      <w:docPartPr>
        <w:name w:val="{5f6317e4-29e6-4ac0-9613-c66c09fa444b}"/>
        <w:style w:val=""/>
        <w:category>
          <w:name w:val="常规"/>
          <w:gallery w:val="placeholder"/>
        </w:category>
        <w:types>
          <w:type w:val="bbPlcHdr"/>
        </w:types>
        <w:behaviors>
          <w:behavior w:val="content"/>
        </w:behaviors>
        <w:description w:val=""/>
        <w:guid w:val="{5f6317e4-29e6-4ac0-9613-c66c09fa444b}"/>
      </w:docPartPr>
      <w:docPartBody>
        <w:p>
          <w:r>
            <w:rPr>
              <w:color w:val="808080"/>
            </w:rPr>
            <w:t>单击此处输入文字。</w:t>
          </w:r>
        </w:p>
      </w:docPartBody>
    </w:docPart>
    <w:docPart>
      <w:docPartPr>
        <w:name w:val="{dcfed1d3-f9c0-4877-a920-840b53c6a431}"/>
        <w:style w:val=""/>
        <w:category>
          <w:name w:val="常规"/>
          <w:gallery w:val="placeholder"/>
        </w:category>
        <w:types>
          <w:type w:val="bbPlcHdr"/>
        </w:types>
        <w:behaviors>
          <w:behavior w:val="content"/>
        </w:behaviors>
        <w:description w:val=""/>
        <w:guid w:val="{dcfed1d3-f9c0-4877-a920-840b53c6a431}"/>
      </w:docPartPr>
      <w:docPartBody>
        <w:p>
          <w:r>
            <w:rPr>
              <w:color w:val="808080"/>
            </w:rPr>
            <w:t>单击此处输入文字。</w:t>
          </w:r>
        </w:p>
      </w:docPartBody>
    </w:docPart>
    <w:docPart>
      <w:docPartPr>
        <w:name w:val="{084aa6bc-2223-44bf-a903-b2809d532925}"/>
        <w:style w:val=""/>
        <w:category>
          <w:name w:val="常规"/>
          <w:gallery w:val="placeholder"/>
        </w:category>
        <w:types>
          <w:type w:val="bbPlcHdr"/>
        </w:types>
        <w:behaviors>
          <w:behavior w:val="content"/>
        </w:behaviors>
        <w:description w:val=""/>
        <w:guid w:val="{084aa6bc-2223-44bf-a903-b2809d532925}"/>
      </w:docPartPr>
      <w:docPartBody>
        <w:p>
          <w:r>
            <w:rPr>
              <w:color w:val="808080"/>
            </w:rPr>
            <w:t>单击此处输入文字。</w:t>
          </w:r>
        </w:p>
      </w:docPartBody>
    </w:docPart>
    <w:docPart>
      <w:docPartPr>
        <w:name w:val="{f6685f44-3ffd-48ca-8d37-13e36b5ba17d}"/>
        <w:style w:val=""/>
        <w:category>
          <w:name w:val="常规"/>
          <w:gallery w:val="placeholder"/>
        </w:category>
        <w:types>
          <w:type w:val="bbPlcHdr"/>
        </w:types>
        <w:behaviors>
          <w:behavior w:val="content"/>
        </w:behaviors>
        <w:description w:val=""/>
        <w:guid w:val="{f6685f44-3ffd-48ca-8d37-13e36b5ba17d}"/>
      </w:docPartPr>
      <w:docPartBody>
        <w:p>
          <w:r>
            <w:rPr>
              <w:color w:val="808080"/>
            </w:rPr>
            <w:t>单击此处输入文字。</w:t>
          </w:r>
        </w:p>
      </w:docPartBody>
    </w:docPart>
    <w:docPart>
      <w:docPartPr>
        <w:name w:val="{7947bcad-78fd-4f30-8912-afa14fce5c48}"/>
        <w:style w:val=""/>
        <w:category>
          <w:name w:val="常规"/>
          <w:gallery w:val="placeholder"/>
        </w:category>
        <w:types>
          <w:type w:val="bbPlcHdr"/>
        </w:types>
        <w:behaviors>
          <w:behavior w:val="content"/>
        </w:behaviors>
        <w:description w:val=""/>
        <w:guid w:val="{7947bcad-78fd-4f30-8912-afa14fce5c48}"/>
      </w:docPartPr>
      <w:docPartBody>
        <w:p>
          <w:r>
            <w:rPr>
              <w:color w:val="808080"/>
            </w:rPr>
            <w:t>单击此处输入文字。</w:t>
          </w:r>
        </w:p>
      </w:docPartBody>
    </w:docPart>
    <w:docPart>
      <w:docPartPr>
        <w:name w:val="{8386343b-0480-476a-9d05-42b0f97dffc5}"/>
        <w:style w:val=""/>
        <w:category>
          <w:name w:val="常规"/>
          <w:gallery w:val="placeholder"/>
        </w:category>
        <w:types>
          <w:type w:val="bbPlcHdr"/>
        </w:types>
        <w:behaviors>
          <w:behavior w:val="content"/>
        </w:behaviors>
        <w:description w:val=""/>
        <w:guid w:val="{8386343b-0480-476a-9d05-42b0f97dffc5}"/>
      </w:docPartPr>
      <w:docPartBody>
        <w:p>
          <w:r>
            <w:rPr>
              <w:color w:val="808080"/>
            </w:rPr>
            <w:t>单击此处输入文字。</w:t>
          </w:r>
        </w:p>
      </w:docPartBody>
    </w:docPart>
    <w:docPart>
      <w:docPartPr>
        <w:name w:val="{828bf051-78b2-4c26-a2f4-390042e025ff}"/>
        <w:style w:val=""/>
        <w:category>
          <w:name w:val="常规"/>
          <w:gallery w:val="placeholder"/>
        </w:category>
        <w:types>
          <w:type w:val="bbPlcHdr"/>
        </w:types>
        <w:behaviors>
          <w:behavior w:val="content"/>
        </w:behaviors>
        <w:description w:val=""/>
        <w:guid w:val="{828bf051-78b2-4c26-a2f4-390042e025ff}"/>
      </w:docPartPr>
      <w:docPartBody>
        <w:p>
          <w:r>
            <w:rPr>
              <w:color w:val="808080"/>
            </w:rPr>
            <w:t>单击此处输入文字。</w:t>
          </w:r>
        </w:p>
      </w:docPartBody>
    </w:docPart>
    <w:docPart>
      <w:docPartPr>
        <w:name w:val="{fc544a4e-3f9e-40ed-a990-224691622956}"/>
        <w:style w:val=""/>
        <w:category>
          <w:name w:val="常规"/>
          <w:gallery w:val="placeholder"/>
        </w:category>
        <w:types>
          <w:type w:val="bbPlcHdr"/>
        </w:types>
        <w:behaviors>
          <w:behavior w:val="content"/>
        </w:behaviors>
        <w:description w:val=""/>
        <w:guid w:val="{fc544a4e-3f9e-40ed-a990-224691622956}"/>
      </w:docPartPr>
      <w:docPartBody>
        <w:p>
          <w:r>
            <w:rPr>
              <w:color w:val="808080"/>
            </w:rPr>
            <w:t>单击此处输入文字。</w:t>
          </w:r>
        </w:p>
      </w:docPartBody>
    </w:docPart>
    <w:docPart>
      <w:docPartPr>
        <w:name w:val="{bd17744e-6167-49bf-b810-3108cc7067ed}"/>
        <w:style w:val=""/>
        <w:category>
          <w:name w:val="常规"/>
          <w:gallery w:val="placeholder"/>
        </w:category>
        <w:types>
          <w:type w:val="bbPlcHdr"/>
        </w:types>
        <w:behaviors>
          <w:behavior w:val="content"/>
        </w:behaviors>
        <w:description w:val=""/>
        <w:guid w:val="{bd17744e-6167-49bf-b810-3108cc7067ed}"/>
      </w:docPartPr>
      <w:docPartBody>
        <w:p>
          <w:r>
            <w:rPr>
              <w:color w:val="808080"/>
            </w:rPr>
            <w:t>单击此处输入文字。</w:t>
          </w:r>
        </w:p>
      </w:docPartBody>
    </w:docPart>
    <w:docPart>
      <w:docPartPr>
        <w:name w:val="{fcdf59fa-d2b6-4c40-9f59-afa0172f7dae}"/>
        <w:style w:val=""/>
        <w:category>
          <w:name w:val="常规"/>
          <w:gallery w:val="placeholder"/>
        </w:category>
        <w:types>
          <w:type w:val="bbPlcHdr"/>
        </w:types>
        <w:behaviors>
          <w:behavior w:val="content"/>
        </w:behaviors>
        <w:description w:val=""/>
        <w:guid w:val="{fcdf59fa-d2b6-4c40-9f59-afa0172f7dae}"/>
      </w:docPartPr>
      <w:docPartBody>
        <w:p>
          <w:r>
            <w:rPr>
              <w:color w:val="808080"/>
            </w:rPr>
            <w:t>单击此处输入文字。</w:t>
          </w:r>
        </w:p>
      </w:docPartBody>
    </w:docPart>
    <w:docPart>
      <w:docPartPr>
        <w:name w:val="{8460bb93-0ebd-4aed-98fd-290307a4aaf1}"/>
        <w:style w:val=""/>
        <w:category>
          <w:name w:val="常规"/>
          <w:gallery w:val="placeholder"/>
        </w:category>
        <w:types>
          <w:type w:val="bbPlcHdr"/>
        </w:types>
        <w:behaviors>
          <w:behavior w:val="content"/>
        </w:behaviors>
        <w:description w:val=""/>
        <w:guid w:val="{8460bb93-0ebd-4aed-98fd-290307a4aaf1}"/>
      </w:docPartPr>
      <w:docPartBody>
        <w:p>
          <w:r>
            <w:rPr>
              <w:color w:val="808080"/>
            </w:rPr>
            <w:t>单击此处输入文字。</w:t>
          </w:r>
        </w:p>
      </w:docPartBody>
    </w:docPart>
    <w:docPart>
      <w:docPartPr>
        <w:name w:val="{2cc6b744-5ad3-4027-ba4c-fe084072cf51}"/>
        <w:style w:val=""/>
        <w:category>
          <w:name w:val="常规"/>
          <w:gallery w:val="placeholder"/>
        </w:category>
        <w:types>
          <w:type w:val="bbPlcHdr"/>
        </w:types>
        <w:behaviors>
          <w:behavior w:val="content"/>
        </w:behaviors>
        <w:description w:val=""/>
        <w:guid w:val="{2cc6b744-5ad3-4027-ba4c-fe084072cf51}"/>
      </w:docPartPr>
      <w:docPartBody>
        <w:p>
          <w:r>
            <w:rPr>
              <w:color w:val="808080"/>
            </w:rPr>
            <w:t>单击此处输入文字。</w:t>
          </w:r>
        </w:p>
      </w:docPartBody>
    </w:docPart>
    <w:docPart>
      <w:docPartPr>
        <w:name w:val="{624cd595-72a0-4c83-a523-d0312e5f76ba}"/>
        <w:style w:val=""/>
        <w:category>
          <w:name w:val="常规"/>
          <w:gallery w:val="placeholder"/>
        </w:category>
        <w:types>
          <w:type w:val="bbPlcHdr"/>
        </w:types>
        <w:behaviors>
          <w:behavior w:val="content"/>
        </w:behaviors>
        <w:description w:val=""/>
        <w:guid w:val="{624cd595-72a0-4c83-a523-d0312e5f76ba}"/>
      </w:docPartPr>
      <w:docPartBody>
        <w:p>
          <w:r>
            <w:rPr>
              <w:color w:val="808080"/>
            </w:rPr>
            <w:t>单击此处输入文字。</w:t>
          </w:r>
        </w:p>
      </w:docPartBody>
    </w:docPart>
    <w:docPart>
      <w:docPartPr>
        <w:name w:val="{1737c327-1d3f-4259-8dae-8565a21abd1b}"/>
        <w:style w:val=""/>
        <w:category>
          <w:name w:val="常规"/>
          <w:gallery w:val="placeholder"/>
        </w:category>
        <w:types>
          <w:type w:val="bbPlcHdr"/>
        </w:types>
        <w:behaviors>
          <w:behavior w:val="content"/>
        </w:behaviors>
        <w:description w:val=""/>
        <w:guid w:val="{1737c327-1d3f-4259-8dae-8565a21abd1b}"/>
      </w:docPartPr>
      <w:docPartBody>
        <w:p>
          <w:r>
            <w:rPr>
              <w:color w:val="808080"/>
            </w:rPr>
            <w:t>单击此处输入文字。</w:t>
          </w:r>
        </w:p>
      </w:docPartBody>
    </w:docPart>
    <w:docPart>
      <w:docPartPr>
        <w:name w:val="{26eda71d-9d23-4b13-9725-2dffc060bbe7}"/>
        <w:style w:val=""/>
        <w:category>
          <w:name w:val="常规"/>
          <w:gallery w:val="placeholder"/>
        </w:category>
        <w:types>
          <w:type w:val="bbPlcHdr"/>
        </w:types>
        <w:behaviors>
          <w:behavior w:val="content"/>
        </w:behaviors>
        <w:description w:val=""/>
        <w:guid w:val="{26eda71d-9d23-4b13-9725-2dffc060bbe7}"/>
      </w:docPartPr>
      <w:docPartBody>
        <w:p>
          <w:r>
            <w:rPr>
              <w:color w:val="808080"/>
            </w:rPr>
            <w:t>单击此处输入文字。</w:t>
          </w:r>
        </w:p>
      </w:docPartBody>
    </w:docPart>
    <w:docPart>
      <w:docPartPr>
        <w:name w:val="{7a335302-4bdd-4e4d-9b14-7c77e0f72df2}"/>
        <w:style w:val=""/>
        <w:category>
          <w:name w:val="常规"/>
          <w:gallery w:val="placeholder"/>
        </w:category>
        <w:types>
          <w:type w:val="bbPlcHdr"/>
        </w:types>
        <w:behaviors>
          <w:behavior w:val="content"/>
        </w:behaviors>
        <w:description w:val=""/>
        <w:guid w:val="{7a335302-4bdd-4e4d-9b14-7c77e0f72df2}"/>
      </w:docPartPr>
      <w:docPartBody>
        <w:p>
          <w:r>
            <w:rPr>
              <w:color w:val="808080"/>
            </w:rPr>
            <w:t>单击此处输入文字。</w:t>
          </w:r>
        </w:p>
      </w:docPartBody>
    </w:docPart>
    <w:docPart>
      <w:docPartPr>
        <w:name w:val="{5e2f1265-6b0e-4afd-b1c7-9e1dff3d413b}"/>
        <w:style w:val=""/>
        <w:category>
          <w:name w:val="常规"/>
          <w:gallery w:val="placeholder"/>
        </w:category>
        <w:types>
          <w:type w:val="bbPlcHdr"/>
        </w:types>
        <w:behaviors>
          <w:behavior w:val="content"/>
        </w:behaviors>
        <w:description w:val=""/>
        <w:guid w:val="{5e2f1265-6b0e-4afd-b1c7-9e1dff3d413b}"/>
      </w:docPartPr>
      <w:docPartBody>
        <w:p>
          <w:r>
            <w:rPr>
              <w:color w:val="808080"/>
            </w:rPr>
            <w:t>单击此处输入文字。</w:t>
          </w:r>
        </w:p>
      </w:docPartBody>
    </w:docPart>
    <w:docPart>
      <w:docPartPr>
        <w:name w:val="{e463aac5-7bf0-47db-a160-862802672f44}"/>
        <w:style w:val=""/>
        <w:category>
          <w:name w:val="常规"/>
          <w:gallery w:val="placeholder"/>
        </w:category>
        <w:types>
          <w:type w:val="bbPlcHdr"/>
        </w:types>
        <w:behaviors>
          <w:behavior w:val="content"/>
        </w:behaviors>
        <w:description w:val=""/>
        <w:guid w:val="{e463aac5-7bf0-47db-a160-862802672f44}"/>
      </w:docPartPr>
      <w:docPartBody>
        <w:p>
          <w:r>
            <w:rPr>
              <w:color w:val="808080"/>
            </w:rPr>
            <w:t>单击此处输入文字。</w:t>
          </w:r>
        </w:p>
      </w:docPartBody>
    </w:docPart>
    <w:docPart>
      <w:docPartPr>
        <w:name w:val="{e5270a89-abcd-4534-afb8-e52d1e3e2a96}"/>
        <w:style w:val=""/>
        <w:category>
          <w:name w:val="常规"/>
          <w:gallery w:val="placeholder"/>
        </w:category>
        <w:types>
          <w:type w:val="bbPlcHdr"/>
        </w:types>
        <w:behaviors>
          <w:behavior w:val="content"/>
        </w:behaviors>
        <w:description w:val=""/>
        <w:guid w:val="{e5270a89-abcd-4534-afb8-e52d1e3e2a96}"/>
      </w:docPartPr>
      <w:docPartBody>
        <w:p>
          <w:r>
            <w:rPr>
              <w:color w:val="808080"/>
            </w:rPr>
            <w:t>单击此处输入文字。</w:t>
          </w:r>
        </w:p>
      </w:docPartBody>
    </w:docPart>
    <w:docPart>
      <w:docPartPr>
        <w:name w:val="{d86f1fdf-b07a-408f-8ce1-d44655298df3}"/>
        <w:style w:val=""/>
        <w:category>
          <w:name w:val="常规"/>
          <w:gallery w:val="placeholder"/>
        </w:category>
        <w:types>
          <w:type w:val="bbPlcHdr"/>
        </w:types>
        <w:behaviors>
          <w:behavior w:val="content"/>
        </w:behaviors>
        <w:description w:val=""/>
        <w:guid w:val="{d86f1fdf-b07a-408f-8ce1-d44655298df3}"/>
      </w:docPartPr>
      <w:docPartBody>
        <w:p>
          <w:r>
            <w:rPr>
              <w:color w:val="808080"/>
            </w:rPr>
            <w:t>单击此处输入文字。</w:t>
          </w:r>
        </w:p>
      </w:docPartBody>
    </w:docPart>
    <w:docPart>
      <w:docPartPr>
        <w:name w:val="{716c7bb2-c81d-45ee-b9fa-9ea8cd13fd7f}"/>
        <w:style w:val=""/>
        <w:category>
          <w:name w:val="常规"/>
          <w:gallery w:val="placeholder"/>
        </w:category>
        <w:types>
          <w:type w:val="bbPlcHdr"/>
        </w:types>
        <w:behaviors>
          <w:behavior w:val="content"/>
        </w:behaviors>
        <w:description w:val=""/>
        <w:guid w:val="{716c7bb2-c81d-45ee-b9fa-9ea8cd13fd7f}"/>
      </w:docPartPr>
      <w:docPartBody>
        <w:p>
          <w:r>
            <w:rPr>
              <w:color w:val="808080"/>
            </w:rPr>
            <w:t>单击此处输入文字。</w:t>
          </w:r>
        </w:p>
      </w:docPartBody>
    </w:docPart>
    <w:docPart>
      <w:docPartPr>
        <w:name w:val="{a2e6eeb8-3bf3-43a6-ab3e-cd7bab67d613}"/>
        <w:style w:val=""/>
        <w:category>
          <w:name w:val="常规"/>
          <w:gallery w:val="placeholder"/>
        </w:category>
        <w:types>
          <w:type w:val="bbPlcHdr"/>
        </w:types>
        <w:behaviors>
          <w:behavior w:val="content"/>
        </w:behaviors>
        <w:description w:val=""/>
        <w:guid w:val="{a2e6eeb8-3bf3-43a6-ab3e-cd7bab67d613}"/>
      </w:docPartPr>
      <w:docPartBody>
        <w:p>
          <w:r>
            <w:rPr>
              <w:color w:val="808080"/>
            </w:rPr>
            <w:t>单击此处输入文字。</w:t>
          </w:r>
        </w:p>
      </w:docPartBody>
    </w:docPart>
    <w:docPart>
      <w:docPartPr>
        <w:name w:val="{5980d776-d0c0-4780-a6fd-96a0306ae7ec}"/>
        <w:style w:val=""/>
        <w:category>
          <w:name w:val="常规"/>
          <w:gallery w:val="placeholder"/>
        </w:category>
        <w:types>
          <w:type w:val="bbPlcHdr"/>
        </w:types>
        <w:behaviors>
          <w:behavior w:val="content"/>
        </w:behaviors>
        <w:description w:val=""/>
        <w:guid w:val="{5980d776-d0c0-4780-a6fd-96a0306ae7ec}"/>
      </w:docPartPr>
      <w:docPartBody>
        <w:p>
          <w:r>
            <w:rPr>
              <w:color w:val="808080"/>
            </w:rPr>
            <w:t>单击此处输入文字。</w:t>
          </w:r>
        </w:p>
      </w:docPartBody>
    </w:docPart>
    <w:docPart>
      <w:docPartPr>
        <w:name w:val="{89c2bb96-9b91-4e04-8914-2968ad089085}"/>
        <w:style w:val=""/>
        <w:category>
          <w:name w:val="常规"/>
          <w:gallery w:val="placeholder"/>
        </w:category>
        <w:types>
          <w:type w:val="bbPlcHdr"/>
        </w:types>
        <w:behaviors>
          <w:behavior w:val="content"/>
        </w:behaviors>
        <w:description w:val=""/>
        <w:guid w:val="{89c2bb96-9b91-4e04-8914-2968ad089085}"/>
      </w:docPartPr>
      <w:docPartBody>
        <w:p>
          <w:r>
            <w:rPr>
              <w:color w:val="808080"/>
            </w:rPr>
            <w:t>单击此处输入文字。</w:t>
          </w:r>
        </w:p>
      </w:docPartBody>
    </w:docPart>
    <w:docPart>
      <w:docPartPr>
        <w:name w:val="{8488fbb5-fd2f-465a-b7f3-1394ef82a941}"/>
        <w:style w:val=""/>
        <w:category>
          <w:name w:val="常规"/>
          <w:gallery w:val="placeholder"/>
        </w:category>
        <w:types>
          <w:type w:val="bbPlcHdr"/>
        </w:types>
        <w:behaviors>
          <w:behavior w:val="content"/>
        </w:behaviors>
        <w:description w:val=""/>
        <w:guid w:val="{8488fbb5-fd2f-465a-b7f3-1394ef82a941}"/>
      </w:docPartPr>
      <w:docPartBody>
        <w:p>
          <w:r>
            <w:rPr>
              <w:color w:val="808080"/>
            </w:rPr>
            <w:t>单击此处输入文字。</w:t>
          </w:r>
        </w:p>
      </w:docPartBody>
    </w:docPart>
    <w:docPart>
      <w:docPartPr>
        <w:name w:val="{bb30125e-54c8-495f-b208-8852bd8c0907}"/>
        <w:style w:val=""/>
        <w:category>
          <w:name w:val="常规"/>
          <w:gallery w:val="placeholder"/>
        </w:category>
        <w:types>
          <w:type w:val="bbPlcHdr"/>
        </w:types>
        <w:behaviors>
          <w:behavior w:val="content"/>
        </w:behaviors>
        <w:description w:val=""/>
        <w:guid w:val="{bb30125e-54c8-495f-b208-8852bd8c0907}"/>
      </w:docPartPr>
      <w:docPartBody>
        <w:p>
          <w:r>
            <w:rPr>
              <w:color w:val="808080"/>
            </w:rPr>
            <w:t>单击此处输入文字。</w:t>
          </w:r>
        </w:p>
      </w:docPartBody>
    </w:docPart>
    <w:docPart>
      <w:docPartPr>
        <w:name w:val="{e5e636a8-c7e7-4819-8f3e-7b0c5ebe2e5b}"/>
        <w:style w:val=""/>
        <w:category>
          <w:name w:val="常规"/>
          <w:gallery w:val="placeholder"/>
        </w:category>
        <w:types>
          <w:type w:val="bbPlcHdr"/>
        </w:types>
        <w:behaviors>
          <w:behavior w:val="content"/>
        </w:behaviors>
        <w:description w:val=""/>
        <w:guid w:val="{e5e636a8-c7e7-4819-8f3e-7b0c5ebe2e5b}"/>
      </w:docPartPr>
      <w:docPartBody>
        <w:p>
          <w:r>
            <w:rPr>
              <w:color w:val="808080"/>
            </w:rPr>
            <w:t>单击此处输入文字。</w:t>
          </w:r>
        </w:p>
      </w:docPartBody>
    </w:docPart>
    <w:docPart>
      <w:docPartPr>
        <w:name w:val="{3ce467e7-9641-4ccf-bf86-de68f90e586d}"/>
        <w:style w:val=""/>
        <w:category>
          <w:name w:val="常规"/>
          <w:gallery w:val="placeholder"/>
        </w:category>
        <w:types>
          <w:type w:val="bbPlcHdr"/>
        </w:types>
        <w:behaviors>
          <w:behavior w:val="content"/>
        </w:behaviors>
        <w:description w:val=""/>
        <w:guid w:val="{3ce467e7-9641-4ccf-bf86-de68f90e586d}"/>
      </w:docPartPr>
      <w:docPartBody>
        <w:p>
          <w:r>
            <w:rPr>
              <w:color w:val="808080"/>
            </w:rPr>
            <w:t>单击此处输入文字。</w:t>
          </w:r>
        </w:p>
      </w:docPartBody>
    </w:docPart>
    <w:docPart>
      <w:docPartPr>
        <w:name w:val="{96d32552-64b6-4f7f-b50e-2b216fc259c4}"/>
        <w:style w:val=""/>
        <w:category>
          <w:name w:val="常规"/>
          <w:gallery w:val="placeholder"/>
        </w:category>
        <w:types>
          <w:type w:val="bbPlcHdr"/>
        </w:types>
        <w:behaviors>
          <w:behavior w:val="content"/>
        </w:behaviors>
        <w:description w:val=""/>
        <w:guid w:val="{96d32552-64b6-4f7f-b50e-2b216fc259c4}"/>
      </w:docPartPr>
      <w:docPartBody>
        <w:p>
          <w:r>
            <w:rPr>
              <w:color w:val="808080"/>
            </w:rPr>
            <w:t>单击此处输入文字。</w:t>
          </w:r>
        </w:p>
      </w:docPartBody>
    </w:docPart>
    <w:docPart>
      <w:docPartPr>
        <w:name w:val="{7812d125-90ff-4016-9698-0cfcd9404607}"/>
        <w:style w:val=""/>
        <w:category>
          <w:name w:val="常规"/>
          <w:gallery w:val="placeholder"/>
        </w:category>
        <w:types>
          <w:type w:val="bbPlcHdr"/>
        </w:types>
        <w:behaviors>
          <w:behavior w:val="content"/>
        </w:behaviors>
        <w:description w:val=""/>
        <w:guid w:val="{7812d125-90ff-4016-9698-0cfcd9404607}"/>
      </w:docPartPr>
      <w:docPartBody>
        <w:p>
          <w:r>
            <w:rPr>
              <w:color w:val="808080"/>
            </w:rPr>
            <w:t>单击此处输入文字。</w:t>
          </w:r>
        </w:p>
      </w:docPartBody>
    </w:docPart>
    <w:docPart>
      <w:docPartPr>
        <w:name w:val="{b785e98c-9c08-45d1-9abf-633047b37215}"/>
        <w:style w:val=""/>
        <w:category>
          <w:name w:val="常规"/>
          <w:gallery w:val="placeholder"/>
        </w:category>
        <w:types>
          <w:type w:val="bbPlcHdr"/>
        </w:types>
        <w:behaviors>
          <w:behavior w:val="content"/>
        </w:behaviors>
        <w:description w:val=""/>
        <w:guid w:val="{b785e98c-9c08-45d1-9abf-633047b37215}"/>
      </w:docPartPr>
      <w:docPartBody>
        <w:p>
          <w:r>
            <w:rPr>
              <w:color w:val="808080"/>
            </w:rPr>
            <w:t>单击此处输入文字。</w:t>
          </w:r>
        </w:p>
      </w:docPartBody>
    </w:docPart>
    <w:docPart>
      <w:docPartPr>
        <w:name w:val="{fa76be48-c7ee-461c-8e9e-831b25a30a1e}"/>
        <w:style w:val=""/>
        <w:category>
          <w:name w:val="常规"/>
          <w:gallery w:val="placeholder"/>
        </w:category>
        <w:types>
          <w:type w:val="bbPlcHdr"/>
        </w:types>
        <w:behaviors>
          <w:behavior w:val="content"/>
        </w:behaviors>
        <w:description w:val=""/>
        <w:guid w:val="{fa76be48-c7ee-461c-8e9e-831b25a30a1e}"/>
      </w:docPartPr>
      <w:docPartBody>
        <w:p>
          <w:r>
            <w:rPr>
              <w:color w:val="808080"/>
            </w:rPr>
            <w:t>单击此处输入文字。</w:t>
          </w:r>
        </w:p>
      </w:docPartBody>
    </w:docPart>
    <w:docPart>
      <w:docPartPr>
        <w:name w:val="{2a9720d1-339f-4471-b604-efa0cc17a107}"/>
        <w:style w:val=""/>
        <w:category>
          <w:name w:val="常规"/>
          <w:gallery w:val="placeholder"/>
        </w:category>
        <w:types>
          <w:type w:val="bbPlcHdr"/>
        </w:types>
        <w:behaviors>
          <w:behavior w:val="content"/>
        </w:behaviors>
        <w:description w:val=""/>
        <w:guid w:val="{2a9720d1-339f-4471-b604-efa0cc17a107}"/>
      </w:docPartPr>
      <w:docPartBody>
        <w:p>
          <w:r>
            <w:rPr>
              <w:color w:val="808080"/>
            </w:rPr>
            <w:t>单击此处输入文字。</w:t>
          </w:r>
        </w:p>
      </w:docPartBody>
    </w:docPart>
    <w:docPart>
      <w:docPartPr>
        <w:name w:val="{d1bed635-f1fe-489e-b68e-a1468a7bab64}"/>
        <w:style w:val=""/>
        <w:category>
          <w:name w:val="常规"/>
          <w:gallery w:val="placeholder"/>
        </w:category>
        <w:types>
          <w:type w:val="bbPlcHdr"/>
        </w:types>
        <w:behaviors>
          <w:behavior w:val="content"/>
        </w:behaviors>
        <w:description w:val=""/>
        <w:guid w:val="{d1bed635-f1fe-489e-b68e-a1468a7bab64}"/>
      </w:docPartPr>
      <w:docPartBody>
        <w:p>
          <w:r>
            <w:rPr>
              <w:color w:val="808080"/>
            </w:rPr>
            <w:t>单击此处输入文字。</w:t>
          </w:r>
        </w:p>
      </w:docPartBody>
    </w:docPart>
    <w:docPart>
      <w:docPartPr>
        <w:name w:val="{4cb6d1ab-c285-4c83-81ad-6be324ddb5f2}"/>
        <w:style w:val=""/>
        <w:category>
          <w:name w:val="常规"/>
          <w:gallery w:val="placeholder"/>
        </w:category>
        <w:types>
          <w:type w:val="bbPlcHdr"/>
        </w:types>
        <w:behaviors>
          <w:behavior w:val="content"/>
        </w:behaviors>
        <w:description w:val=""/>
        <w:guid w:val="{4cb6d1ab-c285-4c83-81ad-6be324ddb5f2}"/>
      </w:docPartPr>
      <w:docPartBody>
        <w:p>
          <w:r>
            <w:rPr>
              <w:color w:val="808080"/>
            </w:rPr>
            <w:t>单击此处输入文字。</w:t>
          </w:r>
        </w:p>
      </w:docPartBody>
    </w:docPart>
    <w:docPart>
      <w:docPartPr>
        <w:name w:val="{3de705b8-8568-414e-907b-5e8ae2abdd9e}"/>
        <w:style w:val=""/>
        <w:category>
          <w:name w:val="常规"/>
          <w:gallery w:val="placeholder"/>
        </w:category>
        <w:types>
          <w:type w:val="bbPlcHdr"/>
        </w:types>
        <w:behaviors>
          <w:behavior w:val="content"/>
        </w:behaviors>
        <w:description w:val=""/>
        <w:guid w:val="{3de705b8-8568-414e-907b-5e8ae2abdd9e}"/>
      </w:docPartPr>
      <w:docPartBody>
        <w:p>
          <w:r>
            <w:rPr>
              <w:color w:val="808080"/>
            </w:rPr>
            <w:t>单击此处输入文字。</w:t>
          </w:r>
        </w:p>
      </w:docPartBody>
    </w:docPart>
    <w:docPart>
      <w:docPartPr>
        <w:name w:val="{336df12c-ca82-4062-b245-b2daf1b86147}"/>
        <w:style w:val=""/>
        <w:category>
          <w:name w:val="常规"/>
          <w:gallery w:val="placeholder"/>
        </w:category>
        <w:types>
          <w:type w:val="bbPlcHdr"/>
        </w:types>
        <w:behaviors>
          <w:behavior w:val="content"/>
        </w:behaviors>
        <w:description w:val=""/>
        <w:guid w:val="{336df12c-ca82-4062-b245-b2daf1b86147}"/>
      </w:docPartPr>
      <w:docPartBody>
        <w:p>
          <w:r>
            <w:rPr>
              <w:color w:val="808080"/>
            </w:rPr>
            <w:t>单击此处输入文字。</w:t>
          </w:r>
        </w:p>
      </w:docPartBody>
    </w:docPart>
    <w:docPart>
      <w:docPartPr>
        <w:name w:val="{d1d97720-ec66-4d19-9584-c95707841aa1}"/>
        <w:style w:val=""/>
        <w:category>
          <w:name w:val="常规"/>
          <w:gallery w:val="placeholder"/>
        </w:category>
        <w:types>
          <w:type w:val="bbPlcHdr"/>
        </w:types>
        <w:behaviors>
          <w:behavior w:val="content"/>
        </w:behaviors>
        <w:description w:val=""/>
        <w:guid w:val="{d1d97720-ec66-4d19-9584-c95707841aa1}"/>
      </w:docPartPr>
      <w:docPartBody>
        <w:p>
          <w:r>
            <w:rPr>
              <w:color w:val="808080"/>
            </w:rPr>
            <w:t>单击此处输入文字。</w:t>
          </w:r>
        </w:p>
      </w:docPartBody>
    </w:docPart>
    <w:docPart>
      <w:docPartPr>
        <w:name w:val="{fe1c09d3-b0a1-40cb-b0ad-1a32f638839e}"/>
        <w:style w:val=""/>
        <w:category>
          <w:name w:val="常规"/>
          <w:gallery w:val="placeholder"/>
        </w:category>
        <w:types>
          <w:type w:val="bbPlcHdr"/>
        </w:types>
        <w:behaviors>
          <w:behavior w:val="content"/>
        </w:behaviors>
        <w:description w:val=""/>
        <w:guid w:val="{fe1c09d3-b0a1-40cb-b0ad-1a32f638839e}"/>
      </w:docPartPr>
      <w:docPartBody>
        <w:p>
          <w:r>
            <w:rPr>
              <w:color w:val="808080"/>
            </w:rPr>
            <w:t>单击此处输入文字。</w:t>
          </w:r>
        </w:p>
      </w:docPartBody>
    </w:docPart>
    <w:docPart>
      <w:docPartPr>
        <w:name w:val="{7d143a59-974a-4a62-99e4-4bf9f05b11b0}"/>
        <w:style w:val=""/>
        <w:category>
          <w:name w:val="常规"/>
          <w:gallery w:val="placeholder"/>
        </w:category>
        <w:types>
          <w:type w:val="bbPlcHdr"/>
        </w:types>
        <w:behaviors>
          <w:behavior w:val="content"/>
        </w:behaviors>
        <w:description w:val=""/>
        <w:guid w:val="{7d143a59-974a-4a62-99e4-4bf9f05b11b0}"/>
      </w:docPartPr>
      <w:docPartBody>
        <w:p>
          <w:r>
            <w:rPr>
              <w:color w:val="808080"/>
            </w:rPr>
            <w:t>单击此处输入文字。</w:t>
          </w:r>
        </w:p>
      </w:docPartBody>
    </w:docPart>
    <w:docPart>
      <w:docPartPr>
        <w:name w:val="{199a9507-6e35-4aed-a279-f4597ad24e60}"/>
        <w:style w:val=""/>
        <w:category>
          <w:name w:val="常规"/>
          <w:gallery w:val="placeholder"/>
        </w:category>
        <w:types>
          <w:type w:val="bbPlcHdr"/>
        </w:types>
        <w:behaviors>
          <w:behavior w:val="content"/>
        </w:behaviors>
        <w:description w:val=""/>
        <w:guid w:val="{199a9507-6e35-4aed-a279-f4597ad24e60}"/>
      </w:docPartPr>
      <w:docPartBody>
        <w:p>
          <w:r>
            <w:rPr>
              <w:color w:val="808080"/>
            </w:rPr>
            <w:t>单击此处输入文字。</w:t>
          </w:r>
        </w:p>
      </w:docPartBody>
    </w:docPart>
    <w:docPart>
      <w:docPartPr>
        <w:name w:val="{16b81612-b6f8-42ac-903e-3f651fb37284}"/>
        <w:style w:val=""/>
        <w:category>
          <w:name w:val="常规"/>
          <w:gallery w:val="placeholder"/>
        </w:category>
        <w:types>
          <w:type w:val="bbPlcHdr"/>
        </w:types>
        <w:behaviors>
          <w:behavior w:val="content"/>
        </w:behaviors>
        <w:description w:val=""/>
        <w:guid w:val="{16b81612-b6f8-42ac-903e-3f651fb3728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14280</Words>
  <Characters>15374</Characters>
  <Lines>61</Lines>
  <Paragraphs>17</Paragraphs>
  <TotalTime>4</TotalTime>
  <ScaleCrop>false</ScaleCrop>
  <LinksUpToDate>false</LinksUpToDate>
  <CharactersWithSpaces>15711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2020-08-13T09:49:00Z</dcterms:created>
  <dc:creator>曹颖</dc:creator>
  <cp:lastModifiedBy>user</cp:lastModifiedBy>
  <cp:lastPrinted>2022-08-14T10:23:00Z</cp:lastPrinted>
  <dcterms:modified xsi:type="dcterms:W3CDTF">2024-09-25T16:15:11Z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21E308A52E3946FFB0689CBC0BBFD526_13</vt:lpwstr>
  </property>
</Properties>
</file>