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bidi w:val="0"/>
        <w:spacing w:beforeLines="0" w:afterLines="0" w:line="560" w:lineRule="exact"/>
        <w:jc w:val="center"/>
        <w:rPr>
          <w:rFonts w:hint="eastAsia" w:ascii="方正小标宋简体" w:hAnsi="方正小标宋简体" w:eastAsia="方正小标宋简体" w:cs="方正小标宋简体"/>
          <w:color w:val="auto"/>
          <w:sz w:val="44"/>
          <w:szCs w:val="44"/>
        </w:rPr>
      </w:pPr>
      <w:bookmarkStart w:id="0" w:name="_GoBack"/>
      <w:bookmarkEnd w:id="0"/>
    </w:p>
    <w:p>
      <w:pPr>
        <w:keepNext w:val="0"/>
        <w:keepLines w:val="0"/>
        <w:pageBreakBefore w:val="0"/>
        <w:shd w:val="clear"/>
        <w:kinsoku/>
        <w:wordWrap/>
        <w:overflowPunct/>
        <w:topLinePunct w:val="0"/>
        <w:bidi w:val="0"/>
        <w:spacing w:beforeLines="0" w:afterLines="0"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广元市昭化区法治社会建设实施方案</w:t>
      </w:r>
      <w:r>
        <w:rPr>
          <w:rFonts w:ascii="方正小标宋简体" w:hAnsi="方正小标宋简体" w:eastAsia="方正小标宋简体" w:cs="方正小标宋简体"/>
          <w:color w:val="auto"/>
          <w:sz w:val="44"/>
          <w:szCs w:val="44"/>
        </w:rPr>
        <w:t>(2021-2025</w:t>
      </w:r>
      <w:r>
        <w:rPr>
          <w:rFonts w:hint="eastAsia" w:ascii="方正小标宋简体" w:hAnsi="方正小标宋简体" w:eastAsia="方正小标宋简体" w:cs="方正小标宋简体"/>
          <w:color w:val="auto"/>
          <w:sz w:val="44"/>
          <w:szCs w:val="44"/>
        </w:rPr>
        <w:t>年</w:t>
      </w:r>
      <w:r>
        <w:rPr>
          <w:rFonts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color w:val="auto"/>
          <w:sz w:val="44"/>
          <w:szCs w:val="44"/>
        </w:rPr>
        <w:t>（征求意见稿）</w:t>
      </w:r>
    </w:p>
    <w:p>
      <w:pPr>
        <w:keepNext w:val="0"/>
        <w:keepLines w:val="0"/>
        <w:pageBreakBefore w:val="0"/>
        <w:shd w:val="clear"/>
        <w:kinsoku/>
        <w:wordWrap/>
        <w:overflowPunct/>
        <w:topLinePunct w:val="0"/>
        <w:bidi w:val="0"/>
        <w:spacing w:beforeLines="0" w:afterLines="0" w:line="560" w:lineRule="exact"/>
        <w:ind w:firstLine="640" w:firstLineChars="200"/>
        <w:rPr>
          <w:rFonts w:hint="eastAsia" w:ascii="仿宋_GB2312" w:hAnsi="仿宋_GB2312" w:eastAsia="仿宋_GB2312" w:cs="仿宋_GB2312"/>
          <w:color w:val="auto"/>
          <w:sz w:val="32"/>
          <w:szCs w:val="32"/>
        </w:rPr>
      </w:pP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为加快推进法治社会建设各项工作，贯彻落实《法治社会建设实施纲要（</w:t>
      </w:r>
      <w:r>
        <w:rPr>
          <w:rFonts w:ascii="仿宋_GB2312" w:hAnsi="仿宋_GB2312" w:eastAsia="仿宋_GB2312" w:cs="仿宋_GB2312"/>
          <w:color w:val="auto"/>
          <w:sz w:val="32"/>
          <w:szCs w:val="32"/>
        </w:rPr>
        <w:t>2020</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2025</w:t>
      </w:r>
      <w:r>
        <w:rPr>
          <w:rFonts w:hint="eastAsia" w:ascii="仿宋_GB2312" w:hAnsi="仿宋_GB2312" w:eastAsia="仿宋_GB2312" w:cs="仿宋_GB2312"/>
          <w:color w:val="auto"/>
          <w:sz w:val="32"/>
          <w:szCs w:val="32"/>
        </w:rPr>
        <w:t>年）》《四川省法治社会建设实施方案（</w:t>
      </w:r>
      <w:r>
        <w:rPr>
          <w:rFonts w:ascii="仿宋_GB2312" w:hAnsi="仿宋_GB2312" w:eastAsia="仿宋_GB2312" w:cs="仿宋_GB2312"/>
          <w:color w:val="auto"/>
          <w:sz w:val="32"/>
          <w:szCs w:val="32"/>
        </w:rPr>
        <w:t>2021—2025</w:t>
      </w:r>
      <w:r>
        <w:rPr>
          <w:rFonts w:hint="eastAsia" w:ascii="仿宋_GB2312" w:hAnsi="仿宋_GB2312" w:eastAsia="仿宋_GB2312" w:cs="仿宋_GB2312"/>
          <w:color w:val="auto"/>
          <w:sz w:val="32"/>
          <w:szCs w:val="32"/>
        </w:rPr>
        <w:t>年）》《广元市法治社会建设实施方案</w:t>
      </w:r>
      <w:r>
        <w:rPr>
          <w:rFonts w:ascii="仿宋_GB2312" w:hAnsi="仿宋_GB2312" w:eastAsia="仿宋_GB2312" w:cs="仿宋_GB2312"/>
          <w:color w:val="auto"/>
          <w:sz w:val="32"/>
          <w:szCs w:val="32"/>
        </w:rPr>
        <w:t>(2021-2025</w:t>
      </w:r>
      <w:r>
        <w:rPr>
          <w:rFonts w:hint="eastAsia" w:ascii="仿宋_GB2312" w:hAnsi="仿宋_GB2312" w:eastAsia="仿宋_GB2312" w:cs="仿宋_GB2312"/>
          <w:color w:val="auto"/>
          <w:sz w:val="32"/>
          <w:szCs w:val="32"/>
        </w:rPr>
        <w:t>年</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》精神，结合我区实际，制定本实施方案。</w:t>
      </w:r>
    </w:p>
    <w:p>
      <w:pPr>
        <w:keepNext w:val="0"/>
        <w:keepLines w:val="0"/>
        <w:pageBreakBefore w:val="0"/>
        <w:shd w:val="clear"/>
        <w:kinsoku/>
        <w:wordWrap/>
        <w:overflowPunct/>
        <w:topLinePunct w:val="0"/>
        <w:bidi w:val="0"/>
        <w:spacing w:beforeLines="0" w:afterLines="0"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一、总体要求</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习近平新时代中国特色社会主义思想为指导，全面贯彻党的十九大和十九届历次全会精神，深入学习贯彻习近平法治思想，增强“四个意识”、坚定“四个自信”、做到“两个维护”，认真落实法治昭化建设总体部署，坚持党的集中统一领导，坚持以人民为中心，坚持尊重和维护宪法法律权威，坚持法律面前人人平等，坚持权利与义务相统一，坚持法治、德治、自治、</w:t>
      </w:r>
      <w:r>
        <w:rPr>
          <w:rFonts w:hint="eastAsia" w:ascii="仿宋_GB2312" w:hAnsi="仿宋_GB2312" w:eastAsia="仿宋_GB2312" w:cs="仿宋_GB2312"/>
          <w:color w:val="auto"/>
          <w:sz w:val="32"/>
          <w:szCs w:val="32"/>
          <w:shd w:val="clear" w:color="auto" w:fill="FFFFFF"/>
        </w:rPr>
        <w:t>智治</w:t>
      </w:r>
      <w:r>
        <w:rPr>
          <w:rFonts w:hint="eastAsia" w:ascii="仿宋_GB2312" w:hAnsi="仿宋_GB2312" w:eastAsia="仿宋_GB2312" w:cs="仿宋_GB2312"/>
          <w:color w:val="auto"/>
          <w:sz w:val="32"/>
          <w:szCs w:val="32"/>
        </w:rPr>
        <w:t>相结合，坚持社会治理共建共治共享，增强全社会厉行法治的积极性和主动性，推动全社会尊法学法守法用法，提高社会治理法治化水平，为加快建设社会主义现代化“四城新区”提供有力法治保障。到</w:t>
      </w:r>
      <w:r>
        <w:rPr>
          <w:rFonts w:ascii="仿宋_GB2312" w:hAnsi="仿宋_GB2312" w:eastAsia="仿宋_GB2312" w:cs="仿宋_GB2312"/>
          <w:color w:val="auto"/>
          <w:sz w:val="32"/>
          <w:szCs w:val="32"/>
        </w:rPr>
        <w:t>2025</w:t>
      </w:r>
      <w:r>
        <w:rPr>
          <w:rFonts w:hint="eastAsia" w:ascii="仿宋_GB2312" w:hAnsi="仿宋_GB2312" w:eastAsia="仿宋_GB2312" w:cs="仿宋_GB2312"/>
          <w:color w:val="auto"/>
          <w:sz w:val="32"/>
          <w:szCs w:val="32"/>
        </w:rPr>
        <w:t>年，实现法治观念深入人心，社会领域制度规范更加健全，公民、法人和其他组织合法权益得到切实保障，社会治理法治化水平显著提高，网络空间明显规范，形成符合区情实际、体现时代特征、人民群众满意的法治社会建设生动局面，为</w:t>
      </w:r>
      <w:r>
        <w:rPr>
          <w:rFonts w:ascii="仿宋_GB2312" w:hAnsi="仿宋_GB2312" w:eastAsia="仿宋_GB2312" w:cs="仿宋_GB2312"/>
          <w:color w:val="auto"/>
          <w:sz w:val="32"/>
          <w:szCs w:val="32"/>
        </w:rPr>
        <w:t>2035</w:t>
      </w:r>
      <w:r>
        <w:rPr>
          <w:rFonts w:hint="eastAsia" w:ascii="仿宋_GB2312" w:hAnsi="仿宋_GB2312" w:eastAsia="仿宋_GB2312" w:cs="仿宋_GB2312"/>
          <w:color w:val="auto"/>
          <w:sz w:val="32"/>
          <w:szCs w:val="32"/>
        </w:rPr>
        <w:t>年基本建成法治社会奠定坚实基础。</w:t>
      </w:r>
    </w:p>
    <w:p>
      <w:pPr>
        <w:keepNext w:val="0"/>
        <w:keepLines w:val="0"/>
        <w:pageBreakBefore w:val="0"/>
        <w:shd w:val="clear"/>
        <w:kinsoku/>
        <w:wordWrap/>
        <w:overflowPunct/>
        <w:topLinePunct w:val="0"/>
        <w:bidi w:val="0"/>
        <w:spacing w:beforeLines="0" w:afterLines="0"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二、主要任务</w:t>
      </w:r>
    </w:p>
    <w:p>
      <w:pPr>
        <w:keepNext w:val="0"/>
        <w:keepLines w:val="0"/>
        <w:pageBreakBefore w:val="0"/>
        <w:shd w:val="clear"/>
        <w:kinsoku/>
        <w:wordWrap/>
        <w:overflowPunct/>
        <w:topLinePunct w:val="0"/>
        <w:bidi w:val="0"/>
        <w:spacing w:beforeLines="0" w:afterLines="0" w:line="560" w:lineRule="exact"/>
        <w:ind w:firstLine="640" w:firstLineChars="200"/>
        <w:rPr>
          <w:rFonts w:ascii="楷体" w:hAnsi="楷体" w:eastAsia="楷体" w:cs="楷体"/>
          <w:color w:val="auto"/>
          <w:sz w:val="32"/>
          <w:szCs w:val="32"/>
        </w:rPr>
      </w:pPr>
      <w:r>
        <w:rPr>
          <w:rFonts w:ascii="楷体" w:hAnsi="楷体" w:eastAsia="楷体" w:cs="楷体"/>
          <w:color w:val="auto"/>
          <w:sz w:val="32"/>
          <w:szCs w:val="32"/>
        </w:rPr>
        <w:t>(</w:t>
      </w: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推动全社会增强法治观念</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切实维护宪法权威。深入学习宣传宪法，弘扬宪法精神。把宪法作为党委</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党组</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理论学习中心组重点学习内容、党校</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行政学校</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重点课程。落实宪法宣誓制度，国家工作人员在就职时应当公开向宪法宣誓，并在宣誓前开展宪法专题学习和知识测试。扎实开展宪法进企业、进农村、进机关、进学校、进社区、进宗教场所、进网络活动，利用“</w:t>
      </w:r>
      <w:r>
        <w:rPr>
          <w:rFonts w:ascii="仿宋_GB2312" w:hAnsi="仿宋_GB2312" w:eastAsia="仿宋_GB2312" w:cs="仿宋_GB2312"/>
          <w:color w:val="auto"/>
          <w:sz w:val="32"/>
          <w:szCs w:val="32"/>
        </w:rPr>
        <w:t>12.4"</w:t>
      </w:r>
      <w:r>
        <w:rPr>
          <w:rFonts w:hint="eastAsia" w:ascii="仿宋_GB2312" w:hAnsi="仿宋_GB2312" w:eastAsia="仿宋_GB2312" w:cs="仿宋_GB2312"/>
          <w:color w:val="auto"/>
          <w:sz w:val="32"/>
          <w:szCs w:val="32"/>
        </w:rPr>
        <w:t>国家宪法日、“宪法宣传周”和重大时间节点，在全区普遍开展宪法教育，广泛开展违宪警示宣传教育，实现宪法宣传教育常态化。</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牵头单位：</w:t>
      </w:r>
      <w:r>
        <w:rPr>
          <w:rFonts w:hint="eastAsia" w:ascii="仿宋_GB2312" w:hAnsi="仿宋_GB2312" w:eastAsia="仿宋_GB2312" w:cs="仿宋_GB2312"/>
          <w:color w:val="auto"/>
          <w:sz w:val="32"/>
          <w:szCs w:val="32"/>
        </w:rPr>
        <w:t>区委宣传部</w:t>
      </w:r>
      <w:r>
        <w:rPr>
          <w:rFonts w:hint="eastAsia" w:ascii="仿宋_GB2312" w:hAnsi="仿宋_GB2312" w:eastAsia="仿宋_GB2312" w:cs="仿宋_GB2312"/>
          <w:color w:val="auto"/>
          <w:sz w:val="32"/>
          <w:szCs w:val="32"/>
          <w:lang w:eastAsia="zh-CN"/>
        </w:rPr>
        <w:t>，责任单位：</w:t>
      </w:r>
      <w:r>
        <w:rPr>
          <w:rFonts w:hint="eastAsia" w:ascii="仿宋_GB2312" w:hAnsi="仿宋_GB2312" w:eastAsia="仿宋_GB2312" w:cs="仿宋_GB2312"/>
          <w:color w:val="auto"/>
          <w:sz w:val="32"/>
          <w:szCs w:val="32"/>
        </w:rPr>
        <w:t>区人大常委会办公室、区委组织部、区司法局、区人社局、区委党校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区级</w:t>
      </w:r>
      <w:r>
        <w:rPr>
          <w:rFonts w:hint="eastAsia" w:ascii="仿宋_GB2312" w:hAnsi="仿宋_GB2312" w:eastAsia="仿宋_GB2312" w:cs="仿宋_GB2312"/>
          <w:color w:val="auto"/>
          <w:sz w:val="32"/>
          <w:szCs w:val="32"/>
          <w:lang w:eastAsia="zh-CN"/>
        </w:rPr>
        <w:t>其他相关</w:t>
      </w:r>
      <w:r>
        <w:rPr>
          <w:rFonts w:hint="eastAsia" w:ascii="仿宋_GB2312" w:hAnsi="仿宋_GB2312" w:eastAsia="仿宋_GB2312" w:cs="仿宋_GB2312"/>
          <w:color w:val="auto"/>
          <w:sz w:val="32"/>
          <w:szCs w:val="32"/>
        </w:rPr>
        <w:t>部门</w:t>
      </w:r>
      <w:r>
        <w:rPr>
          <w:rFonts w:ascii="仿宋_GB2312" w:hAnsi="仿宋_GB2312" w:eastAsia="仿宋_GB2312" w:cs="仿宋_GB2312"/>
          <w:color w:val="auto"/>
          <w:sz w:val="32"/>
          <w:szCs w:val="32"/>
        </w:rPr>
        <w:t>)</w:t>
      </w:r>
    </w:p>
    <w:p>
      <w:pPr>
        <w:keepNext w:val="0"/>
        <w:keepLines w:val="0"/>
        <w:pageBreakBefore w:val="0"/>
        <w:shd w:val="clear"/>
        <w:kinsoku/>
        <w:wordWrap/>
        <w:overflowPunct/>
        <w:topLinePunct w:val="0"/>
        <w:bidi w:val="0"/>
        <w:adjustRightInd w:val="0"/>
        <w:snapToGrid w:val="0"/>
        <w:spacing w:beforeLines="0" w:afterLines="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增强全民法治观念。深入学习宣传贯彻习近平法治思想，深入宣传以宪法为核心的中国特色社会主义法律体系，广泛宣传与经济社会发展和人民群众利益密切相关的法律法规规章。以“美好生活·民法典相伴”为主题，广泛开展民法典普法工作，让民法典走到群众身边、走进群众心里。积极组织疫病防治、野生动物保护、公共卫生安全、生产安全、劳动就业、社会保障、网络安全、食品药品安全、道路交通安全、森林防灭火、垃圾分类等方面的法治宣传教育活动。充分发挥领导干部示范带动作用，持续深化“学讲考述用”五位一体学法用法机制，将法治教育纳入干部培训总体计划和国家工作人员入职晋职培训必训内容，实现领导干部学法考法全覆盖。加强青少年法治教育，全面落实《青少年法治教育大纲》，加强学校法治建设，推广运用“三养”法治教育模式（以法养心，以法养行，以法养境），加强对教师的法治教育培训，有效发挥法治副校长、法治辅导员作用，开展“学宪法讲宪法”、“开学法治教育第一课”、“模拟法庭”“案例推演”等青少年法治活动，在青少年成人仪式、学生毕业仪式等活动中设置礼敬宪法环节，依托“法治教育体验馆”“禁毒教育基地”等加强青少年法治实践体验。深化拓展“法律进企业</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单位</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活动，加强对各类市场主体管理人员和从业人员的法治教育，引导企业建立合规制度，推动企业合规建设。开展企业（单位）“法治体检”活动，防范化解企业生产经营法律风险。依法规范企业（单位）用工行为，保障和维护职工合法权益。</w:t>
      </w:r>
      <w:r>
        <w:rPr>
          <w:rFonts w:ascii="仿宋_GB2312" w:hAnsi="仿宋_GB2312" w:eastAsia="仿宋_GB2312" w:cs="仿宋_GB2312"/>
          <w:color w:val="auto"/>
          <w:sz w:val="32"/>
          <w:szCs w:val="32"/>
        </w:rPr>
        <w:t xml:space="preserve"> ( </w:t>
      </w:r>
      <w:r>
        <w:rPr>
          <w:rFonts w:hint="eastAsia" w:ascii="仿宋_GB2312" w:hAnsi="仿宋_GB2312" w:eastAsia="仿宋_GB2312" w:cs="仿宋_GB2312"/>
          <w:color w:val="auto"/>
          <w:sz w:val="32"/>
          <w:szCs w:val="32"/>
          <w:lang w:eastAsia="zh-CN"/>
        </w:rPr>
        <w:t>牵头单位：</w:t>
      </w:r>
      <w:r>
        <w:rPr>
          <w:rFonts w:hint="eastAsia" w:ascii="仿宋_GB2312" w:hAnsi="仿宋_GB2312" w:eastAsia="仿宋_GB2312" w:cs="仿宋_GB2312"/>
          <w:color w:val="auto"/>
          <w:sz w:val="32"/>
          <w:szCs w:val="32"/>
        </w:rPr>
        <w:t>区委宣传部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责任单位：区人大常委会办公室、区委组织部、区司法局、区教育局、区国资事务中心、区市场监管局、区工商联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区级</w:t>
      </w:r>
      <w:r>
        <w:rPr>
          <w:rFonts w:hint="eastAsia" w:ascii="仿宋_GB2312" w:hAnsi="仿宋_GB2312" w:eastAsia="仿宋_GB2312" w:cs="仿宋_GB2312"/>
          <w:color w:val="auto"/>
          <w:sz w:val="32"/>
          <w:szCs w:val="32"/>
          <w:lang w:eastAsia="zh-CN"/>
        </w:rPr>
        <w:t>其他相关</w:t>
      </w:r>
      <w:r>
        <w:rPr>
          <w:rFonts w:hint="eastAsia" w:ascii="仿宋_GB2312" w:hAnsi="仿宋_GB2312" w:eastAsia="仿宋_GB2312" w:cs="仿宋_GB2312"/>
          <w:color w:val="auto"/>
          <w:sz w:val="32"/>
          <w:szCs w:val="32"/>
        </w:rPr>
        <w:t>部门</w:t>
      </w:r>
      <w:r>
        <w:rPr>
          <w:rFonts w:ascii="仿宋_GB2312" w:hAnsi="仿宋_GB2312" w:eastAsia="仿宋_GB2312" w:cs="仿宋_GB2312"/>
          <w:color w:val="auto"/>
          <w:sz w:val="32"/>
          <w:szCs w:val="32"/>
        </w:rPr>
        <w:t>)</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落实普法责任制。落实“谁执法谁普法”普法责任制，完善国家机关普法责任清单制，推行“谁执法谁普法”责任单位年度履职报告评议制度。推行“谁管理谁普法”“谁服务谁普法”，促进和引导各社会团体、企事业单位以及其他组织加强本系统本行业本单位人员学法用法。落实媒体公益普法责任制，广播电视、互联网等大众传媒</w:t>
      </w:r>
      <w:r>
        <w:rPr>
          <w:rFonts w:hint="eastAsia" w:ascii="仿宋_GB2312" w:hAnsi="仿宋_GB2312" w:eastAsia="仿宋_GB2312" w:cs="仿宋_GB2312"/>
          <w:color w:val="auto"/>
          <w:sz w:val="32"/>
          <w:szCs w:val="32"/>
          <w:shd w:val="clear" w:color="auto" w:fill="FFFFFF"/>
        </w:rPr>
        <w:t>承担公益普法责任，</w:t>
      </w:r>
      <w:r>
        <w:rPr>
          <w:rFonts w:hint="eastAsia" w:ascii="仿宋_GB2312" w:hAnsi="仿宋_GB2312" w:eastAsia="仿宋_GB2312" w:cs="仿宋_GB2312"/>
          <w:color w:val="auto"/>
          <w:sz w:val="32"/>
          <w:szCs w:val="32"/>
        </w:rPr>
        <w:t>形成融“网、端、微、屏”于一体的全媒体法治传播体系。将普法融入执法、司法、法律服务全过程，落实法官、检察官、行政复议人员、行政执法人员、律师等以案释法制度，司法、行政执法部门适时面向社会公众发布典型案例，加强对新出台法律法规规章的宣传教育。健全政府购买、社会投入、公益赞助相结合的社会普法机制，推动普法工作社会化、项目化。发展和规范公益性普法组织，建立“八五”普法宣讲团和志愿者队伍，形成人民群众广泛参与普法活动的实践格局。</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牵头单位：</w:t>
      </w:r>
      <w:r>
        <w:rPr>
          <w:rFonts w:hint="eastAsia" w:ascii="仿宋_GB2312" w:hAnsi="仿宋_GB2312" w:eastAsia="仿宋_GB2312" w:cs="仿宋_GB2312"/>
          <w:color w:val="auto"/>
          <w:sz w:val="32"/>
          <w:szCs w:val="32"/>
        </w:rPr>
        <w:t>区司法局，责任单位：区法院、区检察院、区人大常委会办公室、区委宣传部、区民政局、区文化旅游和体育局、</w:t>
      </w:r>
      <w:r>
        <w:rPr>
          <w:rFonts w:hint="eastAsia" w:ascii="仿宋_GB2312" w:hAnsi="仿宋_GB2312" w:eastAsia="仿宋_GB2312" w:cs="仿宋_GB2312"/>
          <w:color w:val="auto"/>
          <w:sz w:val="32"/>
          <w:szCs w:val="32"/>
          <w:lang w:eastAsia="zh-CN"/>
        </w:rPr>
        <w:t>区级其他相关部门</w:t>
      </w:r>
      <w:r>
        <w:rPr>
          <w:rFonts w:ascii="仿宋_GB2312" w:hAnsi="仿宋_GB2312" w:eastAsia="仿宋_GB2312" w:cs="仿宋_GB2312"/>
          <w:color w:val="auto"/>
          <w:sz w:val="32"/>
          <w:szCs w:val="32"/>
        </w:rPr>
        <w:t>)</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加强法治文化建设。探索建立政府购买、市场运作、企业运营、社会资助、群众受惠的法治文化建设新机制。把法治文化阵地建设纳入国土空间规划，结合产业发展、园区建设等实际，建设一批不同类型、不同特色、不同规模的法治文化阵地。鼓励民间艺术团体和艺人创编群众喜闻乐见的法治小品、法治歌曲、法治漫画等法治文艺作品，广泛开展法治微视频微电影大赛等群众性法治文化活动，常态化组织开展“法治文艺演出进基层”“法治文化基层行”“法治文艺下乡”等活动，推动法治文化深入人心。</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牵头单位：</w:t>
      </w:r>
      <w:r>
        <w:rPr>
          <w:rFonts w:hint="eastAsia" w:ascii="仿宋_GB2312" w:hAnsi="仿宋_GB2312" w:eastAsia="仿宋_GB2312" w:cs="仿宋_GB2312"/>
          <w:color w:val="auto"/>
          <w:sz w:val="32"/>
          <w:szCs w:val="32"/>
        </w:rPr>
        <w:t>区委宣传部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责任单位：区司法局、区自然资源分局、区文化旅游和体育局，区级</w:t>
      </w:r>
      <w:r>
        <w:rPr>
          <w:rFonts w:hint="eastAsia" w:ascii="仿宋_GB2312" w:hAnsi="仿宋_GB2312" w:eastAsia="仿宋_GB2312" w:cs="仿宋_GB2312"/>
          <w:color w:val="auto"/>
          <w:sz w:val="32"/>
          <w:szCs w:val="32"/>
          <w:lang w:eastAsia="zh-CN"/>
        </w:rPr>
        <w:t>其他相关</w:t>
      </w:r>
      <w:r>
        <w:rPr>
          <w:rFonts w:hint="eastAsia" w:ascii="仿宋_GB2312" w:hAnsi="仿宋_GB2312" w:eastAsia="仿宋_GB2312" w:cs="仿宋_GB2312"/>
          <w:color w:val="auto"/>
          <w:sz w:val="32"/>
          <w:szCs w:val="32"/>
        </w:rPr>
        <w:t>部门</w:t>
      </w:r>
      <w:r>
        <w:rPr>
          <w:rFonts w:ascii="仿宋_GB2312" w:hAnsi="仿宋_GB2312" w:eastAsia="仿宋_GB2312" w:cs="仿宋_GB2312"/>
          <w:color w:val="auto"/>
          <w:sz w:val="32"/>
          <w:szCs w:val="32"/>
        </w:rPr>
        <w:t>)</w:t>
      </w:r>
    </w:p>
    <w:p>
      <w:pPr>
        <w:keepNext w:val="0"/>
        <w:keepLines w:val="0"/>
        <w:pageBreakBefore w:val="0"/>
        <w:shd w:val="clear"/>
        <w:kinsoku/>
        <w:wordWrap/>
        <w:overflowPunct/>
        <w:topLinePunct w:val="0"/>
        <w:bidi w:val="0"/>
        <w:spacing w:beforeLines="0" w:afterLines="0" w:line="560" w:lineRule="exact"/>
        <w:ind w:firstLine="640" w:firstLineChars="200"/>
        <w:rPr>
          <w:rFonts w:ascii="楷体" w:hAnsi="楷体" w:eastAsia="楷体" w:cs="楷体"/>
          <w:color w:val="auto"/>
          <w:sz w:val="32"/>
          <w:szCs w:val="32"/>
        </w:rPr>
      </w:pPr>
      <w:r>
        <w:rPr>
          <w:rFonts w:ascii="楷体" w:hAnsi="楷体" w:eastAsia="楷体" w:cs="楷体"/>
          <w:color w:val="auto"/>
          <w:sz w:val="32"/>
          <w:szCs w:val="32"/>
        </w:rPr>
        <w:t>(</w:t>
      </w: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健全社会领域制度规范</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不断完善社会规范体系。大力提升公民法治素养，倡导把喜事新办、丧事简办、弘扬孝道、尊老爱幼、扶残助残、和谐敦睦等内容纳入居民公约、村规民约、学生守则，不断完善居民公约、村规民约、行业规章、社会组织章程等社会规范，发挥其在社会治理中的积极作用。健全村（社区）法律顾问参与社会规范制订机制，鼓励和引导社会组织积极参与社会规范制订。加强对社会规范制订和实施情况的监督，推广自律性社会规范示范文本，使社会规范制订和实施合法合规。</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牵头单位：</w:t>
      </w:r>
      <w:r>
        <w:rPr>
          <w:rFonts w:hint="eastAsia" w:ascii="仿宋_GB2312" w:hAnsi="仿宋_GB2312" w:eastAsia="仿宋_GB2312" w:cs="仿宋_GB2312"/>
          <w:color w:val="auto"/>
          <w:sz w:val="32"/>
          <w:szCs w:val="32"/>
        </w:rPr>
        <w:t>区民政局，责任单位：区委宣传部、区委政法委、区司法局、区农业农村局、区教育局、</w:t>
      </w:r>
      <w:r>
        <w:rPr>
          <w:rFonts w:hint="eastAsia" w:ascii="仿宋_GB2312" w:hAnsi="仿宋_GB2312" w:eastAsia="仿宋_GB2312" w:cs="仿宋_GB2312"/>
          <w:color w:val="auto"/>
          <w:sz w:val="32"/>
          <w:szCs w:val="32"/>
          <w:lang w:eastAsia="zh-CN"/>
        </w:rPr>
        <w:t>区级其他相关部门</w:t>
      </w:r>
      <w:r>
        <w:rPr>
          <w:rFonts w:ascii="仿宋_GB2312" w:hAnsi="仿宋_GB2312" w:eastAsia="仿宋_GB2312" w:cs="仿宋_GB2312"/>
          <w:color w:val="auto"/>
          <w:sz w:val="32"/>
          <w:szCs w:val="32"/>
        </w:rPr>
        <w:t>)</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加强道德规范建设。大力弘扬中华传统美德，培育社会公德、职业道德、家庭美德、个人品德，把法治教育融入文明城市、文明单位、文明家庭创建，评树道德模范。综合运用执法、司法、普法等举措，完善激励机制，褒奖善行义举，形成正向效应。深入开展道德领域突出问题专项教育治理，依法惩处公德失范、诚信缺失等违法行为。大力倡导健康文明生活方式，增强公民公共卫生安全和疫病防治意识。</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牵头单位：</w:t>
      </w:r>
      <w:r>
        <w:rPr>
          <w:rFonts w:hint="eastAsia" w:ascii="仿宋_GB2312" w:hAnsi="仿宋_GB2312" w:eastAsia="仿宋_GB2312" w:cs="仿宋_GB2312"/>
          <w:color w:val="auto"/>
          <w:sz w:val="32"/>
          <w:szCs w:val="32"/>
        </w:rPr>
        <w:t>区委宣传部，责任单位：区法院、区检察院、区公安分局、区民政局、区司法局、区卫生健康局、区市场监管局、区红十字会、</w:t>
      </w:r>
      <w:r>
        <w:rPr>
          <w:rFonts w:hint="eastAsia" w:ascii="仿宋_GB2312" w:hAnsi="仿宋_GB2312" w:eastAsia="仿宋_GB2312" w:cs="仿宋_GB2312"/>
          <w:color w:val="auto"/>
          <w:sz w:val="32"/>
          <w:szCs w:val="32"/>
          <w:lang w:eastAsia="zh-CN"/>
        </w:rPr>
        <w:t>区级其他相关部门</w:t>
      </w:r>
      <w:r>
        <w:rPr>
          <w:rFonts w:ascii="仿宋_GB2312" w:hAnsi="仿宋_GB2312" w:eastAsia="仿宋_GB2312" w:cs="仿宋_GB2312"/>
          <w:color w:val="auto"/>
          <w:sz w:val="32"/>
          <w:szCs w:val="32"/>
        </w:rPr>
        <w:t>)</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t>促进社会诚信建设。加强社会信用体系建设，构建上下协同、跨域联动的信用联合奖惩机制，提高全社会诚信意识和信用水平。充分发挥政府在社会信用体系建设中的表率作用，进一步提升政府公信力，加快推进政务诚信建设。加强行业协会商会诚信建设，健全公民和组织守法信用记录，落实统一社会信用代码制度，按照政务服务一体化要求实现互联互通和信用信息共享。增强企业社会责任和诚信意识，引导企业建立完善重大决策法律论证和法律审核制度，开展诚信守法企业示范创建，推动企业合规建设。依法加强对守信行为的褒扬激励和对失信行为的约束惩戒。</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牵头单位：</w:t>
      </w:r>
      <w:r>
        <w:rPr>
          <w:rFonts w:hint="eastAsia" w:ascii="仿宋_GB2312" w:hAnsi="仿宋_GB2312" w:eastAsia="仿宋_GB2312" w:cs="仿宋_GB2312"/>
          <w:color w:val="auto"/>
          <w:sz w:val="32"/>
          <w:szCs w:val="32"/>
        </w:rPr>
        <w:t>区发展改革局，责任单位：区法院、区检察院、区政府办、区委宣传部、区民政局、区司法局、区财政局、区商务和经合局、区市场监管局、区国资事务中心、区工商联、各行业主管部门</w:t>
      </w:r>
      <w:r>
        <w:rPr>
          <w:rFonts w:ascii="仿宋_GB2312" w:hAnsi="仿宋_GB2312" w:eastAsia="仿宋_GB2312" w:cs="仿宋_GB2312"/>
          <w:color w:val="auto"/>
          <w:sz w:val="32"/>
          <w:szCs w:val="32"/>
        </w:rPr>
        <w:t>)</w:t>
      </w:r>
    </w:p>
    <w:p>
      <w:pPr>
        <w:keepNext w:val="0"/>
        <w:keepLines w:val="0"/>
        <w:pageBreakBefore w:val="0"/>
        <w:shd w:val="clear"/>
        <w:kinsoku/>
        <w:wordWrap/>
        <w:overflowPunct/>
        <w:topLinePunct w:val="0"/>
        <w:bidi w:val="0"/>
        <w:spacing w:beforeLines="0" w:afterLines="0" w:line="560" w:lineRule="exact"/>
        <w:ind w:firstLine="640" w:firstLineChars="200"/>
        <w:rPr>
          <w:rFonts w:ascii="楷体" w:hAnsi="楷体" w:eastAsia="楷体" w:cs="楷体"/>
          <w:color w:val="auto"/>
          <w:sz w:val="32"/>
          <w:szCs w:val="32"/>
        </w:rPr>
      </w:pPr>
      <w:r>
        <w:rPr>
          <w:rFonts w:ascii="楷体" w:hAnsi="楷体" w:eastAsia="楷体" w:cs="楷体"/>
          <w:color w:val="auto"/>
          <w:sz w:val="32"/>
          <w:szCs w:val="32"/>
        </w:rPr>
        <w:t>(</w:t>
      </w:r>
      <w:r>
        <w:rPr>
          <w:rFonts w:hint="eastAsia" w:ascii="楷体" w:hAnsi="楷体" w:eastAsia="楷体" w:cs="楷体"/>
          <w:color w:val="auto"/>
          <w:sz w:val="32"/>
          <w:szCs w:val="32"/>
        </w:rPr>
        <w:t>三</w:t>
      </w:r>
      <w:r>
        <w:rPr>
          <w:rFonts w:ascii="楷体" w:hAnsi="楷体" w:eastAsia="楷体" w:cs="楷体"/>
          <w:color w:val="auto"/>
          <w:sz w:val="32"/>
          <w:szCs w:val="32"/>
        </w:rPr>
        <w:t>)</w:t>
      </w:r>
      <w:r>
        <w:rPr>
          <w:rFonts w:hint="eastAsia" w:ascii="楷体" w:hAnsi="楷体" w:eastAsia="楷体" w:cs="楷体"/>
          <w:color w:val="auto"/>
          <w:sz w:val="32"/>
          <w:szCs w:val="32"/>
        </w:rPr>
        <w:t>加强权利保护</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rPr>
        <w:t>健全公众参与重大公共决策机制。制定与群众生产生活和现实利益密切相关的经济社会政策和出台重大改革措施时，按规定将法律顾问、公职律师、公司律师参与决策过程、提出法律意见作为依法决策的重要程序，通过听证座谈、实地走访等多种方式广泛听取群众意见。制定涉企政策时，以适当方式听取相关企业、职工、行业协会商会意见建议。完善涉企政策调整程序，为企业留出必要的适应调整期。</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牵头单位：</w:t>
      </w:r>
      <w:r>
        <w:rPr>
          <w:rFonts w:hint="eastAsia" w:ascii="仿宋_GB2312" w:hAnsi="仿宋_GB2312" w:eastAsia="仿宋_GB2312" w:cs="仿宋_GB2312"/>
          <w:color w:val="auto"/>
          <w:sz w:val="32"/>
          <w:szCs w:val="32"/>
        </w:rPr>
        <w:t>区政府办公室，责任单位：区人大常委会办公室、区发展改革局、区司法局、区市场监管局、区总工会、区工商联、</w:t>
      </w:r>
      <w:r>
        <w:rPr>
          <w:rFonts w:hint="eastAsia" w:ascii="仿宋_GB2312" w:hAnsi="仿宋_GB2312" w:eastAsia="仿宋_GB2312" w:cs="仿宋_GB2312"/>
          <w:color w:val="auto"/>
          <w:sz w:val="32"/>
          <w:szCs w:val="32"/>
          <w:lang w:eastAsia="zh-CN"/>
        </w:rPr>
        <w:t>区级其他相关部门</w:t>
      </w:r>
      <w:r>
        <w:rPr>
          <w:rFonts w:ascii="仿宋_GB2312" w:hAnsi="仿宋_GB2312" w:eastAsia="仿宋_GB2312" w:cs="仿宋_GB2312"/>
          <w:color w:val="auto"/>
          <w:sz w:val="32"/>
          <w:szCs w:val="32"/>
        </w:rPr>
        <w:t>)</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rPr>
        <w:t>保障行政执法中当事人合法权益。持续推进综合行政执法改革，全面落实行政执法“三个办法”，加大食品药品、公共卫生、生态环境、安全生产、劳动保障、城市管理、交通运输、教育培训等关系群众切身利益的重点领域执法力度，提升执法效果。全面落实知识产权行政执法统一调度、跨区域执法协作、知识产权行政保护案例指导等机制，将产权保护列为专项治理、信用示范、城市创建、营商环境建设的重要内容。完善社会监督制度，依托全省行政执法信息公示平台，依法公开执法信息，落实信息披露和人民群众监督评价机制。</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牵头单位：</w:t>
      </w:r>
      <w:r>
        <w:rPr>
          <w:rFonts w:hint="eastAsia" w:ascii="仿宋_GB2312" w:hAnsi="仿宋_GB2312" w:eastAsia="仿宋_GB2312" w:cs="仿宋_GB2312"/>
          <w:color w:val="auto"/>
          <w:sz w:val="32"/>
          <w:szCs w:val="32"/>
        </w:rPr>
        <w:t>区司法局，责任单位：区委编办、区公安分局、区发改局、区教育局、区人社局、区生态环境局、区交通运输局、区卫健局、区应急管理局、区市场监管局、区综合执法局、</w:t>
      </w:r>
      <w:r>
        <w:rPr>
          <w:rFonts w:hint="eastAsia" w:ascii="仿宋_GB2312" w:hAnsi="仿宋_GB2312" w:eastAsia="仿宋_GB2312" w:cs="仿宋_GB2312"/>
          <w:color w:val="auto"/>
          <w:sz w:val="32"/>
          <w:szCs w:val="32"/>
          <w:lang w:eastAsia="zh-CN"/>
        </w:rPr>
        <w:t>区级其他相关部门</w:t>
      </w:r>
      <w:r>
        <w:rPr>
          <w:rFonts w:ascii="仿宋_GB2312" w:hAnsi="仿宋_GB2312" w:eastAsia="仿宋_GB2312" w:cs="仿宋_GB2312"/>
          <w:color w:val="auto"/>
          <w:sz w:val="32"/>
          <w:szCs w:val="32"/>
        </w:rPr>
        <w:t>)</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t>加强人权司法保障。强化诉讼参与人诉讼权利制度保障。落实民事公益诉讼、行政公益诉讼制度。依法保障律师执业权利。加强对刑讯逼供、暴力取证等非法取证行为的源头预防，严格执行非法证据排除规则。强化审判监督，完善错案责任追究制。完善综合治理执行难工作格局，加大对拒不执行生效判决、裁定等违法犯罪行为打击力度，依法保障胜诉当事人及时实现合法权益。加强检察机关对民事、行政、刑事诉讼活动及执行的法律监督，维护司法公正。落实人民陪审员、人民监督员选任管理制度，按照有关规定拓宽人民监督员监督案件范围，完善监督程序。完善“互联网</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诉讼”服务体系，推进在线立案、在线办案、在线阅卷、在线庭审等网上诉讼服务。</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牵头单位：</w:t>
      </w:r>
      <w:r>
        <w:rPr>
          <w:rFonts w:hint="eastAsia" w:ascii="仿宋_GB2312" w:hAnsi="仿宋_GB2312" w:eastAsia="仿宋_GB2312" w:cs="仿宋_GB2312"/>
          <w:color w:val="auto"/>
          <w:sz w:val="32"/>
          <w:szCs w:val="32"/>
        </w:rPr>
        <w:t>区委政法委，责任单位：区法院、区检察院、区公安分局、区司法局、区市场监管局、</w:t>
      </w:r>
      <w:r>
        <w:rPr>
          <w:rFonts w:hint="eastAsia" w:ascii="仿宋_GB2312" w:hAnsi="仿宋_GB2312" w:eastAsia="仿宋_GB2312" w:cs="仿宋_GB2312"/>
          <w:color w:val="auto"/>
          <w:sz w:val="32"/>
          <w:szCs w:val="32"/>
          <w:lang w:eastAsia="zh-CN"/>
        </w:rPr>
        <w:t>区级其他相关部门</w:t>
      </w:r>
      <w:r>
        <w:rPr>
          <w:rFonts w:ascii="仿宋_GB2312" w:hAnsi="仿宋_GB2312" w:eastAsia="仿宋_GB2312" w:cs="仿宋_GB2312"/>
          <w:color w:val="auto"/>
          <w:sz w:val="32"/>
          <w:szCs w:val="32"/>
        </w:rPr>
        <w:t>)</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rPr>
        <w:t>为群众提供优质便捷高效的公共法律服务。持续推进公共法律服务区、镇、村“三级网络”建设，到</w:t>
      </w:r>
      <w:r>
        <w:rPr>
          <w:rFonts w:ascii="仿宋_GB2312" w:hAnsi="仿宋_GB2312" w:eastAsia="仿宋_GB2312" w:cs="仿宋_GB2312"/>
          <w:color w:val="auto"/>
          <w:sz w:val="32"/>
          <w:szCs w:val="32"/>
        </w:rPr>
        <w:t>2022</w:t>
      </w:r>
      <w:r>
        <w:rPr>
          <w:rFonts w:hint="eastAsia" w:ascii="仿宋_GB2312" w:hAnsi="仿宋_GB2312" w:eastAsia="仿宋_GB2312" w:cs="仿宋_GB2312"/>
          <w:color w:val="auto"/>
          <w:sz w:val="32"/>
          <w:szCs w:val="32"/>
        </w:rPr>
        <w:t>年，基本形成覆盖城乡、便捷高效、均等普惠、智能精准的现代公共法律服务体系。推动镇设立法律顾问和公职律师，完善“一村</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社区</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一法律顾问”制度。大力拓展公证业务，推行“最多跑一次”公证服务。落实法律援助政府责任，将法律援助经费列入同级财政预算予以保障，制定法律援助经费动态调整办法，加强刑事法律援助工作。积极探索健全奖励、补贴、租金优惠等激励机制，吸引法律人才在本区申请执业，加强法律服务市场监管，完善行政管理与行业自律相结合的管理体制。健全司法救助体系，优化司法救助程序，加强司法救助与社会救助的衔接配合，拓宽救助资金来源。</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牵头单位：</w:t>
      </w:r>
      <w:r>
        <w:rPr>
          <w:rFonts w:hint="eastAsia" w:ascii="仿宋_GB2312" w:hAnsi="仿宋_GB2312" w:eastAsia="仿宋_GB2312" w:cs="仿宋_GB2312"/>
          <w:color w:val="auto"/>
          <w:sz w:val="32"/>
          <w:szCs w:val="32"/>
        </w:rPr>
        <w:t>区委政法委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责任单位：区司法局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区法院、区检察院、区财政局、</w:t>
      </w:r>
      <w:r>
        <w:rPr>
          <w:rFonts w:hint="eastAsia" w:ascii="仿宋_GB2312" w:hAnsi="仿宋_GB2312" w:eastAsia="仿宋_GB2312" w:cs="仿宋_GB2312"/>
          <w:color w:val="auto"/>
          <w:sz w:val="32"/>
          <w:szCs w:val="32"/>
          <w:lang w:eastAsia="zh-CN"/>
        </w:rPr>
        <w:t>区级其他相关部门</w:t>
      </w:r>
      <w:r>
        <w:rPr>
          <w:rFonts w:ascii="仿宋_GB2312" w:hAnsi="仿宋_GB2312" w:eastAsia="仿宋_GB2312" w:cs="仿宋_GB2312"/>
          <w:color w:val="auto"/>
          <w:sz w:val="32"/>
          <w:szCs w:val="32"/>
        </w:rPr>
        <w:t>)</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rPr>
        <w:t>引导社会主体履行法定义务承担社会责任。强化规则意识，倡导契约精神，维护公序良俗，引导公民依法行使权利、理性表达诉求，自觉履行法定义务、社会责任、家庭责任。引导各类市场主体履行法定义务、承担社会责任。支持和引导社会资源向积极履行社会责任的社会组织倾斜，促进社会健康发展。优化法治化营商环境，加强政策引领，推动企业与社会建立良好的互助互信关系。</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牵头单位：</w:t>
      </w:r>
      <w:r>
        <w:rPr>
          <w:rFonts w:hint="eastAsia" w:ascii="仿宋_GB2312" w:hAnsi="仿宋_GB2312" w:eastAsia="仿宋_GB2312" w:cs="仿宋_GB2312"/>
          <w:color w:val="auto"/>
          <w:sz w:val="32"/>
          <w:szCs w:val="32"/>
        </w:rPr>
        <w:t>区委宣传部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责任单位：区民政局、区财政局、区国资事务中心、区市场监管局、区工商联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区级</w:t>
      </w:r>
      <w:r>
        <w:rPr>
          <w:rFonts w:hint="eastAsia" w:ascii="仿宋_GB2312" w:hAnsi="仿宋_GB2312" w:eastAsia="仿宋_GB2312" w:cs="仿宋_GB2312"/>
          <w:color w:val="auto"/>
          <w:sz w:val="32"/>
          <w:szCs w:val="32"/>
          <w:lang w:eastAsia="zh-CN"/>
        </w:rPr>
        <w:t>其他相关</w:t>
      </w:r>
      <w:r>
        <w:rPr>
          <w:rFonts w:hint="eastAsia" w:ascii="仿宋_GB2312" w:hAnsi="仿宋_GB2312" w:eastAsia="仿宋_GB2312" w:cs="仿宋_GB2312"/>
          <w:color w:val="auto"/>
          <w:sz w:val="32"/>
          <w:szCs w:val="32"/>
        </w:rPr>
        <w:t>部门</w:t>
      </w:r>
      <w:r>
        <w:rPr>
          <w:rFonts w:ascii="仿宋_GB2312" w:hAnsi="仿宋_GB2312" w:eastAsia="仿宋_GB2312" w:cs="仿宋_GB2312"/>
          <w:color w:val="auto"/>
          <w:sz w:val="32"/>
          <w:szCs w:val="32"/>
        </w:rPr>
        <w:t>)</w:t>
      </w:r>
    </w:p>
    <w:p>
      <w:pPr>
        <w:keepNext w:val="0"/>
        <w:keepLines w:val="0"/>
        <w:pageBreakBefore w:val="0"/>
        <w:shd w:val="clear"/>
        <w:kinsoku/>
        <w:wordWrap/>
        <w:overflowPunct/>
        <w:topLinePunct w:val="0"/>
        <w:bidi w:val="0"/>
        <w:spacing w:beforeLines="0" w:afterLines="0" w:line="560" w:lineRule="exact"/>
        <w:ind w:firstLine="640" w:firstLineChars="200"/>
        <w:rPr>
          <w:rFonts w:ascii="楷体" w:hAnsi="楷体" w:eastAsia="楷体" w:cs="楷体"/>
          <w:color w:val="auto"/>
          <w:sz w:val="32"/>
          <w:szCs w:val="32"/>
        </w:rPr>
      </w:pPr>
      <w:r>
        <w:rPr>
          <w:rFonts w:ascii="楷体" w:hAnsi="楷体" w:eastAsia="楷体" w:cs="楷体"/>
          <w:color w:val="auto"/>
          <w:sz w:val="32"/>
          <w:szCs w:val="32"/>
        </w:rPr>
        <w:t>(</w:t>
      </w:r>
      <w:r>
        <w:rPr>
          <w:rFonts w:hint="eastAsia" w:ascii="楷体" w:hAnsi="楷体" w:eastAsia="楷体" w:cs="楷体"/>
          <w:color w:val="auto"/>
          <w:sz w:val="32"/>
          <w:szCs w:val="32"/>
        </w:rPr>
        <w:t>四</w:t>
      </w:r>
      <w:r>
        <w:rPr>
          <w:rFonts w:ascii="楷体" w:hAnsi="楷体" w:eastAsia="楷体" w:cs="楷体"/>
          <w:color w:val="auto"/>
          <w:sz w:val="32"/>
          <w:szCs w:val="32"/>
        </w:rPr>
        <w:t>)</w:t>
      </w:r>
      <w:r>
        <w:rPr>
          <w:rFonts w:hint="eastAsia" w:ascii="楷体" w:hAnsi="楷体" w:eastAsia="楷体" w:cs="楷体"/>
          <w:color w:val="auto"/>
          <w:sz w:val="32"/>
          <w:szCs w:val="32"/>
        </w:rPr>
        <w:t>推进社会治理法治化</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rPr>
        <w:t>完善社会治理体制机制。</w:t>
      </w:r>
      <w:r>
        <w:rPr>
          <w:rFonts w:hint="eastAsia" w:ascii="仿宋_GB2312" w:hAnsi="仿宋_GB2312" w:eastAsia="仿宋_GB2312" w:cs="仿宋_GB2312"/>
          <w:color w:val="auto"/>
          <w:sz w:val="32"/>
          <w:szCs w:val="32"/>
          <w:shd w:val="clear" w:color="auto" w:fill="FFFFFF"/>
        </w:rPr>
        <w:t>健全党组织领导的自治、法治、德治、智治相融合的“一核四治”城乡基层治理体系，</w:t>
      </w:r>
      <w:r>
        <w:rPr>
          <w:rFonts w:hint="eastAsia" w:ascii="仿宋_GB2312" w:hAnsi="仿宋_GB2312" w:eastAsia="仿宋_GB2312" w:cs="仿宋_GB2312"/>
          <w:color w:val="auto"/>
          <w:sz w:val="32"/>
          <w:szCs w:val="32"/>
        </w:rPr>
        <w:t>健全党委发挥总揽全局、协调各方领导作用的机制，引领和推动社会力量参与社会治理，进一步完善和规范人民群众在社会治理方面的监督权、知情权、建议权。健全社会治理领域权力清单制度和责任追究制度，形成权责明晰、奖惩分明、分工负责、齐抓共管的社会治理责任链条。</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牵头单位：</w:t>
      </w:r>
      <w:r>
        <w:rPr>
          <w:rFonts w:hint="eastAsia" w:ascii="仿宋_GB2312" w:hAnsi="仿宋_GB2312" w:eastAsia="仿宋_GB2312" w:cs="仿宋_GB2312"/>
          <w:color w:val="auto"/>
          <w:sz w:val="32"/>
          <w:szCs w:val="32"/>
        </w:rPr>
        <w:t>区委组织部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责任单位：区委政法委、区司法局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区发展改革局、区农业农村局、</w:t>
      </w:r>
      <w:r>
        <w:rPr>
          <w:rFonts w:hint="eastAsia" w:ascii="仿宋_GB2312" w:hAnsi="仿宋_GB2312" w:eastAsia="仿宋_GB2312" w:cs="仿宋_GB2312"/>
          <w:color w:val="auto"/>
          <w:sz w:val="32"/>
          <w:szCs w:val="32"/>
          <w:lang w:eastAsia="zh-CN"/>
        </w:rPr>
        <w:t>区级其他相关部门</w:t>
      </w:r>
      <w:r>
        <w:rPr>
          <w:rFonts w:ascii="仿宋_GB2312" w:hAnsi="仿宋_GB2312" w:eastAsia="仿宋_GB2312" w:cs="仿宋_GB2312"/>
          <w:color w:val="auto"/>
          <w:sz w:val="32"/>
          <w:szCs w:val="32"/>
        </w:rPr>
        <w:t xml:space="preserve">) </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14.</w:t>
      </w:r>
      <w:r>
        <w:rPr>
          <w:rFonts w:hint="eastAsia" w:ascii="仿宋_GB2312" w:hAnsi="仿宋_GB2312" w:eastAsia="仿宋_GB2312" w:cs="仿宋_GB2312"/>
          <w:color w:val="auto"/>
          <w:sz w:val="32"/>
          <w:szCs w:val="32"/>
        </w:rPr>
        <w:t>推进多层次多领域依法治理。依法加快区级层面实名登记、社会信用管理、产权保护等配套制度建设，提高公共服务水平。制定区职能部门、镇政府在村</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社区</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治理方面的权责清单。落实城乡社区工作事项准入制度和动态管理机制，加强基层群众性自治组织法治化规范化建设，加强镇社会工作服务站点建设。健全村级议事协商制度，充分利用“有事来协商”“说事服务站”等载体，鼓励农村开展村民说事、民情恳谈等活动，探索符合昭化实情的村级议事协商机制。实施阳光村</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居</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务行动，完善党务、村</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居</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务、财务“三公开”制度，探索建立村</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居</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务公开指导目录。加强村</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居</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务监督委员会建设，建立完善多方监督体系。实施村</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社区</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“法律明白人”培养工程，建立“法律顾问</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村（社区）干部</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法律明白人</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人民调解员</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综治网格员”的基层</w:t>
      </w:r>
      <w:r>
        <w:rPr>
          <w:rFonts w:hint="eastAsia" w:ascii="仿宋_GB2312" w:hAnsi="仿宋_GB2312" w:eastAsia="仿宋_GB2312" w:cs="仿宋_GB2312"/>
          <w:color w:val="auto"/>
          <w:sz w:val="32"/>
          <w:szCs w:val="32"/>
          <w:shd w:val="clear" w:color="auto" w:fill="FFFFFF"/>
        </w:rPr>
        <w:t>依法</w:t>
      </w:r>
      <w:r>
        <w:rPr>
          <w:rFonts w:hint="eastAsia" w:ascii="仿宋_GB2312" w:hAnsi="仿宋_GB2312" w:eastAsia="仿宋_GB2312" w:cs="仿宋_GB2312"/>
          <w:color w:val="auto"/>
          <w:sz w:val="32"/>
          <w:szCs w:val="32"/>
        </w:rPr>
        <w:t>治理骨干体系。规范住宅小区业主委员会建设，依法保障业主参与权、知情权、监督权。建立健全学校科学决策和民主管理、校内安全管理及突发事件应急处置等机制，构建系统完备的学校规章制度体系。依法加强校外培训机构治理。完善行业法律风险防控体系。落实重要事项合法性审查和风险评估前置制度。鼓励行业协会商会积极参与制定行业规划和地方性政策。依法妥善处置涉及民族、宗教等因素的社会问题。</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牵头单位：</w:t>
      </w:r>
      <w:r>
        <w:rPr>
          <w:rFonts w:hint="eastAsia" w:ascii="仿宋_GB2312" w:hAnsi="仿宋_GB2312" w:eastAsia="仿宋_GB2312" w:cs="仿宋_GB2312"/>
          <w:color w:val="auto"/>
          <w:sz w:val="32"/>
          <w:szCs w:val="32"/>
        </w:rPr>
        <w:t>区委组织部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责任单位：区委统战部、区委政法委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区教育局、区公安分局、区民政局、区司法局、区农业农村局、区国安办、</w:t>
      </w:r>
      <w:r>
        <w:rPr>
          <w:rFonts w:hint="eastAsia" w:ascii="仿宋_GB2312" w:hAnsi="仿宋_GB2312" w:eastAsia="仿宋_GB2312" w:cs="仿宋_GB2312"/>
          <w:color w:val="auto"/>
          <w:sz w:val="32"/>
          <w:szCs w:val="32"/>
          <w:lang w:eastAsia="zh-CN"/>
        </w:rPr>
        <w:t>区级其他相关部门</w:t>
      </w:r>
      <w:r>
        <w:rPr>
          <w:rFonts w:ascii="仿宋_GB2312" w:hAnsi="仿宋_GB2312" w:eastAsia="仿宋_GB2312" w:cs="仿宋_GB2312"/>
          <w:color w:val="auto"/>
          <w:sz w:val="32"/>
          <w:szCs w:val="32"/>
        </w:rPr>
        <w:t>)</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rPr>
        <w:t>发挥人民团体和社会组织的作用。完善党建带群建制度机制，探索把适合群团组织承担的社会管理服务职能按法定程序转由群团组织行使，拓宽群团组织在维护公共利益、救助困难群众、预防违法犯罪等方面发挥作用的渠道。积极支持行业协会商会类、科技类、公益慈善类、城乡社区服务类社会组织优先发展，培育法律服务、法治宣传、矛盾纠纷调处等法治类社会组织。支持和发展志愿服务组织，发展壮大志愿服务队伍，引导志愿服务力量参与法治社会建设。逐步扩大政府向社会组织购买公共服务的范围和规模。</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牵头单位：</w:t>
      </w:r>
      <w:r>
        <w:rPr>
          <w:rFonts w:hint="eastAsia" w:ascii="仿宋_GB2312" w:hAnsi="仿宋_GB2312" w:eastAsia="仿宋_GB2312" w:cs="仿宋_GB2312"/>
          <w:color w:val="auto"/>
          <w:sz w:val="32"/>
          <w:szCs w:val="32"/>
        </w:rPr>
        <w:t>区委组织部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责任单位：区委宣传部、区民政局、区财政局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各人民团体</w:t>
      </w:r>
      <w:r>
        <w:rPr>
          <w:rFonts w:ascii="仿宋_GB2312" w:hAnsi="仿宋_GB2312" w:eastAsia="仿宋_GB2312" w:cs="仿宋_GB2312"/>
          <w:color w:val="auto"/>
          <w:sz w:val="32"/>
          <w:szCs w:val="32"/>
        </w:rPr>
        <w:t>)</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16.</w:t>
      </w:r>
      <w:r>
        <w:rPr>
          <w:rFonts w:hint="eastAsia" w:ascii="仿宋_GB2312" w:hAnsi="仿宋_GB2312" w:eastAsia="仿宋_GB2312" w:cs="仿宋_GB2312"/>
          <w:color w:val="auto"/>
          <w:sz w:val="32"/>
          <w:szCs w:val="32"/>
        </w:rPr>
        <w:t>全面增强社会安全感。完善平安昭化建设统筹协调工作机制、责任分担机制，健全平安建设指标体系和考核标准。完善立体化信息化社会治安防控体系。常态化开展扫黑除恶斗争，依法严厉打击和惩治暴力恐怖、邪教、黄赌毒黑拐骗、高科技犯罪、网络犯罪等违法犯罪活动，遏制和预防严重犯罪行为的发生。依法强化危害食品药品安全、破坏生态环境、影响生产安全等重点问题治理。健全应急信息预警预报网络，规范信息收集发布，提升突发事件应急处置能力。探索创新城乡社区防灾减灾工作模式，加强突发事件应急法律法规的普法宣传教育。依托基层综治中心或城乡社区综合服务设施建立社会心理服务工作站点，加强对生活困难人员、精神障碍患者、留守儿童、妇女、老年人等群体的人文关怀、精神慰藉和心理健康服务。健全执法司法机关与社会心理服务机构的工作衔接，加强对执法司法所涉人群的心理疏导。健全政府、学校、社会、家庭“四位一体”关怀帮扶体系，严防校园欺凌事件发生。积极开展“青少年维权岗”创建活动，加强“青少年零犯罪零受害社区</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村</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”建设。加强专门教育工作，对未成年人不良行为及时进行分级预防、干预和矫治。</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牵头单位：</w:t>
      </w:r>
      <w:r>
        <w:rPr>
          <w:rFonts w:hint="eastAsia" w:ascii="仿宋_GB2312" w:hAnsi="仿宋_GB2312" w:eastAsia="仿宋_GB2312" w:cs="仿宋_GB2312"/>
          <w:color w:val="auto"/>
          <w:sz w:val="32"/>
          <w:szCs w:val="32"/>
        </w:rPr>
        <w:t>区委政法委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责任单位：区法院、区检察院、区教育局、区民政局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区公安分局、区司法局、区卫生健康局、区应急管理局、团区委、区妇联、区国安办、</w:t>
      </w:r>
      <w:r>
        <w:rPr>
          <w:rFonts w:hint="eastAsia" w:ascii="仿宋_GB2312" w:hAnsi="仿宋_GB2312" w:eastAsia="仿宋_GB2312" w:cs="仿宋_GB2312"/>
          <w:color w:val="auto"/>
          <w:sz w:val="32"/>
          <w:szCs w:val="32"/>
          <w:lang w:eastAsia="zh-CN"/>
        </w:rPr>
        <w:t>区级其他相关部门</w:t>
      </w:r>
      <w:r>
        <w:rPr>
          <w:rFonts w:ascii="仿宋_GB2312" w:hAnsi="仿宋_GB2312" w:eastAsia="仿宋_GB2312" w:cs="仿宋_GB2312"/>
          <w:color w:val="auto"/>
          <w:sz w:val="32"/>
          <w:szCs w:val="32"/>
        </w:rPr>
        <w:t>)</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17.</w:t>
      </w:r>
      <w:r>
        <w:rPr>
          <w:rFonts w:hint="eastAsia" w:ascii="仿宋_GB2312" w:hAnsi="仿宋_GB2312" w:eastAsia="仿宋_GB2312" w:cs="仿宋_GB2312"/>
          <w:color w:val="auto"/>
          <w:sz w:val="32"/>
          <w:szCs w:val="32"/>
        </w:rPr>
        <w:t>依法有效化解社会矛盾纠纷。坚持和发展新时代“枫桥经验”，加强对各类矛盾纠纷排查信息的动态分析预警，</w:t>
      </w:r>
      <w:r>
        <w:rPr>
          <w:rFonts w:hint="eastAsia" w:ascii="仿宋_GB2312" w:eastAsia="仿宋_GB2312"/>
          <w:color w:val="auto"/>
          <w:sz w:val="32"/>
          <w:szCs w:val="36"/>
        </w:rPr>
        <w:t>完善矛盾纠纷多元化解机制</w:t>
      </w:r>
      <w:r>
        <w:rPr>
          <w:rFonts w:hint="eastAsia" w:ascii="仿宋_GB2312" w:hAnsi="仿宋_GB2312" w:eastAsia="仿宋_GB2312" w:cs="仿宋_GB2312"/>
          <w:color w:val="auto"/>
          <w:sz w:val="32"/>
          <w:szCs w:val="32"/>
        </w:rPr>
        <w:t>，整合行政机关、法院、检察院、调解组织、仲裁机构、公证机构、律师事务所、基层法律服务所等纠纷化解力量，深入推进区解纷超市建设。大力推行阳光信访，完善线上受理、线下办理机制。落实诉讼与信访分离制度</w:t>
      </w:r>
      <w:r>
        <w:rPr>
          <w:rFonts w:hint="eastAsia" w:ascii="仿宋_GB2312" w:hAnsi="仿宋_GB2312" w:eastAsia="仿宋_GB2312" w:cs="仿宋_GB2312"/>
          <w:color w:val="auto"/>
          <w:sz w:val="32"/>
          <w:szCs w:val="32"/>
          <w:u w:val="none"/>
        </w:rPr>
        <w:t>，依法将诉讼类事项导入法律程序，规范信访类事项办理程序，</w:t>
      </w:r>
      <w:r>
        <w:rPr>
          <w:rFonts w:hint="eastAsia" w:ascii="仿宋_GB2312" w:hAnsi="方正仿宋_GBK" w:eastAsia="仿宋_GB2312" w:cs="方正仿宋_GBK"/>
          <w:color w:val="auto"/>
          <w:sz w:val="32"/>
          <w:szCs w:val="32"/>
          <w:u w:val="none"/>
        </w:rPr>
        <w:t>推动信访工作联席会议机制向镇延伸</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rPr>
        <w:t>继续深化人民调解与行政调解、司法调解联动机制，加强公调对接、检调对接、访调对接、诉非衔接工作。全面规范镇、村</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社区</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人民调解组织建设，推进专职人民调解员配备。大力发展企业人民调解组织、行业性专业性人民调解组织。建立健全律师调解制度和律师调解经费保障机制。拓宽仲裁服务渠道，加强农村土地承包经营权纠纷仲裁、劳动人事等争议仲裁工作。</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牵头单位：</w:t>
      </w:r>
      <w:r>
        <w:rPr>
          <w:rFonts w:hint="eastAsia" w:ascii="仿宋_GB2312" w:hAnsi="仿宋_GB2312" w:eastAsia="仿宋_GB2312" w:cs="仿宋_GB2312"/>
          <w:color w:val="auto"/>
          <w:sz w:val="32"/>
          <w:szCs w:val="32"/>
        </w:rPr>
        <w:t>区委政法委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责任单位：区法院、区检察院、区委群工局、区公安分局、区司法局、区人社局、区农业农村局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区级</w:t>
      </w:r>
      <w:r>
        <w:rPr>
          <w:rFonts w:hint="eastAsia" w:ascii="仿宋_GB2312" w:hAnsi="仿宋_GB2312" w:eastAsia="仿宋_GB2312" w:cs="仿宋_GB2312"/>
          <w:color w:val="auto"/>
          <w:sz w:val="32"/>
          <w:szCs w:val="32"/>
          <w:lang w:eastAsia="zh-CN"/>
        </w:rPr>
        <w:t>其他相关</w:t>
      </w:r>
      <w:r>
        <w:rPr>
          <w:rFonts w:hint="eastAsia" w:ascii="仿宋_GB2312" w:hAnsi="仿宋_GB2312" w:eastAsia="仿宋_GB2312" w:cs="仿宋_GB2312"/>
          <w:color w:val="auto"/>
          <w:sz w:val="32"/>
          <w:szCs w:val="32"/>
        </w:rPr>
        <w:t>部门</w:t>
      </w:r>
      <w:r>
        <w:rPr>
          <w:rFonts w:ascii="仿宋_GB2312" w:hAnsi="仿宋_GB2312" w:eastAsia="仿宋_GB2312" w:cs="仿宋_GB2312"/>
          <w:color w:val="auto"/>
          <w:sz w:val="32"/>
          <w:szCs w:val="32"/>
        </w:rPr>
        <w:t>)</w:t>
      </w:r>
    </w:p>
    <w:p>
      <w:pPr>
        <w:keepNext w:val="0"/>
        <w:keepLines w:val="0"/>
        <w:pageBreakBefore w:val="0"/>
        <w:shd w:val="clear"/>
        <w:kinsoku/>
        <w:wordWrap/>
        <w:overflowPunct/>
        <w:topLinePunct w:val="0"/>
        <w:bidi w:val="0"/>
        <w:spacing w:beforeLines="0" w:afterLines="0" w:line="560" w:lineRule="exact"/>
        <w:ind w:firstLine="640" w:firstLineChars="200"/>
        <w:rPr>
          <w:rFonts w:ascii="楷体" w:hAnsi="楷体" w:eastAsia="楷体" w:cs="楷体"/>
          <w:color w:val="auto"/>
          <w:sz w:val="32"/>
          <w:szCs w:val="32"/>
        </w:rPr>
      </w:pPr>
      <w:r>
        <w:rPr>
          <w:rFonts w:ascii="楷体" w:hAnsi="楷体" w:eastAsia="楷体" w:cs="楷体"/>
          <w:color w:val="auto"/>
          <w:sz w:val="32"/>
          <w:szCs w:val="32"/>
        </w:rPr>
        <w:t>(</w:t>
      </w:r>
      <w:r>
        <w:rPr>
          <w:rFonts w:hint="eastAsia" w:ascii="楷体" w:hAnsi="楷体" w:eastAsia="楷体" w:cs="楷体"/>
          <w:color w:val="auto"/>
          <w:sz w:val="32"/>
          <w:szCs w:val="32"/>
        </w:rPr>
        <w:t>五</w:t>
      </w:r>
      <w:r>
        <w:rPr>
          <w:rFonts w:ascii="楷体" w:hAnsi="楷体" w:eastAsia="楷体" w:cs="楷体"/>
          <w:color w:val="auto"/>
          <w:sz w:val="32"/>
          <w:szCs w:val="32"/>
        </w:rPr>
        <w:t>)</w:t>
      </w:r>
      <w:r>
        <w:rPr>
          <w:rFonts w:hint="eastAsia" w:ascii="楷体" w:hAnsi="楷体" w:eastAsia="楷体" w:cs="楷体"/>
          <w:color w:val="auto"/>
          <w:sz w:val="32"/>
          <w:szCs w:val="32"/>
        </w:rPr>
        <w:t>依法治理网络空间</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18.</w:t>
      </w:r>
      <w:r>
        <w:rPr>
          <w:rFonts w:hint="eastAsia" w:ascii="仿宋_GB2312" w:hAnsi="仿宋_GB2312" w:eastAsia="仿宋_GB2312" w:cs="仿宋_GB2312"/>
          <w:color w:val="auto"/>
          <w:sz w:val="32"/>
          <w:szCs w:val="32"/>
        </w:rPr>
        <w:t>完善网络制度规范。完善网络信息服务、网络安全保护、网络社会管理等方面的制度规范。完善对网络直播、自媒体等新媒体业态的规范管理制度。贯彻落实网络安全法、数据安全法等法律法规，健全个人信息保护、未成年人网络保护制度规范。健全互联网技术、商业模式等领域创新成果的知识产权保护制度规范。规范电子商务经营者行为。</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牵头单位：</w:t>
      </w:r>
      <w:r>
        <w:rPr>
          <w:rFonts w:hint="eastAsia" w:ascii="仿宋_GB2312" w:hAnsi="仿宋_GB2312" w:eastAsia="仿宋_GB2312" w:cs="仿宋_GB2312"/>
          <w:color w:val="auto"/>
          <w:sz w:val="32"/>
          <w:szCs w:val="32"/>
        </w:rPr>
        <w:t>区政府办公室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责任单位：区经济和信息化局、区公安分局、区委网信办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区商务和经合局、区市场监管局、</w:t>
      </w:r>
      <w:r>
        <w:rPr>
          <w:rFonts w:hint="eastAsia" w:ascii="仿宋_GB2312" w:hAnsi="仿宋_GB2312" w:eastAsia="仿宋_GB2312" w:cs="仿宋_GB2312"/>
          <w:color w:val="auto"/>
          <w:sz w:val="32"/>
          <w:szCs w:val="32"/>
          <w:lang w:eastAsia="zh-CN"/>
        </w:rPr>
        <w:t>区级其他相关部门</w:t>
      </w:r>
      <w:r>
        <w:rPr>
          <w:rFonts w:ascii="仿宋_GB2312" w:hAnsi="仿宋_GB2312" w:eastAsia="仿宋_GB2312" w:cs="仿宋_GB2312"/>
          <w:color w:val="auto"/>
          <w:sz w:val="32"/>
          <w:szCs w:val="32"/>
        </w:rPr>
        <w:t>)</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19.</w:t>
      </w:r>
      <w:r>
        <w:rPr>
          <w:rFonts w:hint="eastAsia" w:ascii="仿宋_GB2312" w:hAnsi="仿宋_GB2312" w:eastAsia="仿宋_GB2312" w:cs="仿宋_GB2312"/>
          <w:color w:val="auto"/>
          <w:sz w:val="32"/>
          <w:szCs w:val="32"/>
        </w:rPr>
        <w:t>培育良好的网络法治意识。加强依法管网、依法办网、依法上网，全面推进网络空间法治化。坚持依法治网与以德润网相结合，弘扬社会主义核心价值观，传播社会正能量。依法规范网络内容建设，压实平台企业的主体责任，落实总编辑负责制，健全内容管理审核制度，加强账号和用户信息管理等工作。提升网络媒介素养，推动互联网信息服务领域严重失信“黑名单”制度和惩戒机制，推动网络诚信制度化建设。将网络法治宣传教育纳入“八五”普法规划，持续深入开展“互联网</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法治宣传”行动，引导网民文明上网、理性表达。加强青少年网络安全教育，在全区中小学课程中增加网络安全和网络素养教育内容，培养青少年良好用网习惯。</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牵头单位：</w:t>
      </w:r>
      <w:r>
        <w:rPr>
          <w:rFonts w:hint="eastAsia" w:ascii="仿宋_GB2312" w:hAnsi="仿宋_GB2312" w:eastAsia="仿宋_GB2312" w:cs="仿宋_GB2312"/>
          <w:color w:val="auto"/>
          <w:sz w:val="32"/>
          <w:szCs w:val="32"/>
        </w:rPr>
        <w:t>区委宣传部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责任单位：区委网信办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区发展改革局、区教育局、区司法局、区国家保密局、</w:t>
      </w:r>
      <w:r>
        <w:rPr>
          <w:rFonts w:hint="eastAsia" w:ascii="仿宋_GB2312" w:hAnsi="仿宋_GB2312" w:eastAsia="仿宋_GB2312" w:cs="仿宋_GB2312"/>
          <w:color w:val="auto"/>
          <w:sz w:val="32"/>
          <w:szCs w:val="32"/>
          <w:lang w:eastAsia="zh-CN"/>
        </w:rPr>
        <w:t>区级其他相关部门</w:t>
      </w:r>
      <w:r>
        <w:rPr>
          <w:rFonts w:ascii="仿宋_GB2312" w:hAnsi="仿宋_GB2312" w:eastAsia="仿宋_GB2312" w:cs="仿宋_GB2312"/>
          <w:color w:val="auto"/>
          <w:sz w:val="32"/>
          <w:szCs w:val="32"/>
        </w:rPr>
        <w:t>)</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rPr>
        <w:t>保障公民依法安全用网。明确管理部门和网信企业的网络安全责任。健全网络安全检查制度，建立网络安全监测预警机制，明确处置工作流程，规范报告及通报办法。建立健全网络与信息突发安全事件应急机制，建立宣传、网信、公安和相关部门线上线下一体化快速应对处置机制，提高网络突发事件应急响应处置水平。建立健全互联网违法和不良信息举报一体化受理处置工作体系和互联网联合辟谣机制，依法打击网络贩枪、网络传销、网络黄赌毒、网络套路贷等新型网络犯罪，遏制谣言、淫秽、暴力、迷信、邪教等方面的有害信息在网络空间传播蔓延。完善移动互联网用户信息保护制度，严格规范个人信息收集使用，加大对利用“黑广播”、“伪基站”、非法网站、恶意软件等侵害用户权益行为的打击力度。</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牵头单位：</w:t>
      </w:r>
      <w:r>
        <w:rPr>
          <w:rFonts w:hint="eastAsia" w:ascii="仿宋_GB2312" w:hAnsi="仿宋_GB2312" w:eastAsia="仿宋_GB2312" w:cs="仿宋_GB2312"/>
          <w:color w:val="auto"/>
          <w:sz w:val="32"/>
          <w:szCs w:val="32"/>
        </w:rPr>
        <w:t>区委网信办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责任单位：区经济和信息化局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区法院、区检察院、区公安分局、区应急管理局、区市场监管局、区国安办、区国家保密局、</w:t>
      </w:r>
      <w:r>
        <w:rPr>
          <w:rFonts w:hint="eastAsia" w:ascii="仿宋_GB2312" w:hAnsi="仿宋_GB2312" w:eastAsia="仿宋_GB2312" w:cs="仿宋_GB2312"/>
          <w:color w:val="auto"/>
          <w:sz w:val="32"/>
          <w:szCs w:val="32"/>
          <w:lang w:eastAsia="zh-CN"/>
        </w:rPr>
        <w:t>区级其他相关部门</w:t>
      </w:r>
      <w:r>
        <w:rPr>
          <w:rFonts w:ascii="仿宋_GB2312" w:hAnsi="仿宋_GB2312" w:eastAsia="仿宋_GB2312" w:cs="仿宋_GB2312"/>
          <w:color w:val="auto"/>
          <w:sz w:val="32"/>
          <w:szCs w:val="32"/>
        </w:rPr>
        <w:t>)</w:t>
      </w:r>
    </w:p>
    <w:p>
      <w:pPr>
        <w:keepNext w:val="0"/>
        <w:keepLines w:val="0"/>
        <w:pageBreakBefore w:val="0"/>
        <w:shd w:val="clear"/>
        <w:kinsoku/>
        <w:wordWrap/>
        <w:overflowPunct/>
        <w:topLinePunct w:val="0"/>
        <w:bidi w:val="0"/>
        <w:spacing w:beforeLines="0" w:afterLines="0"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三、组织保障</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ascii="楷体" w:hAnsi="楷体" w:eastAsia="楷体" w:cs="楷体"/>
          <w:color w:val="auto"/>
          <w:sz w:val="32"/>
          <w:szCs w:val="32"/>
        </w:rPr>
        <w:t>(</w:t>
      </w: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加强组织领导。</w:t>
      </w:r>
      <w:r>
        <w:rPr>
          <w:rFonts w:hint="eastAsia" w:ascii="仿宋_GB2312" w:hAnsi="仿宋_GB2312" w:eastAsia="仿宋_GB2312" w:cs="仿宋_GB2312"/>
          <w:color w:val="auto"/>
          <w:sz w:val="32"/>
          <w:szCs w:val="32"/>
        </w:rPr>
        <w:t>各级党委</w:t>
      </w:r>
      <w:r>
        <w:rPr>
          <w:rFonts w:hint="eastAsia" w:ascii="仿宋_GB2312" w:eastAsia="仿宋_GB2312"/>
          <w:color w:val="auto"/>
          <w:sz w:val="32"/>
          <w:szCs w:val="32"/>
          <w:shd w:val="clear" w:color="auto" w:fill="FFFFFF"/>
        </w:rPr>
        <w:t>要落实推进本地区法治社会建设的领导责任，推动解决法治社会建设过程中的重点难点问题。</w:t>
      </w:r>
      <w:r>
        <w:rPr>
          <w:rFonts w:hint="eastAsia" w:ascii="仿宋_GB2312" w:hAnsi="仿宋_GB2312" w:eastAsia="仿宋_GB2312" w:cs="仿宋_GB2312"/>
          <w:color w:val="auto"/>
          <w:sz w:val="32"/>
          <w:szCs w:val="32"/>
        </w:rPr>
        <w:t>各级政府加强法治社会建设工作统筹，</w:t>
      </w:r>
      <w:r>
        <w:rPr>
          <w:rFonts w:hint="eastAsia" w:ascii="仿宋_GB2312" w:eastAsia="仿宋_GB2312"/>
          <w:color w:val="auto"/>
          <w:sz w:val="32"/>
          <w:szCs w:val="32"/>
          <w:shd w:val="clear" w:color="auto" w:fill="FFFFFF"/>
        </w:rPr>
        <w:t>将法治社会建设摆</w:t>
      </w:r>
      <w:r>
        <w:rPr>
          <w:rFonts w:hint="eastAsia" w:ascii="仿宋_GB2312" w:hAnsi="仿宋_GB2312" w:eastAsia="仿宋_GB2312" w:cs="仿宋_GB2312"/>
          <w:color w:val="auto"/>
          <w:sz w:val="32"/>
          <w:szCs w:val="32"/>
        </w:rPr>
        <w:t>在重要位置，纳入经济社会发展总体规划，落实好法治社会建设各项任务。党委</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党组</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主要负责同志要认真履行法治建设第一责任人职责，推动基层党建与法治社会建设有机融合，充分发挥基层党组织在法治社会建设中的战斗堡垒作用。</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ascii="楷体" w:hAnsi="楷体" w:eastAsia="楷体" w:cs="楷体"/>
          <w:color w:val="auto"/>
          <w:sz w:val="32"/>
          <w:szCs w:val="32"/>
        </w:rPr>
        <w:t>(</w:t>
      </w: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加强统筹协调。</w:t>
      </w:r>
      <w:r>
        <w:rPr>
          <w:rFonts w:hint="eastAsia" w:ascii="仿宋_GB2312" w:hAnsi="仿宋_GB2312" w:eastAsia="仿宋_GB2312" w:cs="仿宋_GB2312"/>
          <w:color w:val="auto"/>
          <w:sz w:val="32"/>
          <w:szCs w:val="32"/>
        </w:rPr>
        <w:t>坚持法治社会与法治昭化、法治政府建设相协调，坚持法治社会建设与</w:t>
      </w:r>
      <w:r>
        <w:rPr>
          <w:rFonts w:hint="eastAsia" w:ascii="仿宋_GB2312" w:eastAsia="仿宋_GB2312"/>
          <w:color w:val="auto"/>
          <w:sz w:val="32"/>
          <w:szCs w:val="32"/>
          <w:shd w:val="clear" w:color="auto" w:fill="FFFFFF"/>
        </w:rPr>
        <w:t>新时代经济社会发展、</w:t>
      </w:r>
      <w:r>
        <w:rPr>
          <w:rFonts w:hint="eastAsia" w:ascii="仿宋_GB2312" w:hAnsi="仿宋_GB2312" w:eastAsia="仿宋_GB2312" w:cs="仿宋_GB2312"/>
          <w:color w:val="auto"/>
          <w:sz w:val="32"/>
          <w:szCs w:val="32"/>
        </w:rPr>
        <w:t>人民日益增长的美好生活需要相适应。区委依法治区委员会要加强对全区法治社会建设统筹谋划，形成上下协调、部门联动的工作机制。通过购买服务、定向委托等方式吸纳社会力量参与法治社会建设，进一步发挥公民、企事业单位、人民团体、社会组织等在推进法治社会建设中的积极作用，形成法治社会建设最大合力。</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ascii="楷体" w:hAnsi="楷体" w:eastAsia="楷体" w:cs="楷体"/>
          <w:color w:val="auto"/>
          <w:sz w:val="32"/>
          <w:szCs w:val="32"/>
        </w:rPr>
        <w:t>(</w:t>
      </w:r>
      <w:r>
        <w:rPr>
          <w:rFonts w:hint="eastAsia" w:ascii="楷体" w:hAnsi="楷体" w:eastAsia="楷体" w:cs="楷体"/>
          <w:color w:val="auto"/>
          <w:sz w:val="32"/>
          <w:szCs w:val="32"/>
        </w:rPr>
        <w:t>三</w:t>
      </w:r>
      <w:r>
        <w:rPr>
          <w:rFonts w:ascii="楷体" w:hAnsi="楷体" w:eastAsia="楷体" w:cs="楷体"/>
          <w:color w:val="auto"/>
          <w:sz w:val="32"/>
          <w:szCs w:val="32"/>
        </w:rPr>
        <w:t>)</w:t>
      </w:r>
      <w:r>
        <w:rPr>
          <w:rFonts w:hint="eastAsia" w:ascii="楷体" w:hAnsi="楷体" w:eastAsia="楷体" w:cs="楷体"/>
          <w:color w:val="auto"/>
          <w:sz w:val="32"/>
          <w:szCs w:val="32"/>
        </w:rPr>
        <w:t>加强督促考核</w:t>
      </w:r>
      <w:r>
        <w:rPr>
          <w:rFonts w:hint="eastAsia" w:ascii="仿宋_GB2312" w:hAnsi="仿宋_GB2312" w:eastAsia="仿宋_GB2312" w:cs="仿宋_GB2312"/>
          <w:color w:val="auto"/>
          <w:sz w:val="32"/>
          <w:szCs w:val="32"/>
        </w:rPr>
        <w:t>。建立健全对法治社会建设的督促落实机制，确保党中央、省委、市委、区委关于法治社会建设各项工作任务落到实处。要把法治社会建设成效作为衡量领导班子和领导干部工作实绩的重要内容，纳入法治建设考核指标体系。健全群众满意度测评制度，将群众满意度作为检验法治社会建设工作成效的重要指标。</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四</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加强宣传引导。充分利用党校</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行政学校</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法律顾问团专家、法学会等智力资源，开展法治社会建设的经验总结和理论研究，为法治社会建设提供学术理论支撑。发挥媒体作用，大力宣传先进典型经验做法和工作成效，营造全民关心、支持和参与法治社会建设的良好氛围。</w:t>
      </w:r>
    </w:p>
    <w:p>
      <w:pPr>
        <w:keepNext w:val="0"/>
        <w:keepLines w:val="0"/>
        <w:pageBreakBefore w:val="0"/>
        <w:shd w:val="clear"/>
        <w:kinsoku/>
        <w:wordWrap/>
        <w:overflowPunct/>
        <w:topLinePunct w:val="0"/>
        <w:bidi w:val="0"/>
        <w:spacing w:beforeLines="0" w:afterLines="0" w:line="560" w:lineRule="exact"/>
        <w:ind w:firstLine="640" w:firstLineChars="200"/>
        <w:rPr>
          <w:rFonts w:ascii="仿宋_GB2312" w:hAnsi="仿宋_GB2312" w:eastAsia="仿宋_GB2312" w:cs="仿宋_GB2312"/>
          <w:color w:val="auto"/>
          <w:sz w:val="32"/>
          <w:szCs w:val="32"/>
        </w:rPr>
      </w:pPr>
    </w:p>
    <w:p>
      <w:pPr>
        <w:keepNext w:val="0"/>
        <w:keepLines w:val="0"/>
        <w:pageBreakBefore w:val="0"/>
        <w:widowControl/>
        <w:shd w:val="clear" w:color="auto"/>
        <w:kinsoku/>
        <w:wordWrap/>
        <w:overflowPunct/>
        <w:topLinePunct w:val="0"/>
        <w:autoSpaceDE/>
        <w:autoSpaceDN/>
        <w:bidi w:val="0"/>
        <w:adjustRightInd/>
        <w:snapToGrid/>
        <w:spacing w:line="576" w:lineRule="exact"/>
        <w:ind w:firstLine="480"/>
        <w:textAlignment w:val="auto"/>
        <w:rPr>
          <w:rFonts w:hint="eastAsia" w:ascii="仿宋_GB2312" w:eastAsia="仿宋_GB2312" w:cs="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JkMzRmZDdkMTIzMDEzYWE1OTkwYjk0N2YwNjNkODEifQ=="/>
  </w:docVars>
  <w:rsids>
    <w:rsidRoot w:val="003A1ABC"/>
    <w:rsid w:val="000044E7"/>
    <w:rsid w:val="003A1ABC"/>
    <w:rsid w:val="00443D68"/>
    <w:rsid w:val="00540718"/>
    <w:rsid w:val="008C3F02"/>
    <w:rsid w:val="00A14166"/>
    <w:rsid w:val="00D3261E"/>
    <w:rsid w:val="00ED410C"/>
    <w:rsid w:val="00EF07E5"/>
    <w:rsid w:val="7C3965CD"/>
    <w:rsid w:val="D3CF3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firstLine="200" w:firstLineChars="200"/>
    </w:pPr>
  </w:style>
  <w:style w:type="paragraph" w:styleId="3">
    <w:name w:val="Body Text Indent"/>
    <w:basedOn w:val="1"/>
    <w:qFormat/>
    <w:uiPriority w:val="0"/>
    <w:pPr>
      <w:spacing w:line="560" w:lineRule="exact"/>
      <w:ind w:right="-25" w:firstLine="630"/>
    </w:pPr>
    <w:rPr>
      <w:rFonts w:ascii="仿宋_GB2312" w:eastAsia="仿宋_GB2312" w:cs="Times New Roman"/>
      <w:sz w:val="32"/>
      <w:szCs w:val="20"/>
      <w:lang w:bidi="ar-SA"/>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9">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299</Words>
  <Characters>390</Characters>
  <Lines>2</Lines>
  <Paragraphs>1</Paragraphs>
  <TotalTime>1</TotalTime>
  <ScaleCrop>false</ScaleCrop>
  <LinksUpToDate>false</LinksUpToDate>
  <CharactersWithSpaces>393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2022-12-28T10:58:00Z</dcterms:created>
  <dc:creator>Administrator</dc:creator>
  <cp:lastModifiedBy>user</cp:lastModifiedBy>
  <dcterms:modified xsi:type="dcterms:W3CDTF">2023-01-04T15:03:00Z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ECA63123858B40749E1CFCFC947A1A51</vt:lpwstr>
  </property>
</Properties>
</file>