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2B9C1">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bookmarkStart w:id="0" w:name="_Toc15378441"/>
      <w:bookmarkStart w:id="1" w:name="_Toc15377193"/>
      <w:bookmarkStart w:id="2" w:name="_Toc15306267"/>
      <w:bookmarkStart w:id="3" w:name="_Toc15377425"/>
      <w:bookmarkStart w:id="4" w:name="_Toc15396475"/>
      <w:bookmarkStart w:id="5" w:name="_Toc15396597"/>
    </w:p>
    <w:p w14:paraId="2E2F96E4">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58E142FF">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7F46657A">
      <w:pPr>
        <w:autoSpaceDE w:val="0"/>
        <w:autoSpaceDN w:val="0"/>
        <w:adjustRightInd w:val="0"/>
        <w:spacing w:beforeLines="0" w:afterLines="0" w:line="1400" w:lineRule="exact"/>
        <w:jc w:val="center"/>
        <w:rPr>
          <w:rFonts w:hint="eastAsia" w:ascii="方正小标宋简体" w:hAnsi="黑体" w:eastAsia="方正小标宋简体" w:cs="Times New Roman"/>
          <w:color w:val="000000"/>
          <w:kern w:val="2"/>
          <w:sz w:val="72"/>
          <w:szCs w:val="24"/>
          <w:lang w:val="zh-CN"/>
        </w:rPr>
      </w:pPr>
      <w:r>
        <w:rPr>
          <w:rFonts w:hint="eastAsia" w:ascii="方正小标宋简体" w:hAnsi="黑体" w:eastAsia="方正小标宋简体" w:cs="Times New Roman"/>
          <w:color w:val="000000"/>
          <w:kern w:val="2"/>
          <w:sz w:val="72"/>
          <w:szCs w:val="24"/>
          <w:lang w:val="zh-CN"/>
        </w:rPr>
        <w:t>202</w:t>
      </w:r>
      <w:r>
        <w:rPr>
          <w:rFonts w:hint="eastAsia" w:ascii="方正小标宋简体" w:hAnsi="黑体" w:eastAsia="方正小标宋简体" w:cs="Times New Roman"/>
          <w:color w:val="000000"/>
          <w:kern w:val="2"/>
          <w:sz w:val="72"/>
          <w:szCs w:val="24"/>
          <w:lang w:val="en-US" w:eastAsia="zh-CN"/>
        </w:rPr>
        <w:t>4</w:t>
      </w:r>
      <w:r>
        <w:rPr>
          <w:rFonts w:hint="eastAsia" w:ascii="方正小标宋简体" w:hAnsi="黑体" w:eastAsia="方正小标宋简体" w:cs="Times New Roman"/>
          <w:color w:val="000000"/>
          <w:kern w:val="2"/>
          <w:sz w:val="72"/>
          <w:szCs w:val="24"/>
          <w:lang w:val="zh-CN"/>
        </w:rPr>
        <w:t>年度</w:t>
      </w:r>
    </w:p>
    <w:p w14:paraId="5BB8A031">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eastAsia" w:ascii="黑体" w:hAnsi="黑体" w:eastAsia="黑体"/>
          <w:color w:val="000000"/>
          <w:kern w:val="2"/>
          <w:sz w:val="72"/>
          <w:szCs w:val="24"/>
          <w:lang w:val="zh-CN"/>
        </w:rPr>
      </w:pPr>
      <w:r>
        <w:rPr>
          <w:rFonts w:hint="eastAsia" w:ascii="方正小标宋简体" w:hAnsi="方正小标宋简体" w:eastAsia="方正小标宋简体" w:cs="方正小标宋简体"/>
          <w:kern w:val="0"/>
          <w:sz w:val="72"/>
          <w:szCs w:val="72"/>
        </w:rPr>
        <w:t>广元市昭化区民政局</w:t>
      </w:r>
      <w:r>
        <w:rPr>
          <w:rFonts w:hint="eastAsia" w:ascii="方正小标宋简体" w:hAnsi="黑体" w:eastAsia="方正小标宋简体" w:cs="Times New Roman"/>
          <w:color w:val="000000"/>
          <w:kern w:val="2"/>
          <w:sz w:val="72"/>
          <w:szCs w:val="24"/>
          <w:lang w:val="zh-CN"/>
        </w:rPr>
        <w:t>部门决算</w:t>
      </w:r>
    </w:p>
    <w:p w14:paraId="1F8507B7">
      <w:pPr>
        <w:keepNext w:val="0"/>
        <w:keepLines w:val="0"/>
        <w:pageBreakBefore w:val="0"/>
        <w:widowControl w:val="0"/>
        <w:kinsoku/>
        <w:wordWrap/>
        <w:overflowPunct w:val="0"/>
        <w:topLinePunct/>
        <w:autoSpaceDE w:val="0"/>
        <w:autoSpaceDN w:val="0"/>
        <w:bidi w:val="0"/>
        <w:spacing w:line="600" w:lineRule="exact"/>
        <w:jc w:val="center"/>
        <w:textAlignment w:val="auto"/>
        <w:outlineLvl w:val="9"/>
        <w:rPr>
          <w:rFonts w:ascii="Times New Roman" w:hAnsi="Times New Roman" w:eastAsia="方正小标宋简体"/>
          <w:color w:val="auto"/>
          <w:sz w:val="72"/>
          <w:szCs w:val="72"/>
          <w:highlight w:val="none"/>
        </w:rPr>
      </w:pPr>
    </w:p>
    <w:p w14:paraId="11001A65">
      <w:pPr>
        <w:pStyle w:val="22"/>
        <w:keepNext w:val="0"/>
        <w:keepLines w:val="0"/>
        <w:pageBreakBefore w:val="0"/>
        <w:widowControl w:val="0"/>
        <w:kinsoku/>
        <w:wordWrap/>
        <w:overflowPunct w:val="0"/>
        <w:topLinePunct/>
        <w:autoSpaceDE w:val="0"/>
        <w:autoSpaceDN w:val="0"/>
        <w:bidi w:val="0"/>
        <w:textAlignment w:val="auto"/>
        <w:outlineLvl w:val="9"/>
        <w:rPr>
          <w:rFonts w:ascii="Times New Roman" w:hAnsi="Times New Roman"/>
        </w:rPr>
        <w:sectPr>
          <w:headerReference r:id="rId3" w:type="default"/>
          <w:footerReference r:id="rId4" w:type="default"/>
          <w:pgSz w:w="11906" w:h="16838"/>
          <w:pgMar w:top="2098" w:right="1474" w:bottom="1984" w:left="1587" w:header="851" w:footer="1304" w:gutter="0"/>
          <w:pgNumType w:fmt="decimal" w:start="1"/>
          <w:cols w:space="0" w:num="1"/>
          <w:titlePg/>
          <w:rtlGutter w:val="0"/>
          <w:docGrid w:type="lines" w:linePitch="312" w:charSpace="0"/>
        </w:sectPr>
      </w:pPr>
    </w:p>
    <w:bookmarkEnd w:id="0"/>
    <w:bookmarkEnd w:id="1"/>
    <w:bookmarkEnd w:id="2"/>
    <w:bookmarkEnd w:id="3"/>
    <w:bookmarkEnd w:id="4"/>
    <w:bookmarkEnd w:id="5"/>
    <w:p w14:paraId="2E7C6E19">
      <w:pPr>
        <w:keepNext w:val="0"/>
        <w:keepLines w:val="0"/>
        <w:pageBreakBefore w:val="0"/>
        <w:widowControl w:val="0"/>
        <w:kinsoku/>
        <w:wordWrap/>
        <w:overflowPunct w:val="0"/>
        <w:topLinePunct/>
        <w:autoSpaceDE w:val="0"/>
        <w:autoSpaceDN w:val="0"/>
        <w:bidi w:val="0"/>
        <w:jc w:val="center"/>
        <w:textAlignment w:val="auto"/>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目</w:t>
      </w:r>
      <w:r>
        <w:rPr>
          <w:rFonts w:hint="eastAsia" w:ascii="方正小标宋简体" w:hAnsi="方正小标宋简体" w:eastAsia="方正小标宋简体" w:cs="方正小标宋简体"/>
          <w:color w:val="auto"/>
          <w:sz w:val="48"/>
          <w:szCs w:val="48"/>
          <w:highlight w:val="none"/>
          <w:lang w:val="en-US" w:eastAsia="zh-CN"/>
        </w:rPr>
        <w:t xml:space="preserve">     </w:t>
      </w:r>
      <w:r>
        <w:rPr>
          <w:rFonts w:hint="eastAsia" w:ascii="方正小标宋简体" w:hAnsi="方正小标宋简体" w:eastAsia="方正小标宋简体" w:cs="方正小标宋简体"/>
          <w:color w:val="auto"/>
          <w:sz w:val="48"/>
          <w:szCs w:val="48"/>
          <w:highlight w:val="none"/>
        </w:rPr>
        <w:t>录</w:t>
      </w:r>
    </w:p>
    <w:p w14:paraId="5B2EE203">
      <w:pPr>
        <w:pStyle w:val="13"/>
        <w:keepNext w:val="0"/>
        <w:keepLines w:val="0"/>
        <w:pageBreakBefore w:val="0"/>
        <w:widowControl w:val="0"/>
        <w:kinsoku/>
        <w:wordWrap/>
        <w:overflowPunct w:val="0"/>
        <w:topLinePunct/>
        <w:autoSpaceDE w:val="0"/>
        <w:autoSpaceDN w:val="0"/>
        <w:bidi w:val="0"/>
        <w:adjustRightInd/>
        <w:snapToGrid/>
        <w:spacing w:before="157" w:beforeLines="50"/>
        <w:textAlignment w:val="auto"/>
        <w:rPr>
          <w:rFonts w:hint="eastAsia" w:ascii="Times New Roman" w:hAnsi="Times New Roman" w:eastAsia="仿宋_GB2312" w:cs="仿宋_GB2312"/>
          <w:b/>
          <w:color w:val="auto"/>
          <w:sz w:val="32"/>
          <w:szCs w:val="32"/>
          <w:highlight w:val="none"/>
        </w:rPr>
      </w:pPr>
      <w:r>
        <w:rPr>
          <w:rFonts w:hint="eastAsia" w:ascii="楷体_GB2312" w:hAnsi="楷体_GB2312" w:eastAsia="楷体_GB2312" w:cs="楷体_GB2312"/>
          <w:color w:val="auto"/>
          <w:sz w:val="32"/>
          <w:szCs w:val="32"/>
          <w:highlight w:val="none"/>
        </w:rPr>
        <w:t>公开时间：20</w:t>
      </w:r>
      <w:r>
        <w:rPr>
          <w:rFonts w:hint="eastAsia" w:ascii="楷体_GB2312" w:hAnsi="楷体_GB2312" w:eastAsia="楷体_GB2312" w:cs="楷体_GB2312"/>
          <w:color w:val="auto"/>
          <w:sz w:val="32"/>
          <w:szCs w:val="32"/>
          <w:highlight w:val="none"/>
          <w:lang w:val="en-US" w:eastAsia="zh-CN"/>
        </w:rPr>
        <w:t>25</w:t>
      </w:r>
      <w:r>
        <w:rPr>
          <w:rFonts w:hint="eastAsia" w:ascii="楷体_GB2312" w:hAnsi="楷体_GB2312" w:eastAsia="楷体_GB2312" w:cs="楷体_GB2312"/>
          <w:color w:val="auto"/>
          <w:sz w:val="32"/>
          <w:szCs w:val="32"/>
          <w:highlight w:val="none"/>
        </w:rPr>
        <w:t>年</w:t>
      </w:r>
      <w:r>
        <w:rPr>
          <w:rFonts w:hint="eastAsia" w:ascii="楷体_GB2312" w:hAnsi="楷体_GB2312" w:eastAsia="楷体_GB2312" w:cs="楷体_GB2312"/>
          <w:color w:val="auto"/>
          <w:sz w:val="32"/>
          <w:szCs w:val="32"/>
          <w:highlight w:val="none"/>
          <w:lang w:val="en-US" w:eastAsia="zh-CN"/>
        </w:rPr>
        <w:t>9</w:t>
      </w:r>
      <w:r>
        <w:rPr>
          <w:rFonts w:hint="eastAsia" w:ascii="楷体_GB2312" w:hAnsi="楷体_GB2312" w:eastAsia="楷体_GB2312" w:cs="楷体_GB2312"/>
          <w:color w:val="auto"/>
          <w:sz w:val="32"/>
          <w:szCs w:val="32"/>
          <w:highlight w:val="none"/>
        </w:rPr>
        <w:t>月</w:t>
      </w:r>
      <w:r>
        <w:rPr>
          <w:rFonts w:hint="eastAsia" w:ascii="楷体_GB2312" w:hAnsi="楷体_GB2312" w:eastAsia="楷体_GB2312" w:cs="楷体_GB2312"/>
          <w:color w:val="auto"/>
          <w:sz w:val="32"/>
          <w:szCs w:val="32"/>
          <w:highlight w:val="none"/>
          <w:lang w:val="en-US" w:eastAsia="zh-CN"/>
        </w:rPr>
        <w:t>30</w:t>
      </w:r>
      <w:r>
        <w:rPr>
          <w:rFonts w:hint="eastAsia" w:ascii="楷体_GB2312" w:hAnsi="楷体_GB2312" w:eastAsia="楷体_GB2312" w:cs="楷体_GB2312"/>
          <w:color w:val="auto"/>
          <w:sz w:val="32"/>
          <w:szCs w:val="32"/>
          <w:highlight w:val="none"/>
        </w:rPr>
        <w:t>日</w:t>
      </w:r>
      <w:bookmarkStart w:id="6" w:name="_Toc15377196"/>
      <w:bookmarkStart w:id="7" w:name="_Toc15396599"/>
    </w:p>
    <w:sdt>
      <w:sdtPr>
        <w:rPr>
          <w:rFonts w:ascii="宋体" w:hAnsi="宋体" w:eastAsia="宋体" w:cs="Times New Roman"/>
          <w:kern w:val="2"/>
          <w:sz w:val="21"/>
          <w:szCs w:val="24"/>
          <w:lang w:val="en-US" w:eastAsia="zh-CN" w:bidi="ar-SA"/>
        </w:rPr>
        <w:id w:val="147453269"/>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19F60325">
          <w:pPr>
            <w:spacing w:before="0" w:beforeLines="0" w:after="0" w:afterLines="0" w:line="240" w:lineRule="auto"/>
            <w:ind w:left="0" w:leftChars="0" w:right="0" w:rightChars="0" w:firstLine="0" w:firstLineChars="0"/>
            <w:jc w:val="left"/>
            <w:rPr>
              <w:rFonts w:hint="eastAsia" w:ascii="仿宋_GB2312" w:hAnsi="仿宋_GB2312" w:eastAsia="仿宋_GB2312" w:cs="仿宋_GB2312"/>
              <w:i w:val="0"/>
              <w:iCs w:val="0"/>
              <w:sz w:val="32"/>
              <w:szCs w:val="32"/>
            </w:rPr>
          </w:pPr>
          <w:r>
            <w:fldChar w:fldCharType="begin"/>
          </w:r>
          <w:r>
            <w:instrText xml:space="preserve">TOC \o "1-1" \h \u </w:instrText>
          </w:r>
          <w:r>
            <w:fldChar w:fldCharType="separate"/>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_Toc8264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第一部分</w:t>
          </w:r>
          <w:r>
            <w:rPr>
              <w:rFonts w:hint="eastAsia" w:ascii="仿宋_GB2312" w:hAnsi="仿宋_GB2312" w:eastAsia="仿宋_GB2312" w:cs="仿宋_GB2312"/>
              <w:i w:val="0"/>
              <w:iCs w:val="0"/>
              <w:sz w:val="32"/>
              <w:szCs w:val="32"/>
              <w:highlight w:val="none"/>
              <w:lang w:val="en-US" w:eastAsia="zh-CN"/>
            </w:rPr>
            <w:t xml:space="preserve"> </w:t>
          </w:r>
          <w:r>
            <w:rPr>
              <w:rFonts w:hint="eastAsia" w:ascii="仿宋_GB2312" w:hAnsi="仿宋_GB2312" w:eastAsia="仿宋_GB2312" w:cs="仿宋_GB2312"/>
              <w:i w:val="0"/>
              <w:iCs w:val="0"/>
              <w:sz w:val="32"/>
              <w:szCs w:val="32"/>
              <w:highlight w:val="none"/>
            </w:rPr>
            <w:t xml:space="preserve"> 部门概况</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end"/>
          </w:r>
        </w:p>
        <w:p w14:paraId="17F5B1C5">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_Toc14259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lang w:eastAsia="zh-CN"/>
            </w:rPr>
            <w:t>一、</w:t>
          </w:r>
          <w:r>
            <w:rPr>
              <w:rFonts w:hint="eastAsia" w:ascii="仿宋_GB2312" w:hAnsi="仿宋_GB2312" w:eastAsia="仿宋_GB2312" w:cs="仿宋_GB2312"/>
              <w:i w:val="0"/>
              <w:iCs w:val="0"/>
              <w:sz w:val="32"/>
              <w:szCs w:val="32"/>
              <w:highlight w:val="none"/>
              <w:lang w:eastAsia="zh-CN"/>
            </w:rPr>
            <w:t>部门职责</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_Toc14259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4B8C8404">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_Toc26675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二、机</w:t>
          </w:r>
          <w:r>
            <w:rPr>
              <w:rFonts w:hint="eastAsia" w:ascii="仿宋_GB2312" w:hAnsi="仿宋_GB2312" w:eastAsia="仿宋_GB2312" w:cs="仿宋_GB2312"/>
              <w:bCs w:val="0"/>
              <w:i w:val="0"/>
              <w:iCs w:val="0"/>
              <w:sz w:val="32"/>
              <w:szCs w:val="32"/>
              <w:highlight w:val="none"/>
            </w:rPr>
            <w:t>构设置</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_Toc26675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4</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73107BAE">
          <w:pPr>
            <w:pStyle w:val="13"/>
            <w:tabs>
              <w:tab w:val="right" w:leader="dot" w:pos="8845"/>
              <w:tab w:val="clear" w:pos="8296"/>
            </w:tabs>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_Toc29984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第二部分</w:t>
          </w:r>
          <w:r>
            <w:rPr>
              <w:rFonts w:hint="eastAsia" w:ascii="仿宋_GB2312" w:hAnsi="仿宋_GB2312" w:eastAsia="仿宋_GB2312" w:cs="仿宋_GB2312"/>
              <w:i w:val="0"/>
              <w:iCs w:val="0"/>
              <w:sz w:val="32"/>
              <w:szCs w:val="32"/>
              <w:highlight w:val="none"/>
              <w:lang w:val="en-US" w:eastAsia="zh-CN"/>
            </w:rPr>
            <w:t xml:space="preserve"> </w:t>
          </w:r>
          <w:r>
            <w:rPr>
              <w:rFonts w:hint="eastAsia" w:ascii="仿宋_GB2312" w:hAnsi="仿宋_GB2312" w:eastAsia="仿宋_GB2312" w:cs="仿宋_GB2312"/>
              <w:i w:val="0"/>
              <w:iCs w:val="0"/>
              <w:sz w:val="32"/>
              <w:szCs w:val="32"/>
              <w:highlight w:val="none"/>
            </w:rPr>
            <w:t xml:space="preserve"> </w:t>
          </w:r>
          <w:r>
            <w:rPr>
              <w:rFonts w:hint="eastAsia" w:ascii="仿宋_GB2312" w:hAnsi="仿宋_GB2312" w:eastAsia="仿宋_GB2312" w:cs="仿宋_GB2312"/>
              <w:i w:val="0"/>
              <w:iCs w:val="0"/>
              <w:sz w:val="32"/>
              <w:szCs w:val="32"/>
              <w:highlight w:val="none"/>
              <w:lang w:val="en-US" w:eastAsia="zh-CN"/>
            </w:rPr>
            <w:t>2024年度</w:t>
          </w:r>
          <w:r>
            <w:rPr>
              <w:rFonts w:hint="eastAsia" w:ascii="仿宋_GB2312" w:hAnsi="仿宋_GB2312" w:eastAsia="仿宋_GB2312" w:cs="仿宋_GB2312"/>
              <w:i w:val="0"/>
              <w:iCs w:val="0"/>
              <w:sz w:val="32"/>
              <w:szCs w:val="32"/>
              <w:highlight w:val="none"/>
            </w:rPr>
            <w:t>部门决算情况说明</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_Toc29984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6</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3580D702">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_Toc11008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lang w:eastAsia="zh-CN"/>
            </w:rPr>
            <w:t>一、</w:t>
          </w:r>
          <w:r>
            <w:rPr>
              <w:rFonts w:hint="eastAsia" w:ascii="仿宋_GB2312" w:hAnsi="仿宋_GB2312" w:eastAsia="仿宋_GB2312" w:cs="仿宋_GB2312"/>
              <w:i w:val="0"/>
              <w:iCs w:val="0"/>
              <w:sz w:val="32"/>
              <w:szCs w:val="32"/>
              <w:highlight w:val="none"/>
            </w:rPr>
            <w:t>收入支出决算总体情况说明</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_Toc11008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6</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12982461">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_Toc2968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lang w:eastAsia="zh-CN"/>
            </w:rPr>
            <w:t>二、收入决算情况说明</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_Toc2968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6</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0680A6A3">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_Toc23193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lang w:eastAsia="zh-CN"/>
            </w:rPr>
            <w:t>三、</w:t>
          </w:r>
          <w:r>
            <w:rPr>
              <w:rFonts w:hint="eastAsia" w:ascii="仿宋_GB2312" w:hAnsi="仿宋_GB2312" w:eastAsia="仿宋_GB2312" w:cs="仿宋_GB2312"/>
              <w:i w:val="0"/>
              <w:iCs w:val="0"/>
              <w:sz w:val="32"/>
              <w:szCs w:val="32"/>
              <w:highlight w:val="none"/>
            </w:rPr>
            <w:t>支出决算情况说明</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_Toc23193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7</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16FC4A32">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_Toc29926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四、财政拨款收入支出决算总体情况说明</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_Toc29926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8</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20A80760">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_Toc17153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五、一般公共预算财政拨款支出决算情况说明</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_Toc17153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8</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1E1270DA">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_Toc10463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六、一般公共预算财政拨款基本支出决算情况说明</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_Toc10463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12</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1FAEB8A0">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_Toc20773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七、财政拨款“三公”经费支出决算情况说明</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_Toc20773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13</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3EDA10EA">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_Toc11107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八、政府性基金预算支出决算情况说明</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_Toc11107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14</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77D514EA">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_Toc16749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lang w:eastAsia="zh-CN"/>
            </w:rPr>
            <w:t>九、</w:t>
          </w:r>
          <w:r>
            <w:rPr>
              <w:rFonts w:hint="eastAsia" w:ascii="仿宋_GB2312" w:hAnsi="仿宋_GB2312" w:eastAsia="仿宋_GB2312" w:cs="仿宋_GB2312"/>
              <w:i w:val="0"/>
              <w:iCs w:val="0"/>
              <w:sz w:val="32"/>
              <w:szCs w:val="32"/>
              <w:highlight w:val="none"/>
            </w:rPr>
            <w:t>国有资本经营预算支出决算情况说明</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_Toc16749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14</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0E63865B">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_Toc30515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lang w:eastAsia="zh-CN"/>
            </w:rPr>
            <w:t>十、</w:t>
          </w:r>
          <w:r>
            <w:rPr>
              <w:rFonts w:hint="eastAsia" w:ascii="仿宋_GB2312" w:hAnsi="仿宋_GB2312" w:eastAsia="仿宋_GB2312" w:cs="仿宋_GB2312"/>
              <w:i w:val="0"/>
              <w:iCs w:val="0"/>
              <w:sz w:val="32"/>
              <w:szCs w:val="32"/>
              <w:highlight w:val="none"/>
            </w:rPr>
            <w:t>其他重要事项的情况说明</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_Toc30515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14</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0CC7D397">
          <w:pPr>
            <w:pStyle w:val="13"/>
            <w:tabs>
              <w:tab w:val="right" w:leader="dot" w:pos="8845"/>
              <w:tab w:val="clear" w:pos="8296"/>
            </w:tabs>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_Toc31650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第</w:t>
          </w:r>
          <w:r>
            <w:rPr>
              <w:rFonts w:hint="eastAsia" w:ascii="仿宋_GB2312" w:hAnsi="仿宋_GB2312" w:eastAsia="仿宋_GB2312" w:cs="仿宋_GB2312"/>
              <w:i w:val="0"/>
              <w:iCs w:val="0"/>
              <w:sz w:val="32"/>
              <w:szCs w:val="32"/>
              <w:highlight w:val="none"/>
              <w:lang w:eastAsia="zh-CN"/>
            </w:rPr>
            <w:t>三</w:t>
          </w:r>
          <w:r>
            <w:rPr>
              <w:rFonts w:hint="eastAsia" w:ascii="仿宋_GB2312" w:hAnsi="仿宋_GB2312" w:eastAsia="仿宋_GB2312" w:cs="仿宋_GB2312"/>
              <w:i w:val="0"/>
              <w:iCs w:val="0"/>
              <w:sz w:val="32"/>
              <w:szCs w:val="32"/>
              <w:highlight w:val="none"/>
            </w:rPr>
            <w:t>部分</w:t>
          </w:r>
          <w:r>
            <w:rPr>
              <w:rFonts w:hint="eastAsia" w:ascii="仿宋_GB2312" w:hAnsi="仿宋_GB2312" w:eastAsia="仿宋_GB2312" w:cs="仿宋_GB2312"/>
              <w:i w:val="0"/>
              <w:iCs w:val="0"/>
              <w:sz w:val="32"/>
              <w:szCs w:val="32"/>
              <w:highlight w:val="none"/>
              <w:lang w:val="en-US" w:eastAsia="zh-CN"/>
            </w:rPr>
            <w:t xml:space="preserve">  </w:t>
          </w:r>
          <w:r>
            <w:rPr>
              <w:rFonts w:hint="eastAsia" w:ascii="仿宋_GB2312" w:hAnsi="仿宋_GB2312" w:eastAsia="仿宋_GB2312" w:cs="仿宋_GB2312"/>
              <w:i w:val="0"/>
              <w:iCs w:val="0"/>
              <w:sz w:val="32"/>
              <w:szCs w:val="32"/>
              <w:highlight w:val="none"/>
            </w:rPr>
            <w:t>名词解释</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_Toc31650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16</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023D32F7">
          <w:pPr>
            <w:pStyle w:val="13"/>
            <w:tabs>
              <w:tab w:val="right" w:leader="dot" w:pos="8845"/>
              <w:tab w:val="clear" w:pos="8296"/>
            </w:tabs>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_Toc5310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第四部分</w:t>
          </w:r>
          <w:r>
            <w:rPr>
              <w:rFonts w:hint="eastAsia" w:ascii="仿宋_GB2312" w:hAnsi="仿宋_GB2312" w:eastAsia="仿宋_GB2312" w:cs="仿宋_GB2312"/>
              <w:i w:val="0"/>
              <w:iCs w:val="0"/>
              <w:sz w:val="32"/>
              <w:szCs w:val="32"/>
              <w:highlight w:val="none"/>
              <w:lang w:val="en-US" w:eastAsia="zh-CN"/>
            </w:rPr>
            <w:t xml:space="preserve"> </w:t>
          </w:r>
          <w:r>
            <w:rPr>
              <w:rFonts w:hint="eastAsia" w:ascii="仿宋_GB2312" w:hAnsi="仿宋_GB2312" w:eastAsia="仿宋_GB2312" w:cs="仿宋_GB2312"/>
              <w:i w:val="0"/>
              <w:iCs w:val="0"/>
              <w:sz w:val="32"/>
              <w:szCs w:val="32"/>
              <w:highlight w:val="none"/>
            </w:rPr>
            <w:t xml:space="preserve"> 附件</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_Toc5310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22</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17E309B9">
          <w:pPr>
            <w:pStyle w:val="13"/>
            <w:tabs>
              <w:tab w:val="right" w:leader="dot" w:pos="8845"/>
              <w:tab w:val="clear" w:pos="8296"/>
            </w:tabs>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_Toc7061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 xml:space="preserve">第五部分 </w:t>
          </w:r>
          <w:r>
            <w:rPr>
              <w:rFonts w:hint="eastAsia" w:ascii="仿宋_GB2312" w:hAnsi="仿宋_GB2312" w:eastAsia="仿宋_GB2312" w:cs="仿宋_GB2312"/>
              <w:i w:val="0"/>
              <w:iCs w:val="0"/>
              <w:sz w:val="32"/>
              <w:szCs w:val="32"/>
              <w:highlight w:val="none"/>
              <w:lang w:val="en-US" w:eastAsia="zh-CN"/>
            </w:rPr>
            <w:t xml:space="preserve"> </w:t>
          </w:r>
          <w:r>
            <w:rPr>
              <w:rFonts w:hint="eastAsia" w:ascii="仿宋_GB2312" w:hAnsi="仿宋_GB2312" w:eastAsia="仿宋_GB2312" w:cs="仿宋_GB2312"/>
              <w:i w:val="0"/>
              <w:iCs w:val="0"/>
              <w:sz w:val="32"/>
              <w:szCs w:val="32"/>
              <w:highlight w:val="none"/>
            </w:rPr>
            <w:t>附表</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_Toc7061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70</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7C3B3378">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_Toc29325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一、收入支出决算总表</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_Toc29325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70</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2EB5F0C3">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_Toc18729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二、收入决算表</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_Toc18729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70</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65CAE891">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_Toc5695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三、支出决算表</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_Toc5695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70</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59428D9D">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_Toc20976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四、财政拨款收入支出决算总表</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_Toc20976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70</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7476FF07">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_Toc13554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五、财政拨款支出决算明细表</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_Toc13554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70</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0052A636">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_Toc3287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六、一般公共预算财政拨款支出决算表</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_Toc3287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70</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1D854DEB">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_Toc30937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七、一般公共预算财政拨款支出决算明细表</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_Toc30937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70</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24CC3997">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_Toc13940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八、一般公共预算财政拨款基本支出决算表</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_Toc13940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70</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27A01381">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_Toc8877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九、一般公共预算财政拨款项目支出决算表</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_Toc8877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70</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04C9E99C">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_Toc12562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十、政府性基金预算财政拨款收入支出决算表</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_Toc12562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70</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739E5637">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_Toc1573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十一、国有资本经营预算</w:t>
          </w:r>
          <w:r>
            <w:rPr>
              <w:rFonts w:hint="eastAsia" w:ascii="仿宋_GB2312" w:hAnsi="仿宋_GB2312" w:eastAsia="仿宋_GB2312" w:cs="仿宋_GB2312"/>
              <w:i w:val="0"/>
              <w:iCs w:val="0"/>
              <w:sz w:val="32"/>
              <w:szCs w:val="32"/>
              <w:highlight w:val="none"/>
              <w:lang w:eastAsia="zh-CN"/>
            </w:rPr>
            <w:t>财政拨款收入</w:t>
          </w:r>
          <w:r>
            <w:rPr>
              <w:rFonts w:hint="eastAsia" w:ascii="仿宋_GB2312" w:hAnsi="仿宋_GB2312" w:eastAsia="仿宋_GB2312" w:cs="仿宋_GB2312"/>
              <w:i w:val="0"/>
              <w:iCs w:val="0"/>
              <w:sz w:val="32"/>
              <w:szCs w:val="32"/>
              <w:highlight w:val="none"/>
            </w:rPr>
            <w:t>支出决算表</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_Toc1573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70</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39BE564B">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_Toc23002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十二、</w:t>
          </w:r>
          <w:r>
            <w:rPr>
              <w:rFonts w:hint="eastAsia" w:ascii="仿宋_GB2312" w:hAnsi="仿宋_GB2312" w:eastAsia="仿宋_GB2312" w:cs="仿宋_GB2312"/>
              <w:i w:val="0"/>
              <w:iCs w:val="0"/>
              <w:sz w:val="32"/>
              <w:szCs w:val="32"/>
              <w:highlight w:val="none"/>
              <w:lang w:eastAsia="zh-CN"/>
            </w:rPr>
            <w:t>国有资本经营预算财政拨款支出决算表</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_Toc23002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70</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07592876">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640" w:firstLineChars="200"/>
            <w:textAlignment w:val="auto"/>
          </w:pP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HYPERLINK \l _Toc10981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highlight w:val="none"/>
            </w:rPr>
            <w:t>十三、</w:t>
          </w:r>
          <w:r>
            <w:rPr>
              <w:rFonts w:hint="eastAsia" w:ascii="仿宋_GB2312" w:hAnsi="仿宋_GB2312" w:eastAsia="仿宋_GB2312" w:cs="仿宋_GB2312"/>
              <w:i w:val="0"/>
              <w:iCs w:val="0"/>
              <w:sz w:val="32"/>
              <w:szCs w:val="32"/>
              <w:highlight w:val="none"/>
              <w:lang w:eastAsia="zh-CN"/>
            </w:rPr>
            <w:t>财政拨款“三公”经费支出决算表</w:t>
          </w:r>
          <w:r>
            <w:rPr>
              <w:rFonts w:hint="eastAsia" w:ascii="仿宋_GB2312" w:hAnsi="仿宋_GB2312" w:eastAsia="仿宋_GB2312" w:cs="仿宋_GB2312"/>
              <w:i w:val="0"/>
              <w:iCs w:val="0"/>
              <w:sz w:val="32"/>
              <w:szCs w:val="32"/>
            </w:rPr>
            <w:tab/>
          </w:r>
          <w:r>
            <w:rPr>
              <w:rFonts w:hint="eastAsia" w:ascii="仿宋_GB2312" w:hAnsi="仿宋_GB2312" w:eastAsia="仿宋_GB2312" w:cs="仿宋_GB2312"/>
              <w:i w:val="0"/>
              <w:iCs w:val="0"/>
              <w:sz w:val="32"/>
              <w:szCs w:val="32"/>
            </w:rPr>
            <w:fldChar w:fldCharType="begin"/>
          </w:r>
          <w:r>
            <w:rPr>
              <w:rFonts w:hint="eastAsia" w:ascii="仿宋_GB2312" w:hAnsi="仿宋_GB2312" w:eastAsia="仿宋_GB2312" w:cs="仿宋_GB2312"/>
              <w:i w:val="0"/>
              <w:iCs w:val="0"/>
              <w:sz w:val="32"/>
              <w:szCs w:val="32"/>
            </w:rPr>
            <w:instrText xml:space="preserve"> PAGEREF _Toc10981 \h </w:instrText>
          </w:r>
          <w:r>
            <w:rPr>
              <w:rFonts w:hint="eastAsia" w:ascii="仿宋_GB2312" w:hAnsi="仿宋_GB2312" w:eastAsia="仿宋_GB2312" w:cs="仿宋_GB2312"/>
              <w:i w:val="0"/>
              <w:iCs w:val="0"/>
              <w:sz w:val="32"/>
              <w:szCs w:val="32"/>
            </w:rPr>
            <w:fldChar w:fldCharType="separate"/>
          </w:r>
          <w:r>
            <w:rPr>
              <w:rFonts w:hint="eastAsia" w:ascii="仿宋_GB2312" w:hAnsi="仿宋_GB2312" w:eastAsia="仿宋_GB2312" w:cs="仿宋_GB2312"/>
              <w:i w:val="0"/>
              <w:iCs w:val="0"/>
              <w:sz w:val="32"/>
              <w:szCs w:val="32"/>
            </w:rPr>
            <w:t>70</w:t>
          </w:r>
          <w:r>
            <w:rPr>
              <w:rFonts w:hint="eastAsia" w:ascii="仿宋_GB2312" w:hAnsi="仿宋_GB2312" w:eastAsia="仿宋_GB2312" w:cs="仿宋_GB2312"/>
              <w:i w:val="0"/>
              <w:iCs w:val="0"/>
              <w:sz w:val="32"/>
              <w:szCs w:val="32"/>
            </w:rPr>
            <w:fldChar w:fldCharType="end"/>
          </w:r>
          <w:r>
            <w:rPr>
              <w:rFonts w:hint="eastAsia" w:ascii="仿宋_GB2312" w:hAnsi="仿宋_GB2312" w:eastAsia="仿宋_GB2312" w:cs="仿宋_GB2312"/>
              <w:i w:val="0"/>
              <w:iCs w:val="0"/>
              <w:sz w:val="32"/>
              <w:szCs w:val="32"/>
            </w:rPr>
            <w:fldChar w:fldCharType="end"/>
          </w:r>
        </w:p>
        <w:p w14:paraId="1E41C7CC">
          <w:pPr>
            <w:rPr>
              <w:rFonts w:hint="eastAsia" w:ascii="宋体" w:hAnsi="宋体" w:eastAsia="宋体" w:cs="Times New Roman"/>
              <w:kern w:val="2"/>
              <w:sz w:val="21"/>
              <w:szCs w:val="24"/>
              <w:lang w:val="en-US" w:eastAsia="zh-CN" w:bidi="ar-SA"/>
            </w:rPr>
            <w:sectPr>
              <w:footerReference r:id="rId6" w:type="first"/>
              <w:footerReference r:id="rId5" w:type="default"/>
              <w:pgSz w:w="11906" w:h="16838"/>
              <w:pgMar w:top="2098" w:right="1474" w:bottom="1984" w:left="1587" w:header="851" w:footer="1304" w:gutter="0"/>
              <w:pgNumType w:fmt="decimal" w:start="1"/>
              <w:cols w:space="0" w:num="1"/>
              <w:titlePg/>
              <w:rtlGutter w:val="0"/>
              <w:docGrid w:type="lines" w:linePitch="312" w:charSpace="0"/>
            </w:sectPr>
          </w:pPr>
          <w:r>
            <w:fldChar w:fldCharType="end"/>
          </w:r>
        </w:p>
      </w:sdtContent>
    </w:sdt>
    <w:p w14:paraId="2234F46F">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8" w:name="_Toc8264"/>
      <w:r>
        <w:rPr>
          <w:rFonts w:hint="eastAsia" w:ascii="方正小标宋简体" w:hAnsi="方正小标宋简体" w:eastAsia="方正小标宋简体" w:cs="方正小标宋简体"/>
          <w:color w:val="auto"/>
          <w:sz w:val="44"/>
          <w:szCs w:val="44"/>
          <w:highlight w:val="none"/>
        </w:rPr>
        <w:t>第一部分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部门概况</w:t>
      </w:r>
      <w:bookmarkEnd w:id="6"/>
      <w:bookmarkEnd w:id="7"/>
      <w:bookmarkEnd w:id="8"/>
    </w:p>
    <w:p w14:paraId="3DEC849B">
      <w:pPr>
        <w:keepNext w:val="0"/>
        <w:keepLines w:val="0"/>
        <w:pageBreakBefore w:val="0"/>
        <w:widowControl w:val="0"/>
        <w:kinsoku/>
        <w:wordWrap/>
        <w:overflowPunct w:val="0"/>
        <w:topLinePunct/>
        <w:autoSpaceDE w:val="0"/>
        <w:autoSpaceDN w:val="0"/>
        <w:bidi w:val="0"/>
        <w:textAlignment w:val="auto"/>
        <w:rPr>
          <w:rFonts w:hint="eastAsia"/>
        </w:rPr>
      </w:pPr>
    </w:p>
    <w:p w14:paraId="7E8F20BB">
      <w:pPr>
        <w:keepNext w:val="0"/>
        <w:keepLines w:val="0"/>
        <w:pageBreakBefore w:val="0"/>
        <w:widowControl w:val="0"/>
        <w:numPr>
          <w:ilvl w:val="0"/>
          <w:numId w:val="1"/>
        </w:numPr>
        <w:kinsoku/>
        <w:wordWrap/>
        <w:overflowPunct w:val="0"/>
        <w:topLinePunct/>
        <w:autoSpaceDE w:val="0"/>
        <w:autoSpaceDN w:val="0"/>
        <w:bidi w:val="0"/>
        <w:spacing w:before="0" w:after="0" w:line="576" w:lineRule="exact"/>
        <w:ind w:firstLine="640" w:firstLineChars="200"/>
        <w:textAlignment w:val="auto"/>
        <w:outlineLvl w:val="0"/>
        <w:rPr>
          <w:rFonts w:hint="eastAsia" w:ascii="Times New Roman" w:hAnsi="Times New Roman" w:eastAsia="黑体"/>
          <w:b w:val="0"/>
          <w:color w:val="auto"/>
          <w:sz w:val="32"/>
          <w:szCs w:val="32"/>
          <w:highlight w:val="none"/>
          <w:lang w:eastAsia="zh-CN"/>
        </w:rPr>
      </w:pPr>
      <w:bookmarkStart w:id="9" w:name="_Toc14259"/>
      <w:r>
        <w:rPr>
          <w:rFonts w:hint="eastAsia" w:ascii="Times New Roman" w:hAnsi="Times New Roman" w:eastAsia="黑体"/>
          <w:b w:val="0"/>
          <w:color w:val="auto"/>
          <w:sz w:val="32"/>
          <w:szCs w:val="32"/>
          <w:highlight w:val="none"/>
          <w:lang w:eastAsia="zh-CN"/>
        </w:rPr>
        <w:t>部门职责</w:t>
      </w:r>
      <w:bookmarkEnd w:id="9"/>
    </w:p>
    <w:p w14:paraId="3F35D706">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1"/>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（一）主要职能。</w:t>
      </w:r>
    </w:p>
    <w:p w14:paraId="42B236CE">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bidi="ar"/>
        </w:rPr>
        <w:t>（一）起草民政工作规范性文件，拟订全区民政事业发展规划、政策、标准并组织实施。</w:t>
      </w:r>
    </w:p>
    <w:p w14:paraId="7D53B95D">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bidi="ar"/>
        </w:rPr>
        <w:t>（二）拟订社会团体、社会服务机构等社会组织登记及监督管理办法并组织实施，依法对社会组织进行登记管理和执法监督。</w:t>
      </w:r>
    </w:p>
    <w:p w14:paraId="27B3E512">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bidi="ar"/>
        </w:rPr>
        <w:t>（三）牵头拟订全区社会救助规划、政策、标准，统筹推进社会救助体系建设，负责城乡居民最低生活保障、特困人员救助供养、临时救助、生活无着流浪乞讨人员救助工作。</w:t>
      </w:r>
    </w:p>
    <w:p w14:paraId="5556C74F">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bidi="ar"/>
        </w:rPr>
        <w:t>（四）拟订行政区划管理政策和行政区域界线、地名管理办法，负责全区乡镇以上行政区划设立、命名、撤销、变更和政府驻地迁移审核报批工作，负责村（居）民委员会的设立、撤销和范围调整；编辑本区行政区划图；负责村（居）民委员会和乡镇（街道）区划名称及其他地名的命名、更名的审核报批；发布标准地名；负责全区地名标志的设置和管理及标准地名图书资料的审定。组织并指导全区行政区域界线的勘定、管理工作，调处行政区域边界争议，负责全区地名工作的统一监督管理工作。</w:t>
      </w:r>
    </w:p>
    <w:p w14:paraId="74891EF8">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bidi="ar"/>
        </w:rPr>
        <w:t>（五）拟订婚姻管理政策并组织实施，推进婚俗改革。 </w:t>
      </w:r>
    </w:p>
    <w:p w14:paraId="0A150A81">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bidi="ar"/>
        </w:rPr>
        <w:t>（六）拟订殡葬管理政策、服务规范并组织实施，负责殡葬管理工作，推进殡葬改革。</w:t>
      </w:r>
    </w:p>
    <w:p w14:paraId="32D87A97">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bidi="ar"/>
        </w:rPr>
        <w:t>（七）拟订社会福利事业发展规划、政策、标准，拟订社会福利机构管理办法并指导实施，执行残疾人权益保护政策并监督实施。负责康复辅助器具行业管理，统筹推进残疾人福利制度建设和康复辅助器具产业发展。</w:t>
      </w:r>
    </w:p>
    <w:p w14:paraId="10B34668">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bidi="ar"/>
        </w:rPr>
        <w:t>（八）承担区老龄工作委员会办公室具体工作。拟订并协调落实积极应对人口老龄化的政策措施，组织推进全区老龄事业发展。</w:t>
      </w:r>
    </w:p>
    <w:p w14:paraId="625240EC">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bidi="ar"/>
        </w:rPr>
        <w:t>（九）组织拟订并协调落实促进养老事业发展的政策措施。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14:paraId="2289F77A">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bidi="ar"/>
        </w:rPr>
        <w:t>（十）拟订儿童福利、孤弃儿童保障、儿童收养、儿童救助保护政策和标准并组织实施，健全农村留守儿童关爱服务体系和困境儿童保障体系。负责全区儿童收养登记工作。</w:t>
      </w:r>
    </w:p>
    <w:p w14:paraId="56A87278">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bidi="ar"/>
        </w:rPr>
        <w:t>（十一）组织拟订促进慈善事业发展政策，指导社会捐助工作。负责福利彩票管理工作。</w:t>
      </w:r>
    </w:p>
    <w:p w14:paraId="6AD89D73">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bidi="ar"/>
        </w:rPr>
        <w:t>（十二）依法依规负责康复辅助器具行业和社会福利、养老服务、殡葬服务、救助管理机构安全生产监督管理工作。负责职责范围内的职业健康、生态环境保护、审批服务便民化等工作。</w:t>
      </w:r>
    </w:p>
    <w:p w14:paraId="002A01D1">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bidi="ar"/>
        </w:rPr>
        <w:t>（十三）完成区委、区政府交办的其他任务。</w:t>
      </w:r>
    </w:p>
    <w:p w14:paraId="0F0B83C9">
      <w:pPr>
        <w:keepNext w:val="0"/>
        <w:keepLines w:val="0"/>
        <w:pageBreakBefore w:val="0"/>
        <w:widowControl/>
        <w:shd w:val="clear" w:color="auto" w:fill="FFFFFF"/>
        <w:kinsoku/>
        <w:wordWrap/>
        <w:bidi w:val="0"/>
        <w:adjustRightInd/>
        <w:snapToGrid/>
        <w:spacing w:beforeLines="0" w:afterLines="0" w:line="576" w:lineRule="exact"/>
        <w:ind w:firstLine="420"/>
        <w:textAlignment w:val="auto"/>
        <w:rPr>
          <w:rFonts w:hint="eastAsia" w:ascii="仿宋_GB2312" w:hAnsi="仿宋_GB2312" w:eastAsia="仿宋_GB2312" w:cs="仿宋_GB2312"/>
          <w:color w:val="333333"/>
          <w:sz w:val="32"/>
          <w:szCs w:val="32"/>
          <w:shd w:val="clear" w:color="auto" w:fill="FFFFFF"/>
          <w:lang w:bidi="ar"/>
        </w:rPr>
      </w:pPr>
      <w:r>
        <w:rPr>
          <w:rFonts w:hint="eastAsia" w:ascii="仿宋_GB2312" w:hAnsi="仿宋_GB2312" w:eastAsia="仿宋_GB2312" w:cs="仿宋_GB2312"/>
          <w:color w:val="333333"/>
          <w:sz w:val="32"/>
          <w:szCs w:val="32"/>
          <w:shd w:val="clear" w:color="auto" w:fill="FFFFFF"/>
          <w:lang w:bidi="ar"/>
        </w:rPr>
        <w:t>与其他部门的职责分工：区民政局有关基层治理、基层政权建设等职责划入区委社会工作部后，涉及村民委员会、居民委员会工作中需以政府名义出面的，区民政局协助做好工作。</w:t>
      </w:r>
    </w:p>
    <w:p w14:paraId="526B2D39">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1"/>
        <w:rPr>
          <w:rFonts w:hint="eastAsia" w:ascii="仿宋_GB2312" w:hAnsi="仿宋_GB2312" w:eastAsia="仿宋_GB2312"/>
          <w:color w:val="000000"/>
          <w:sz w:val="32"/>
          <w:szCs w:val="32"/>
          <w:highlight w:val="none"/>
          <w:lang w:val="en-US"/>
        </w:rPr>
      </w:pPr>
      <w:r>
        <w:rPr>
          <w:rFonts w:hint="eastAsia" w:ascii="仿宋_GB2312" w:hAnsi="仿宋_GB2312" w:eastAsia="仿宋_GB2312"/>
          <w:color w:val="000000"/>
          <w:sz w:val="32"/>
          <w:szCs w:val="32"/>
          <w:highlight w:val="none"/>
          <w:lang w:val="en-US"/>
        </w:rPr>
        <w:t>（二）202</w:t>
      </w:r>
      <w:r>
        <w:rPr>
          <w:rFonts w:hint="eastAsia" w:ascii="仿宋_GB2312" w:hAnsi="仿宋_GB2312" w:eastAsia="仿宋_GB2312"/>
          <w:color w:val="000000"/>
          <w:sz w:val="32"/>
          <w:szCs w:val="32"/>
          <w:highlight w:val="none"/>
          <w:lang w:val="en-US" w:eastAsia="zh-CN"/>
        </w:rPr>
        <w:t>4</w:t>
      </w:r>
      <w:r>
        <w:rPr>
          <w:rFonts w:hint="eastAsia" w:ascii="仿宋_GB2312" w:hAnsi="仿宋_GB2312" w:eastAsia="仿宋_GB2312"/>
          <w:color w:val="000000"/>
          <w:sz w:val="32"/>
          <w:szCs w:val="32"/>
          <w:highlight w:val="none"/>
          <w:lang w:val="en-US"/>
        </w:rPr>
        <w:t>年重点工作完成情况。</w:t>
      </w:r>
    </w:p>
    <w:p w14:paraId="10CF1B04">
      <w:pPr>
        <w:keepNext w:val="0"/>
        <w:keepLines w:val="0"/>
        <w:pageBreakBefore w:val="0"/>
        <w:widowControl/>
        <w:numPr>
          <w:ilvl w:val="0"/>
          <w:numId w:val="2"/>
        </w:numPr>
        <w:pBdr>
          <w:bottom w:val="single" w:color="FFFFFF" w:sz="8" w:space="31"/>
        </w:pBdr>
        <w:shd w:val="clear" w:color="auto" w:fill="FFFFFF"/>
        <w:kinsoku/>
        <w:wordWrap/>
        <w:autoSpaceDN/>
        <w:bidi w:val="0"/>
        <w:adjustRightInd/>
        <w:snapToGrid/>
        <w:spacing w:line="576" w:lineRule="exact"/>
        <w:ind w:left="0" w:leftChars="0" w:firstLine="464" w:firstLine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救助保障持续加强。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争取到位上级社会救助补助资金6312.73万元，同比增长26.25%，增幅居全市第一。全区城乡低保、城乡特困、孤儿和事实无人抚养儿童、两残等兜底保障对象20322人，占户籍人口8.84%，其中城乡低保19494人，占8.5%，高出全市平均水平0.41个百分点，保障水平每人每月286元，高出全市平均水平45元，社会救助低保对象动态调整权限下放改革工作在全市培训会上作经验交流并承办现场会。《四川广元昭化区：做好低保服务“加减法”提升困难群众幸福感》被《人民日报》《中国民政》刊载。</w:t>
      </w:r>
    </w:p>
    <w:p w14:paraId="6DE68E20">
      <w:pPr>
        <w:keepNext w:val="0"/>
        <w:keepLines w:val="0"/>
        <w:pageBreakBefore w:val="0"/>
        <w:widowControl/>
        <w:numPr>
          <w:ilvl w:val="0"/>
          <w:numId w:val="2"/>
        </w:numPr>
        <w:pBdr>
          <w:bottom w:val="single" w:color="FFFFFF" w:sz="8" w:space="31"/>
        </w:pBdr>
        <w:shd w:val="clear" w:color="auto" w:fill="FFFFFF"/>
        <w:kinsoku/>
        <w:wordWrap/>
        <w:autoSpaceDN/>
        <w:bidi w:val="0"/>
        <w:adjustRightInd/>
        <w:snapToGrid/>
        <w:spacing w:line="576" w:lineRule="exact"/>
        <w:ind w:left="0" w:leftChars="0" w:firstLine="464" w:firstLine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“一老一小”服务提质。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个养老机构、3个社区综合体、4个村级养老服务站全面运行，服务水平全面提升，三级养老服务体系初步形成。农村困难老人集中入住60人，兜底养老、公建民营、医养结合三种模式开花结果，社区养老服务有了星星之火，农村居家互助式养老呈燎原之势。开展助餐服务，让老年人有了“幸福食光”。大力培养人才队伍和社会力量参与养老业态，银发经济有新增长点。有关做法被《中国民政》刊载。社会慈善助力26名大学生“金秋圆梦”，200名小学生“温暖过冬”。儿童工作在全市做经验交流，《昭化区探索实施“替代服务”给留守儿童“家的温暖”》被《四川日报》报道。</w:t>
      </w:r>
    </w:p>
    <w:p w14:paraId="09787311">
      <w:pPr>
        <w:keepNext w:val="0"/>
        <w:keepLines w:val="0"/>
        <w:pageBreakBefore w:val="0"/>
        <w:widowControl/>
        <w:numPr>
          <w:ilvl w:val="0"/>
          <w:numId w:val="2"/>
        </w:numPr>
        <w:pBdr>
          <w:bottom w:val="single" w:color="FFFFFF" w:sz="8" w:space="31"/>
        </w:pBdr>
        <w:shd w:val="clear" w:color="auto" w:fill="FFFFFF"/>
        <w:kinsoku/>
        <w:wordWrap/>
        <w:autoSpaceDN/>
        <w:bidi w:val="0"/>
        <w:adjustRightInd/>
        <w:snapToGrid/>
        <w:spacing w:line="576" w:lineRule="exact"/>
        <w:ind w:left="0" w:leftChars="0" w:firstLine="464" w:firstLine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婚姻殡葬管理提升。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持续推进婚俗改革，1233模式在省民政厅内部刊载交流，婚登中心标准化加快建设，举办柏林沟景区集体婚礼。开展殡葬领域群众身边不正之风和腐败问题专项整治，对公益性公墓偏离公益属性、未全覆盖发放惠民殡葬补贴、违规占地等问题全面摸排，边查边改、推进整改，达到“双减双降双升双治”整治目标，群众治丧支付下降40%，殡葬工作分别被中国社会报、CCTV4中文国际等宣传报道。</w:t>
      </w:r>
    </w:p>
    <w:p w14:paraId="4B40842B">
      <w:pPr>
        <w:keepNext w:val="0"/>
        <w:keepLines w:val="0"/>
        <w:pageBreakBefore w:val="0"/>
        <w:widowControl/>
        <w:numPr>
          <w:ilvl w:val="0"/>
          <w:numId w:val="2"/>
        </w:numPr>
        <w:pBdr>
          <w:bottom w:val="single" w:color="FFFFFF" w:sz="8" w:space="31"/>
        </w:pBdr>
        <w:shd w:val="clear" w:color="auto" w:fill="FFFFFF"/>
        <w:kinsoku/>
        <w:wordWrap/>
        <w:autoSpaceDN/>
        <w:bidi w:val="0"/>
        <w:adjustRightInd/>
        <w:snapToGrid/>
        <w:spacing w:line="576" w:lineRule="exact"/>
        <w:ind w:left="0" w:leftChars="0" w:firstLine="464"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民生实事有序推进。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省定3项民生实事，市定2项，区定3项民生实事均按计划完成。低保救助对象、农村老年人、困境儿童、流浪乞讨四大巡访探视服务有序开展。</w:t>
      </w:r>
    </w:p>
    <w:p w14:paraId="5757EA2D">
      <w:pPr>
        <w:keepNext w:val="0"/>
        <w:keepLines w:val="0"/>
        <w:pageBreakBefore w:val="0"/>
        <w:widowControl/>
        <w:numPr>
          <w:ilvl w:val="0"/>
          <w:numId w:val="2"/>
        </w:numPr>
        <w:pBdr>
          <w:bottom w:val="single" w:color="FFFFFF" w:sz="8" w:space="31"/>
        </w:pBdr>
        <w:shd w:val="clear" w:color="auto" w:fill="FFFFFF"/>
        <w:kinsoku/>
        <w:wordWrap/>
        <w:autoSpaceDN/>
        <w:bidi w:val="0"/>
        <w:adjustRightInd/>
        <w:snapToGrid/>
        <w:spacing w:line="576" w:lineRule="exact"/>
        <w:ind w:left="0" w:leftChars="0" w:firstLine="464"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经济指标平稳运行。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争取到位资金8395.8537万元，完成率121%，；固定投资完成2434万元，完成率60.85%，开展投资促进活动5次，洽谈项目1个，12月完成签约，2025年1月1日投资项目“栖凤居”正式开业。栖凤失能老人照护楼主体完工</w:t>
      </w:r>
      <w:r>
        <w:rPr>
          <w:rFonts w:hint="eastAsia" w:ascii="仿宋_GB2312" w:hAnsi="仿宋_GB2312" w:eastAsia="仿宋_GB2312" w:cs="仿宋_GB2312"/>
          <w:bCs/>
          <w:color w:val="auto"/>
          <w:kern w:val="0"/>
          <w:sz w:val="32"/>
          <w:szCs w:val="32"/>
          <w:lang w:val="en-US" w:eastAsia="zh-CN" w:bidi="ar"/>
        </w:rPr>
        <w:t>。</w:t>
      </w:r>
    </w:p>
    <w:p w14:paraId="78CA3AED">
      <w:pPr>
        <w:keepNext w:val="0"/>
        <w:keepLines w:val="0"/>
        <w:pageBreakBefore w:val="0"/>
        <w:widowControl w:val="0"/>
        <w:numPr>
          <w:ilvl w:val="0"/>
          <w:numId w:val="1"/>
        </w:numPr>
        <w:kinsoku/>
        <w:wordWrap/>
        <w:overflowPunct w:val="0"/>
        <w:topLinePunct/>
        <w:autoSpaceDE w:val="0"/>
        <w:autoSpaceDN w:val="0"/>
        <w:bidi w:val="0"/>
        <w:spacing w:before="0" w:after="0" w:line="576" w:lineRule="exact"/>
        <w:ind w:left="0" w:leftChars="0" w:firstLine="640" w:firstLineChars="200"/>
        <w:textAlignment w:val="auto"/>
        <w:outlineLvl w:val="0"/>
        <w:rPr>
          <w:rStyle w:val="32"/>
          <w:rFonts w:hint="eastAsia" w:ascii="Times New Roman" w:hAnsi="Times New Roman" w:eastAsia="黑体"/>
          <w:b w:val="0"/>
          <w:bCs w:val="0"/>
          <w:color w:val="auto"/>
          <w:sz w:val="32"/>
          <w:szCs w:val="32"/>
          <w:highlight w:val="none"/>
        </w:rPr>
      </w:pPr>
      <w:bookmarkStart w:id="10" w:name="_Toc15396601"/>
      <w:bookmarkStart w:id="11" w:name="_Toc26675"/>
      <w:bookmarkStart w:id="12" w:name="_Toc15377200"/>
      <w:r>
        <w:rPr>
          <w:rFonts w:hint="eastAsia" w:ascii="Times New Roman" w:hAnsi="Times New Roman" w:eastAsia="黑体"/>
          <w:b w:val="0"/>
          <w:color w:val="auto"/>
          <w:sz w:val="32"/>
          <w:szCs w:val="32"/>
          <w:highlight w:val="none"/>
        </w:rPr>
        <w:t>机</w:t>
      </w:r>
      <w:r>
        <w:rPr>
          <w:rStyle w:val="32"/>
          <w:rFonts w:hint="eastAsia" w:ascii="Times New Roman" w:hAnsi="Times New Roman" w:eastAsia="黑体"/>
          <w:b w:val="0"/>
          <w:bCs w:val="0"/>
          <w:color w:val="auto"/>
          <w:sz w:val="32"/>
          <w:szCs w:val="32"/>
          <w:highlight w:val="none"/>
        </w:rPr>
        <w:t>构设置</w:t>
      </w:r>
      <w:bookmarkEnd w:id="10"/>
      <w:bookmarkEnd w:id="11"/>
      <w:bookmarkEnd w:id="12"/>
    </w:p>
    <w:p w14:paraId="6360D45A">
      <w:pPr>
        <w:keepNext w:val="0"/>
        <w:keepLines w:val="0"/>
        <w:pageBreakBefore w:val="0"/>
        <w:widowControl w:val="0"/>
        <w:kinsoku/>
        <w:wordWrap/>
        <w:bidi w:val="0"/>
        <w:spacing w:beforeLines="0" w:afterLines="0" w:line="576" w:lineRule="exact"/>
        <w:ind w:firstLine="640"/>
        <w:jc w:val="both"/>
        <w:textAlignment w:val="auto"/>
        <w:rPr>
          <w:rFonts w:hint="eastAsia" w:ascii="Times New Roman" w:hAnsi="Times New Roman" w:eastAsia="仿宋_GB2312"/>
          <w:kern w:val="2"/>
          <w:sz w:val="32"/>
          <w:szCs w:val="24"/>
        </w:rPr>
      </w:pPr>
      <w:r>
        <w:rPr>
          <w:rFonts w:hint="eastAsia" w:ascii="Times New Roman" w:hAnsi="Times New Roman" w:eastAsia="仿宋_GB2312"/>
          <w:kern w:val="2"/>
          <w:sz w:val="32"/>
          <w:szCs w:val="24"/>
        </w:rPr>
        <w:t>广元市昭化区</w:t>
      </w:r>
      <w:r>
        <w:rPr>
          <w:rFonts w:hint="eastAsia" w:eastAsia="仿宋_GB2312"/>
          <w:kern w:val="2"/>
          <w:sz w:val="32"/>
          <w:szCs w:val="24"/>
          <w:lang w:eastAsia="zh-CN"/>
        </w:rPr>
        <w:t>民政局</w:t>
      </w:r>
      <w:r>
        <w:rPr>
          <w:rFonts w:hint="eastAsia" w:ascii="Times New Roman" w:hAnsi="Times New Roman" w:eastAsia="仿宋_GB2312"/>
          <w:kern w:val="2"/>
          <w:sz w:val="32"/>
          <w:szCs w:val="24"/>
        </w:rPr>
        <w:t>部门属于一级预算单位，下属预算单位</w:t>
      </w:r>
      <w:r>
        <w:rPr>
          <w:rFonts w:hint="eastAsia" w:ascii="Times New Roman" w:hAnsi="Times New Roman" w:eastAsia="仿宋_GB2312"/>
          <w:kern w:val="2"/>
          <w:sz w:val="32"/>
          <w:szCs w:val="24"/>
          <w:lang w:val="en-US" w:eastAsia="zh-CN"/>
        </w:rPr>
        <w:t>1</w:t>
      </w:r>
      <w:r>
        <w:rPr>
          <w:rFonts w:hint="eastAsia" w:ascii="Times New Roman" w:hAnsi="Times New Roman" w:eastAsia="仿宋_GB2312"/>
          <w:kern w:val="2"/>
          <w:sz w:val="32"/>
          <w:szCs w:val="24"/>
        </w:rPr>
        <w:t>个，其中行政单位</w:t>
      </w:r>
      <w:r>
        <w:rPr>
          <w:rFonts w:hint="eastAsia" w:eastAsia="仿宋_GB2312"/>
          <w:kern w:val="2"/>
          <w:sz w:val="32"/>
          <w:szCs w:val="24"/>
          <w:lang w:val="en-US" w:eastAsia="zh-CN"/>
        </w:rPr>
        <w:t>1</w:t>
      </w:r>
      <w:r>
        <w:rPr>
          <w:rFonts w:hint="eastAsia" w:ascii="Times New Roman" w:hAnsi="Times New Roman" w:eastAsia="仿宋_GB2312"/>
          <w:kern w:val="2"/>
          <w:sz w:val="32"/>
          <w:szCs w:val="24"/>
        </w:rPr>
        <w:t>个，参照公务员法管理的事业单位0个，其他事业单位</w:t>
      </w:r>
      <w:r>
        <w:rPr>
          <w:rFonts w:hint="eastAsia" w:eastAsia="仿宋_GB2312"/>
          <w:kern w:val="2"/>
          <w:sz w:val="32"/>
          <w:szCs w:val="24"/>
          <w:lang w:val="en-US" w:eastAsia="zh-CN"/>
        </w:rPr>
        <w:t>0</w:t>
      </w:r>
      <w:bookmarkStart w:id="94" w:name="_GoBack"/>
      <w:bookmarkEnd w:id="94"/>
      <w:r>
        <w:rPr>
          <w:rFonts w:hint="eastAsia" w:ascii="Times New Roman" w:hAnsi="Times New Roman" w:eastAsia="仿宋_GB2312"/>
          <w:kern w:val="2"/>
          <w:sz w:val="32"/>
          <w:szCs w:val="24"/>
        </w:rPr>
        <w:t>个。</w:t>
      </w:r>
    </w:p>
    <w:p w14:paraId="6DB0F915">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i/>
          <w:color w:val="000000"/>
          <w:sz w:val="32"/>
          <w:szCs w:val="32"/>
          <w:highlight w:val="yellow"/>
          <w:lang w:val="en-US" w:eastAsia="zh-CN"/>
        </w:rPr>
      </w:pPr>
      <w:r>
        <w:rPr>
          <w:rFonts w:hint="eastAsia" w:ascii="Times New Roman" w:hAnsi="Times New Roman" w:eastAsia="仿宋_GB2312"/>
          <w:color w:val="000000"/>
          <w:sz w:val="32"/>
          <w:szCs w:val="24"/>
        </w:rPr>
        <w:t>纳入202</w:t>
      </w:r>
      <w:r>
        <w:rPr>
          <w:rFonts w:hint="eastAsia" w:ascii="Times New Roman" w:hAnsi="Times New Roman" w:eastAsia="仿宋_GB2312"/>
          <w:color w:val="000000"/>
          <w:sz w:val="32"/>
          <w:szCs w:val="24"/>
          <w:lang w:val="en-US" w:eastAsia="zh-CN"/>
        </w:rPr>
        <w:t>4</w:t>
      </w:r>
      <w:r>
        <w:rPr>
          <w:rFonts w:hint="eastAsia" w:ascii="Times New Roman" w:hAnsi="Times New Roman" w:eastAsia="仿宋_GB2312"/>
          <w:color w:val="000000"/>
          <w:sz w:val="32"/>
          <w:szCs w:val="24"/>
        </w:rPr>
        <w:t>年度部门决算编制范围的预算单位包括：广元市昭化区</w:t>
      </w:r>
      <w:r>
        <w:rPr>
          <w:rFonts w:hint="eastAsia" w:eastAsia="仿宋_GB2312"/>
          <w:color w:val="000000"/>
          <w:sz w:val="32"/>
          <w:szCs w:val="24"/>
          <w:lang w:eastAsia="zh-CN"/>
        </w:rPr>
        <w:t>民政局。</w:t>
      </w:r>
    </w:p>
    <w:p w14:paraId="254EE81B">
      <w:pPr>
        <w:keepNext w:val="0"/>
        <w:keepLines w:val="0"/>
        <w:pageBreakBefore w:val="0"/>
        <w:widowControl/>
        <w:pBdr>
          <w:bottom w:val="single" w:color="FFFFFF" w:sz="8" w:space="31"/>
        </w:pBdr>
        <w:shd w:val="clear" w:color="auto" w:fill="FFFFFF"/>
        <w:kinsoku/>
        <w:wordWrap/>
        <w:autoSpaceDE w:val="0"/>
        <w:autoSpaceDN/>
        <w:bidi w:val="0"/>
        <w:adjustRightInd w:val="0"/>
        <w:snapToGrid/>
        <w:spacing w:line="576" w:lineRule="exact"/>
        <w:jc w:val="both"/>
        <w:textAlignment w:val="auto"/>
        <w:rPr>
          <w:rFonts w:hint="eastAsia"/>
        </w:rPr>
      </w:pPr>
    </w:p>
    <w:p w14:paraId="24872547">
      <w:pPr>
        <w:keepNext w:val="0"/>
        <w:keepLines w:val="0"/>
        <w:pageBreakBefore w:val="0"/>
        <w:widowControl w:val="0"/>
        <w:kinsoku/>
        <w:wordWrap/>
        <w:overflowPunct w:val="0"/>
        <w:topLinePunct/>
        <w:autoSpaceDE w:val="0"/>
        <w:autoSpaceDN w:val="0"/>
        <w:bidi w:val="0"/>
        <w:spacing w:line="576" w:lineRule="exact"/>
        <w:ind w:firstLine="883" w:firstLineChars="200"/>
        <w:jc w:val="both"/>
        <w:textAlignment w:val="auto"/>
        <w:outlineLvl w:val="9"/>
        <w:rPr>
          <w:rFonts w:hint="eastAsia" w:ascii="黑体" w:hAnsi="黑体" w:eastAsia="仿宋_GB2312"/>
          <w:b/>
          <w:color w:val="auto"/>
          <w:kern w:val="44"/>
          <w:sz w:val="44"/>
          <w:szCs w:val="24"/>
          <w:lang w:val="en-US" w:eastAsia="zh-CN"/>
        </w:rPr>
      </w:pPr>
    </w:p>
    <w:p w14:paraId="63447462">
      <w:pPr>
        <w:keepNext w:val="0"/>
        <w:keepLines w:val="0"/>
        <w:pageBreakBefore w:val="0"/>
        <w:widowControl w:val="0"/>
        <w:kinsoku/>
        <w:wordWrap/>
        <w:overflowPunct w:val="0"/>
        <w:topLinePunct/>
        <w:autoSpaceDE w:val="0"/>
        <w:autoSpaceDN w:val="0"/>
        <w:bidi w:val="0"/>
        <w:jc w:val="left"/>
        <w:textAlignment w:val="auto"/>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49C34A8C">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pPr>
      <w:bookmarkStart w:id="13" w:name="_Toc15377204"/>
      <w:bookmarkStart w:id="14" w:name="_Toc29984"/>
      <w:bookmarkStart w:id="15" w:name="_Toc15396602"/>
      <w:r>
        <w:rPr>
          <w:rFonts w:hint="eastAsia" w:ascii="方正小标宋简体" w:hAnsi="方正小标宋简体" w:eastAsia="方正小标宋简体" w:cs="方正小标宋简体"/>
          <w:color w:val="auto"/>
          <w:sz w:val="44"/>
          <w:szCs w:val="44"/>
          <w:highlight w:val="none"/>
        </w:rPr>
        <w:t>第二部分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lang w:val="en-US" w:eastAsia="zh-CN"/>
        </w:rPr>
        <w:t>2024年度</w:t>
      </w:r>
      <w:r>
        <w:rPr>
          <w:rFonts w:hint="eastAsia" w:ascii="方正小标宋简体" w:hAnsi="方正小标宋简体" w:eastAsia="方正小标宋简体" w:cs="方正小标宋简体"/>
          <w:color w:val="auto"/>
          <w:sz w:val="44"/>
          <w:szCs w:val="44"/>
          <w:highlight w:val="none"/>
        </w:rPr>
        <w:t>部门决算情况说明</w:t>
      </w:r>
      <w:bookmarkEnd w:id="13"/>
      <w:bookmarkEnd w:id="14"/>
      <w:bookmarkEnd w:id="15"/>
    </w:p>
    <w:p w14:paraId="6E1912FE">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0"/>
        <w:rPr>
          <w:rStyle w:val="32"/>
          <w:rFonts w:hint="eastAsia" w:ascii="Times New Roman" w:hAnsi="Times New Roman" w:eastAsia="黑体"/>
          <w:b w:val="0"/>
          <w:color w:val="auto"/>
          <w:sz w:val="32"/>
          <w:szCs w:val="32"/>
          <w:highlight w:val="none"/>
        </w:rPr>
      </w:pPr>
      <w:bookmarkStart w:id="16" w:name="_Toc15396603"/>
      <w:bookmarkStart w:id="17" w:name="_Toc11008"/>
      <w:bookmarkStart w:id="18"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sz w:val="32"/>
          <w:szCs w:val="32"/>
          <w:highlight w:val="none"/>
        </w:rPr>
        <w:t>入支出决算总体情况说明</w:t>
      </w:r>
      <w:bookmarkEnd w:id="16"/>
      <w:bookmarkEnd w:id="17"/>
      <w:bookmarkEnd w:id="18"/>
    </w:p>
    <w:p w14:paraId="00C4DEB2">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default" w:ascii="Times New Roman" w:hAnsi="Times New Roman" w:eastAsia="仿宋_GB2312" w:cs="仿宋_GB2312"/>
          <w:color w:val="auto"/>
          <w:sz w:val="32"/>
          <w:szCs w:val="32"/>
          <w:highlight w:val="red"/>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12028.09</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总计各增加2610.12万元，增长</w:t>
      </w:r>
      <w:r>
        <w:rPr>
          <w:rFonts w:hint="eastAsia" w:eastAsia="仿宋_GB2312" w:cs="仿宋_GB2312"/>
          <w:color w:val="auto"/>
          <w:sz w:val="32"/>
          <w:szCs w:val="32"/>
          <w:highlight w:val="none"/>
          <w:lang w:val="en-US" w:eastAsia="zh-CN"/>
        </w:rPr>
        <w:t>27.71</w:t>
      </w:r>
      <w:r>
        <w:rPr>
          <w:rFonts w:hint="eastAsia" w:ascii="Times New Roman" w:hAnsi="Times New Roman" w:eastAsia="仿宋_GB2312" w:cs="仿宋_GB2312"/>
          <w:color w:val="auto"/>
          <w:sz w:val="32"/>
          <w:szCs w:val="32"/>
          <w:highlight w:val="none"/>
        </w:rPr>
        <w:t>%。</w:t>
      </w:r>
      <w:r>
        <w:rPr>
          <w:rFonts w:hint="eastAsia" w:eastAsia="仿宋_GB2312" w:cs="仿宋_GB2312"/>
          <w:color w:val="auto"/>
          <w:sz w:val="32"/>
          <w:szCs w:val="32"/>
          <w:highlight w:val="none"/>
          <w:lang w:eastAsia="zh-CN"/>
        </w:rPr>
        <w:t>主要变动原因是</w:t>
      </w:r>
      <w:r>
        <w:rPr>
          <w:rFonts w:hint="eastAsia" w:ascii="Times New Roman" w:hAnsi="Times New Roman" w:eastAsia="仿宋_GB2312" w:cs="仿宋_GB2312"/>
          <w:color w:val="auto"/>
          <w:sz w:val="32"/>
          <w:szCs w:val="32"/>
          <w:highlight w:val="none"/>
        </w:rPr>
        <w:t>争取社会救助补助资金</w:t>
      </w:r>
      <w:r>
        <w:rPr>
          <w:rFonts w:hint="eastAsia" w:eastAsia="仿宋_GB2312" w:cs="仿宋_GB2312"/>
          <w:color w:val="auto"/>
          <w:sz w:val="32"/>
          <w:szCs w:val="32"/>
          <w:highlight w:val="none"/>
          <w:lang w:eastAsia="zh-CN"/>
        </w:rPr>
        <w:t>较</w:t>
      </w:r>
      <w:r>
        <w:rPr>
          <w:rFonts w:hint="eastAsia" w:eastAsia="仿宋_GB2312" w:cs="仿宋_GB2312"/>
          <w:color w:val="auto"/>
          <w:sz w:val="32"/>
          <w:szCs w:val="32"/>
          <w:highlight w:val="none"/>
          <w:lang w:val="en-US" w:eastAsia="zh-CN"/>
        </w:rPr>
        <w:t>以前有所增加。</w:t>
      </w:r>
    </w:p>
    <w:p w14:paraId="321ECEA4">
      <w:pPr>
        <w:keepNext w:val="0"/>
        <w:keepLines w:val="0"/>
        <w:pageBreakBefore w:val="0"/>
        <w:widowControl w:val="0"/>
        <w:kinsoku/>
        <w:wordWrap/>
        <w:overflowPunct w:val="0"/>
        <w:topLinePunct/>
        <w:autoSpaceDE w:val="0"/>
        <w:autoSpaceDN w:val="0"/>
        <w:bidi w:val="0"/>
        <w:adjustRightInd/>
        <w:snapToGrid/>
        <w:spacing w:line="576" w:lineRule="exact"/>
        <w:ind w:left="0" w:firstLine="420" w:firstLineChars="200"/>
        <w:jc w:val="both"/>
        <w:textAlignment w:val="auto"/>
        <w:outlineLvl w:val="9"/>
        <w:rPr>
          <w:rFonts w:hint="eastAsia" w:ascii="Times New Roman" w:hAnsi="Times New Roman" w:eastAsia="仿宋_GB2312" w:cs="仿宋_GB2312"/>
          <w:color w:val="auto"/>
          <w:sz w:val="32"/>
          <w:szCs w:val="32"/>
          <w:highlight w:val="none"/>
        </w:rPr>
      </w:pPr>
      <w:r>
        <w:drawing>
          <wp:anchor distT="0" distB="0" distL="114300" distR="114300" simplePos="0" relativeHeight="251662336" behindDoc="0" locked="0" layoutInCell="1" allowOverlap="1">
            <wp:simplePos x="0" y="0"/>
            <wp:positionH relativeFrom="column">
              <wp:posOffset>610235</wp:posOffset>
            </wp:positionH>
            <wp:positionV relativeFrom="paragraph">
              <wp:posOffset>153670</wp:posOffset>
            </wp:positionV>
            <wp:extent cx="4318635" cy="2520950"/>
            <wp:effectExtent l="4445" t="4445" r="20320" b="8255"/>
            <wp:wrapSquare wrapText="bothSides"/>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57DF915">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sz w:val="32"/>
          <w:szCs w:val="32"/>
          <w:highlight w:val="none"/>
        </w:rPr>
      </w:pPr>
    </w:p>
    <w:p w14:paraId="4139E02E">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sz w:val="32"/>
          <w:szCs w:val="32"/>
          <w:highlight w:val="none"/>
        </w:rPr>
      </w:pPr>
    </w:p>
    <w:p w14:paraId="31A21D23">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sz w:val="32"/>
          <w:szCs w:val="32"/>
          <w:highlight w:val="none"/>
        </w:rPr>
      </w:pPr>
    </w:p>
    <w:p w14:paraId="4CBF0F5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sz w:val="32"/>
          <w:szCs w:val="32"/>
          <w:highlight w:val="none"/>
        </w:rPr>
      </w:pPr>
    </w:p>
    <w:p w14:paraId="146114FB">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sz w:val="32"/>
          <w:szCs w:val="32"/>
          <w:highlight w:val="none"/>
        </w:rPr>
      </w:pPr>
    </w:p>
    <w:p w14:paraId="3075F40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sz w:val="32"/>
          <w:szCs w:val="32"/>
          <w:highlight w:val="none"/>
        </w:rPr>
      </w:pPr>
    </w:p>
    <w:p w14:paraId="7F49F8B7">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sz w:val="32"/>
          <w:szCs w:val="32"/>
          <w:highlight w:val="none"/>
        </w:rPr>
      </w:pPr>
    </w:p>
    <w:p w14:paraId="50EC81A5">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0"/>
        <w:rPr>
          <w:rFonts w:hint="eastAsia" w:ascii="Times New Roman" w:hAnsi="Times New Roman" w:eastAsia="黑体"/>
          <w:color w:val="auto"/>
          <w:sz w:val="32"/>
          <w:szCs w:val="32"/>
          <w:highlight w:val="none"/>
          <w:lang w:eastAsia="zh-CN"/>
        </w:rPr>
      </w:pPr>
      <w:bookmarkStart w:id="19" w:name="_Toc15396604"/>
      <w:bookmarkStart w:id="20" w:name="_Toc15377206"/>
      <w:bookmarkStart w:id="21" w:name="_Toc2968"/>
      <w:r>
        <w:rPr>
          <w:rFonts w:hint="eastAsia" w:ascii="Times New Roman" w:hAnsi="Times New Roman" w:eastAsia="黑体"/>
          <w:color w:val="auto"/>
          <w:sz w:val="32"/>
          <w:szCs w:val="32"/>
          <w:highlight w:val="none"/>
          <w:lang w:eastAsia="zh-CN"/>
        </w:rPr>
        <w:t>二、收入决算情况说明</w:t>
      </w:r>
      <w:bookmarkEnd w:id="19"/>
      <w:bookmarkEnd w:id="20"/>
      <w:bookmarkEnd w:id="21"/>
    </w:p>
    <w:p w14:paraId="1F900A0B">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12028.09</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10628.11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88.36%</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lang w:val="en-US" w:eastAsia="zh-CN"/>
        </w:rPr>
        <w:t>1399.97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11.64</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w:t>
      </w:r>
    </w:p>
    <w:p w14:paraId="0A89F4DD">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420" w:firstLineChars="200"/>
        <w:jc w:val="both"/>
        <w:textAlignment w:val="auto"/>
        <w:outlineLvl w:val="9"/>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641350</wp:posOffset>
            </wp:positionH>
            <wp:positionV relativeFrom="paragraph">
              <wp:posOffset>-131445</wp:posOffset>
            </wp:positionV>
            <wp:extent cx="4390390" cy="2708910"/>
            <wp:effectExtent l="4445" t="4445" r="5715" b="10795"/>
            <wp:wrapSquare wrapText="bothSides"/>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6B2047C">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p>
    <w:p w14:paraId="669D87FD">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p>
    <w:p w14:paraId="73F8D25D">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p>
    <w:p w14:paraId="0BA1A2FD">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p>
    <w:p w14:paraId="27F14582">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p>
    <w:p w14:paraId="0CE02F21">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p>
    <w:p w14:paraId="6F0D9DA3">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p>
    <w:p w14:paraId="63D97FBB">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0"/>
        <w:rPr>
          <w:rStyle w:val="32"/>
          <w:rFonts w:hint="eastAsia" w:ascii="Times New Roman" w:hAnsi="Times New Roman" w:eastAsia="黑体"/>
          <w:b w:val="0"/>
          <w:color w:val="auto"/>
          <w:sz w:val="32"/>
          <w:szCs w:val="32"/>
          <w:highlight w:val="none"/>
        </w:rPr>
      </w:pPr>
      <w:bookmarkStart w:id="22" w:name="_Toc15377207"/>
      <w:bookmarkStart w:id="23" w:name="_Toc15396605"/>
      <w:bookmarkStart w:id="24" w:name="_Toc23193"/>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sz w:val="32"/>
          <w:szCs w:val="32"/>
          <w:highlight w:val="none"/>
        </w:rPr>
        <w:t>出决算情况说明</w:t>
      </w:r>
      <w:bookmarkEnd w:id="22"/>
      <w:bookmarkEnd w:id="23"/>
      <w:bookmarkEnd w:id="24"/>
    </w:p>
    <w:p w14:paraId="6D0378D5">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12028.09</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lang w:val="en-US" w:eastAsia="zh-CN"/>
        </w:rPr>
        <w:t>490.46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4.08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lang w:val="en-US" w:eastAsia="zh-CN"/>
        </w:rPr>
        <w:t>11537.63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95.92</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w:t>
      </w:r>
    </w:p>
    <w:p w14:paraId="7BA5859C">
      <w:pPr>
        <w:keepNext w:val="0"/>
        <w:keepLines w:val="0"/>
        <w:pageBreakBefore w:val="0"/>
        <w:widowControl w:val="0"/>
        <w:kinsoku/>
        <w:wordWrap/>
        <w:overflowPunct w:val="0"/>
        <w:topLinePunct/>
        <w:autoSpaceDE w:val="0"/>
        <w:autoSpaceDN w:val="0"/>
        <w:bidi w:val="0"/>
        <w:adjustRightInd/>
        <w:snapToGrid/>
        <w:spacing w:line="576" w:lineRule="exact"/>
        <w:ind w:left="0" w:firstLine="420" w:firstLineChars="200"/>
        <w:jc w:val="both"/>
        <w:textAlignment w:val="auto"/>
        <w:outlineLvl w:val="9"/>
        <w:rPr>
          <w:rFonts w:hint="eastAsia"/>
          <w:sz w:val="32"/>
          <w:szCs w:val="32"/>
          <w:lang w:eastAsia="zh-CN"/>
        </w:rPr>
      </w:pPr>
      <w:r>
        <w:drawing>
          <wp:anchor distT="0" distB="0" distL="114300" distR="114300" simplePos="0" relativeHeight="251661312" behindDoc="0" locked="0" layoutInCell="1" allowOverlap="1">
            <wp:simplePos x="0" y="0"/>
            <wp:positionH relativeFrom="column">
              <wp:posOffset>630555</wp:posOffset>
            </wp:positionH>
            <wp:positionV relativeFrom="paragraph">
              <wp:posOffset>241300</wp:posOffset>
            </wp:positionV>
            <wp:extent cx="4528185" cy="2899410"/>
            <wp:effectExtent l="4445" t="4445" r="20320" b="10795"/>
            <wp:wrapSquare wrapText="bothSides"/>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AAD61E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sz w:val="32"/>
          <w:szCs w:val="32"/>
          <w:lang w:eastAsia="zh-CN"/>
        </w:rPr>
      </w:pPr>
    </w:p>
    <w:p w14:paraId="238E9D42">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sz w:val="32"/>
          <w:szCs w:val="32"/>
          <w:lang w:eastAsia="zh-CN"/>
        </w:rPr>
      </w:pPr>
    </w:p>
    <w:p w14:paraId="7BBFEEE3">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sz w:val="32"/>
          <w:szCs w:val="32"/>
          <w:lang w:eastAsia="zh-CN"/>
        </w:rPr>
      </w:pPr>
    </w:p>
    <w:p w14:paraId="2A28EF9A">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sz w:val="32"/>
          <w:szCs w:val="32"/>
          <w:lang w:eastAsia="zh-CN"/>
        </w:rPr>
      </w:pPr>
    </w:p>
    <w:p w14:paraId="2F1A9BE5">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sz w:val="32"/>
          <w:szCs w:val="32"/>
          <w:lang w:eastAsia="zh-CN"/>
        </w:rPr>
      </w:pPr>
    </w:p>
    <w:p w14:paraId="4BF12B4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sz w:val="32"/>
          <w:szCs w:val="32"/>
          <w:lang w:eastAsia="zh-CN"/>
        </w:rPr>
      </w:pPr>
    </w:p>
    <w:p w14:paraId="266C8FCB">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sz w:val="32"/>
          <w:szCs w:val="32"/>
          <w:lang w:eastAsia="zh-CN"/>
        </w:rPr>
      </w:pPr>
    </w:p>
    <w:p w14:paraId="684D03A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sz w:val="32"/>
          <w:szCs w:val="32"/>
          <w:lang w:eastAsia="zh-CN"/>
        </w:rPr>
      </w:pPr>
    </w:p>
    <w:p w14:paraId="4E7528B9">
      <w:pPr>
        <w:keepNext w:val="0"/>
        <w:keepLines w:val="0"/>
        <w:pageBreakBefore w:val="0"/>
        <w:widowControl w:val="0"/>
        <w:kinsoku/>
        <w:wordWrap/>
        <w:overflowPunct w:val="0"/>
        <w:topLinePunct/>
        <w:autoSpaceDE w:val="0"/>
        <w:autoSpaceDN w:val="0"/>
        <w:bidi w:val="0"/>
        <w:adjustRightInd/>
        <w:snapToGrid/>
        <w:spacing w:line="576" w:lineRule="exact"/>
        <w:ind w:left="0" w:leftChars="0" w:firstLine="640" w:firstLineChars="200"/>
        <w:jc w:val="both"/>
        <w:textAlignment w:val="auto"/>
        <w:outlineLvl w:val="0"/>
        <w:rPr>
          <w:rStyle w:val="32"/>
          <w:rFonts w:ascii="Times New Roman" w:hAnsi="Times New Roman" w:eastAsia="黑体"/>
          <w:b w:val="0"/>
          <w:color w:val="auto"/>
          <w:sz w:val="32"/>
          <w:szCs w:val="32"/>
          <w:highlight w:val="none"/>
        </w:rPr>
      </w:pPr>
      <w:bookmarkStart w:id="25" w:name="_Toc29926"/>
      <w:bookmarkStart w:id="26" w:name="_Toc15396606"/>
      <w:bookmarkStart w:id="27" w:name="_Toc15377208"/>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sz w:val="32"/>
          <w:szCs w:val="32"/>
          <w:highlight w:val="none"/>
        </w:rPr>
        <w:t>政拨款收入支出决算总体情况说明</w:t>
      </w:r>
      <w:bookmarkEnd w:id="25"/>
      <w:bookmarkEnd w:id="26"/>
      <w:bookmarkEnd w:id="27"/>
    </w:p>
    <w:p w14:paraId="77CEA964">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2024年度财政拨款收入、支出总计均为12028.09万元。与2023年度相比，财政拨款收入总计、支出总计各增加</w:t>
      </w:r>
      <w:r>
        <w:rPr>
          <w:rFonts w:hint="eastAsia" w:ascii="仿宋_GB2312" w:hAnsi="仿宋_GB2312" w:eastAsia="仿宋_GB2312" w:cs="仿宋_GB2312"/>
          <w:color w:val="auto"/>
          <w:sz w:val="32"/>
          <w:szCs w:val="32"/>
          <w:highlight w:val="none"/>
        </w:rPr>
        <w:t>2610.12万元，增长</w:t>
      </w:r>
      <w:r>
        <w:rPr>
          <w:rFonts w:hint="eastAsia" w:ascii="仿宋_GB2312" w:hAnsi="仿宋_GB2312" w:eastAsia="仿宋_GB2312" w:cs="仿宋_GB2312"/>
          <w:color w:val="auto"/>
          <w:sz w:val="32"/>
          <w:szCs w:val="32"/>
          <w:highlight w:val="none"/>
          <w:lang w:val="en-US" w:eastAsia="zh-CN"/>
        </w:rPr>
        <w:t>27.71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eastAsia="zh-CN"/>
        </w:rPr>
        <w:t>主要变动原因是</w:t>
      </w:r>
      <w:r>
        <w:rPr>
          <w:rFonts w:hint="eastAsia" w:ascii="仿宋_GB2312" w:hAnsi="仿宋_GB2312" w:eastAsia="仿宋_GB2312" w:cs="仿宋_GB2312"/>
          <w:color w:val="auto"/>
          <w:sz w:val="32"/>
          <w:szCs w:val="32"/>
          <w:highlight w:val="none"/>
        </w:rPr>
        <w:t>争取社会救助补助资金</w:t>
      </w:r>
      <w:r>
        <w:rPr>
          <w:rFonts w:hint="eastAsia" w:ascii="仿宋_GB2312" w:hAnsi="仿宋_GB2312" w:eastAsia="仿宋_GB2312" w:cs="仿宋_GB2312"/>
          <w:color w:val="auto"/>
          <w:sz w:val="32"/>
          <w:szCs w:val="32"/>
          <w:highlight w:val="none"/>
          <w:lang w:eastAsia="zh-CN"/>
        </w:rPr>
        <w:t>较</w:t>
      </w:r>
      <w:r>
        <w:rPr>
          <w:rFonts w:hint="eastAsia" w:ascii="仿宋_GB2312" w:hAnsi="仿宋_GB2312" w:eastAsia="仿宋_GB2312" w:cs="仿宋_GB2312"/>
          <w:color w:val="auto"/>
          <w:sz w:val="32"/>
          <w:szCs w:val="32"/>
          <w:highlight w:val="none"/>
          <w:lang w:val="en-US" w:eastAsia="zh-CN"/>
        </w:rPr>
        <w:t>以前有所增加</w:t>
      </w:r>
      <w:r>
        <w:rPr>
          <w:rFonts w:hint="eastAsia" w:eastAsia="仿宋_GB2312" w:cs="仿宋_GB2312"/>
          <w:color w:val="auto"/>
          <w:sz w:val="32"/>
          <w:szCs w:val="32"/>
          <w:highlight w:val="none"/>
          <w:lang w:val="en-US" w:eastAsia="zh-CN"/>
        </w:rPr>
        <w:t>。</w:t>
      </w:r>
    </w:p>
    <w:p w14:paraId="2C03834D">
      <w:pPr>
        <w:keepNext w:val="0"/>
        <w:keepLines w:val="0"/>
        <w:pageBreakBefore w:val="0"/>
        <w:widowControl w:val="0"/>
        <w:kinsoku/>
        <w:wordWrap/>
        <w:overflowPunct w:val="0"/>
        <w:topLinePunct/>
        <w:autoSpaceDE w:val="0"/>
        <w:autoSpaceDN w:val="0"/>
        <w:bidi w:val="0"/>
        <w:adjustRightInd/>
        <w:snapToGrid/>
        <w:spacing w:line="576" w:lineRule="exact"/>
        <w:ind w:left="0" w:firstLine="42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472440</wp:posOffset>
            </wp:positionH>
            <wp:positionV relativeFrom="paragraph">
              <wp:posOffset>184785</wp:posOffset>
            </wp:positionV>
            <wp:extent cx="4699635" cy="2860040"/>
            <wp:effectExtent l="4445" t="4445" r="20320" b="12065"/>
            <wp:wrapSquare wrapText="bothSides"/>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30065F2">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p>
    <w:p w14:paraId="5C6075F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p>
    <w:p w14:paraId="2C9923F3">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p>
    <w:p w14:paraId="174A175A">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p>
    <w:p w14:paraId="23B73CDC">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32"/>
          <w:highlight w:val="yellow"/>
          <w:lang w:val="en-US"/>
        </w:rPr>
      </w:pPr>
      <w:r>
        <w:rPr>
          <w:rFonts w:hint="eastAsia" w:ascii="仿宋_GB2312" w:hAnsi="仿宋_GB2312" w:eastAsia="仿宋_GB2312"/>
          <w:color w:val="000000"/>
          <w:kern w:val="2"/>
          <w:sz w:val="32"/>
          <w:szCs w:val="32"/>
          <w:highlight w:val="yellow"/>
          <w:lang w:val="en-US"/>
        </w:rPr>
        <w:t>（</w:t>
      </w:r>
    </w:p>
    <w:p w14:paraId="2FC0625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32"/>
          <w:highlight w:val="yellow"/>
          <w:lang w:val="en-US"/>
        </w:rPr>
      </w:pPr>
    </w:p>
    <w:p w14:paraId="7FB052C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32"/>
          <w:highlight w:val="yellow"/>
          <w:lang w:val="en-US"/>
        </w:rPr>
      </w:pPr>
    </w:p>
    <w:p w14:paraId="2DD05B22">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32"/>
          <w:highlight w:val="yellow"/>
          <w:lang w:val="en-US" w:eastAsia="zh-CN"/>
        </w:rPr>
      </w:pPr>
    </w:p>
    <w:p w14:paraId="1E128A2C">
      <w:pPr>
        <w:keepNext w:val="0"/>
        <w:keepLines w:val="0"/>
        <w:pageBreakBefore w:val="0"/>
        <w:widowControl w:val="0"/>
        <w:kinsoku/>
        <w:wordWrap/>
        <w:overflowPunct w:val="0"/>
        <w:topLinePunct/>
        <w:autoSpaceDE w:val="0"/>
        <w:autoSpaceDN w:val="0"/>
        <w:bidi w:val="0"/>
        <w:adjustRightInd/>
        <w:snapToGrid/>
        <w:spacing w:line="576" w:lineRule="exact"/>
        <w:ind w:left="0" w:leftChars="0" w:firstLine="640" w:firstLineChars="200"/>
        <w:jc w:val="both"/>
        <w:textAlignment w:val="auto"/>
        <w:outlineLvl w:val="0"/>
        <w:rPr>
          <w:rStyle w:val="32"/>
          <w:rFonts w:ascii="Times New Roman" w:hAnsi="Times New Roman" w:eastAsia="黑体"/>
          <w:b w:val="0"/>
          <w:color w:val="auto"/>
          <w:sz w:val="32"/>
          <w:szCs w:val="32"/>
          <w:highlight w:val="none"/>
        </w:rPr>
      </w:pPr>
      <w:bookmarkStart w:id="28" w:name="_Toc17153"/>
      <w:bookmarkStart w:id="29" w:name="_Toc15377209"/>
      <w:bookmarkStart w:id="30"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sz w:val="32"/>
          <w:szCs w:val="32"/>
          <w:highlight w:val="none"/>
        </w:rPr>
        <w:t>般公共预算财政拨款支出决算情况说明</w:t>
      </w:r>
      <w:bookmarkEnd w:id="28"/>
      <w:bookmarkEnd w:id="29"/>
      <w:bookmarkEnd w:id="30"/>
    </w:p>
    <w:p w14:paraId="4E9C6595">
      <w:pPr>
        <w:keepNext w:val="0"/>
        <w:keepLines w:val="0"/>
        <w:pageBreakBefore w:val="0"/>
        <w:widowControl w:val="0"/>
        <w:kinsoku/>
        <w:wordWrap/>
        <w:overflowPunct w:val="0"/>
        <w:topLinePunct/>
        <w:autoSpaceDE w:val="0"/>
        <w:autoSpaceDN w:val="0"/>
        <w:bidi w:val="0"/>
        <w:adjustRightInd/>
        <w:snapToGrid/>
        <w:spacing w:line="576" w:lineRule="exact"/>
        <w:ind w:left="0" w:leftChars="0" w:firstLine="643" w:firstLineChars="200"/>
        <w:jc w:val="both"/>
        <w:textAlignment w:val="auto"/>
        <w:outlineLvl w:val="1"/>
        <w:rPr>
          <w:rFonts w:hint="eastAsia" w:ascii="Times New Roman" w:hAnsi="Times New Roman" w:eastAsia="楷体_GB2312" w:cs="楷体_GB2312"/>
          <w:b/>
          <w:color w:val="auto"/>
          <w:sz w:val="32"/>
          <w:szCs w:val="32"/>
          <w:highlight w:val="none"/>
        </w:rPr>
      </w:pPr>
      <w:bookmarkStart w:id="3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1"/>
    </w:p>
    <w:p w14:paraId="7828B9A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2024年度一般公共预算财政拨款支出10628.11万元，占本年支出合计的</w:t>
      </w:r>
      <w:r>
        <w:rPr>
          <w:rFonts w:hint="eastAsia" w:ascii="仿宋_GB2312" w:hAnsi="仿宋_GB2312" w:eastAsia="仿宋_GB2312" w:cs="仿宋_GB2312"/>
          <w:sz w:val="32"/>
          <w:szCs w:val="32"/>
          <w:lang w:val="en-US" w:eastAsia="zh-CN"/>
        </w:rPr>
        <w:t>88.36</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%。与2023年度相比，一般公共预算财政拨款支出增加1319.55万元，增长14.18%。主要变动原因是农村最低生活保障支出与残疾人生活和护理补贴明显增加。</w:t>
      </w:r>
    </w:p>
    <w:p w14:paraId="41EFF497">
      <w:pPr>
        <w:keepNext w:val="0"/>
        <w:keepLines w:val="0"/>
        <w:pageBreakBefore w:val="0"/>
        <w:widowControl w:val="0"/>
        <w:kinsoku/>
        <w:wordWrap/>
        <w:overflowPunct w:val="0"/>
        <w:topLinePunct/>
        <w:autoSpaceDE w:val="0"/>
        <w:autoSpaceDN w:val="0"/>
        <w:bidi w:val="0"/>
        <w:adjustRightInd/>
        <w:snapToGrid/>
        <w:spacing w:line="576" w:lineRule="exact"/>
        <w:ind w:left="0" w:firstLine="42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5408" behindDoc="0" locked="0" layoutInCell="1" allowOverlap="1">
            <wp:simplePos x="0" y="0"/>
            <wp:positionH relativeFrom="column">
              <wp:posOffset>419100</wp:posOffset>
            </wp:positionH>
            <wp:positionV relativeFrom="paragraph">
              <wp:posOffset>87630</wp:posOffset>
            </wp:positionV>
            <wp:extent cx="4826000" cy="2628265"/>
            <wp:effectExtent l="4445" t="4445" r="8255" b="15240"/>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54B4981">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p>
    <w:p w14:paraId="65E4A14F">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p>
    <w:p w14:paraId="5CBCC72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p>
    <w:p w14:paraId="4AFDEE3E">
      <w:pPr>
        <w:keepNext w:val="0"/>
        <w:keepLines w:val="0"/>
        <w:pageBreakBefore w:val="0"/>
        <w:widowControl w:val="0"/>
        <w:kinsoku/>
        <w:wordWrap/>
        <w:overflowPunct w:val="0"/>
        <w:topLinePunct/>
        <w:autoSpaceDE w:val="0"/>
        <w:autoSpaceDN w:val="0"/>
        <w:bidi w:val="0"/>
        <w:adjustRightInd/>
        <w:snapToGrid/>
        <w:spacing w:line="576" w:lineRule="exact"/>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p>
    <w:p w14:paraId="41C688D2">
      <w:pPr>
        <w:keepNext w:val="0"/>
        <w:keepLines w:val="0"/>
        <w:pageBreakBefore w:val="0"/>
        <w:widowControl w:val="0"/>
        <w:kinsoku/>
        <w:wordWrap/>
        <w:overflowPunct w:val="0"/>
        <w:topLinePunct/>
        <w:autoSpaceDE w:val="0"/>
        <w:autoSpaceDN w:val="0"/>
        <w:bidi w:val="0"/>
        <w:adjustRightInd/>
        <w:snapToGrid/>
        <w:spacing w:line="576" w:lineRule="exact"/>
        <w:ind w:left="0" w:leftChars="0" w:firstLine="643" w:firstLineChars="200"/>
        <w:jc w:val="both"/>
        <w:textAlignment w:val="auto"/>
        <w:outlineLvl w:val="1"/>
        <w:rPr>
          <w:rFonts w:hint="eastAsia" w:ascii="Times New Roman" w:hAnsi="Times New Roman" w:eastAsia="楷体_GB2312" w:cs="楷体_GB2312"/>
          <w:b/>
          <w:color w:val="auto"/>
          <w:sz w:val="32"/>
          <w:szCs w:val="32"/>
          <w:highlight w:val="none"/>
        </w:rPr>
      </w:pPr>
      <w:bookmarkStart w:id="3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2"/>
    </w:p>
    <w:p w14:paraId="1935D1B3">
      <w:pPr>
        <w:pStyle w:val="17"/>
        <w:spacing w:beforeLines="0" w:afterLines="0" w:line="576" w:lineRule="atLeast"/>
        <w:ind w:firstLine="640" w:firstLineChars="200"/>
        <w:rPr>
          <w:rFonts w:hint="eastAsia" w:ascii="Times New Roman" w:hAnsi="Times New Roman" w:eastAsia="仿宋_GB2312" w:cs="仿宋_GB2312"/>
          <w:b/>
          <w:bCs/>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kern w:val="2"/>
          <w:sz w:val="32"/>
          <w:szCs w:val="32"/>
          <w:highlight w:val="none"/>
          <w:lang w:val="en-US" w:eastAsia="zh-CN" w:bidi="ar-SA"/>
        </w:rPr>
        <w:t>10628.11万元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10516.38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87.43</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13.25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0.11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25.66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0.61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农林水支出</w:t>
      </w:r>
      <w:r>
        <w:rPr>
          <w:rFonts w:hint="eastAsia" w:ascii="仿宋_GB2312" w:hAnsi="仿宋_GB2312" w:eastAsia="仿宋_GB2312" w:cs="仿宋_GB2312"/>
          <w:sz w:val="32"/>
          <w:szCs w:val="32"/>
          <w:lang w:val="en-US" w:eastAsia="zh-CN"/>
        </w:rPr>
        <w:t>72.83</w:t>
      </w:r>
      <w:r>
        <w:rPr>
          <w:rFonts w:hint="eastAsia" w:ascii="仿宋_GB2312" w:hAnsi="仿宋_GB2312" w:eastAsia="仿宋_GB2312" w:cs="仿宋_GB2312"/>
          <w:sz w:val="32"/>
          <w:szCs w:val="32"/>
        </w:rPr>
        <w:t>万元，占0.</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47E8B55B">
      <w:pPr>
        <w:keepNext w:val="0"/>
        <w:keepLines w:val="0"/>
        <w:pageBreakBefore w:val="0"/>
        <w:widowControl w:val="0"/>
        <w:kinsoku/>
        <w:wordWrap/>
        <w:overflowPunct w:val="0"/>
        <w:topLinePunct/>
        <w:autoSpaceDE w:val="0"/>
        <w:autoSpaceDN w:val="0"/>
        <w:bidi w:val="0"/>
        <w:adjustRightInd/>
        <w:snapToGrid/>
        <w:spacing w:line="576" w:lineRule="exact"/>
        <w:ind w:left="0" w:firstLine="42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4384" behindDoc="0" locked="0" layoutInCell="1" allowOverlap="1">
            <wp:simplePos x="0" y="0"/>
            <wp:positionH relativeFrom="column">
              <wp:posOffset>418465</wp:posOffset>
            </wp:positionH>
            <wp:positionV relativeFrom="paragraph">
              <wp:posOffset>139700</wp:posOffset>
            </wp:positionV>
            <wp:extent cx="4954905" cy="2996565"/>
            <wp:effectExtent l="4445" t="4445" r="12700" b="889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1D7CDBBF">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p>
    <w:p w14:paraId="3142BDCB">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p>
    <w:p w14:paraId="6AD1DCB3">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p>
    <w:p w14:paraId="06F6F7B2">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p>
    <w:p w14:paraId="17D879E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p>
    <w:p w14:paraId="3ECE10DA">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p>
    <w:p w14:paraId="6435D463">
      <w:pPr>
        <w:keepNext w:val="0"/>
        <w:keepLines w:val="0"/>
        <w:pageBreakBefore w:val="0"/>
        <w:widowControl w:val="0"/>
        <w:kinsoku/>
        <w:wordWrap/>
        <w:overflowPunct w:val="0"/>
        <w:topLinePunct/>
        <w:autoSpaceDE w:val="0"/>
        <w:autoSpaceDN w:val="0"/>
        <w:bidi w:val="0"/>
        <w:adjustRightInd/>
        <w:snapToGrid/>
        <w:spacing w:line="576" w:lineRule="exact"/>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p>
    <w:p w14:paraId="55047953">
      <w:pPr>
        <w:keepNext w:val="0"/>
        <w:keepLines w:val="0"/>
        <w:pageBreakBefore w:val="0"/>
        <w:widowControl w:val="0"/>
        <w:kinsoku/>
        <w:wordWrap/>
        <w:overflowPunct w:val="0"/>
        <w:topLinePunct/>
        <w:autoSpaceDE w:val="0"/>
        <w:autoSpaceDN w:val="0"/>
        <w:bidi w:val="0"/>
        <w:adjustRightInd/>
        <w:snapToGrid/>
        <w:spacing w:line="576" w:lineRule="exact"/>
        <w:ind w:left="0" w:leftChars="0" w:firstLine="643" w:firstLineChars="200"/>
        <w:jc w:val="both"/>
        <w:textAlignment w:val="auto"/>
        <w:outlineLvl w:val="1"/>
        <w:rPr>
          <w:rFonts w:hint="eastAsia" w:ascii="Times New Roman" w:hAnsi="Times New Roman" w:eastAsia="楷体_GB2312" w:cs="楷体_GB2312"/>
          <w:b/>
          <w:color w:val="auto"/>
          <w:sz w:val="32"/>
          <w:szCs w:val="32"/>
          <w:highlight w:val="none"/>
        </w:rPr>
      </w:pPr>
      <w:bookmarkStart w:id="3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3"/>
    </w:p>
    <w:p w14:paraId="3959A111">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bookmarkStart w:id="34" w:name="_Toc15377213"/>
      <w:bookmarkStart w:id="35" w:name="_Toc15378460"/>
      <w:bookmarkStart w:id="36"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lang w:val="en-US" w:eastAsia="zh-CN"/>
        </w:rPr>
        <w:t>10628.11万元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4"/>
      <w:bookmarkEnd w:id="35"/>
      <w:bookmarkEnd w:id="36"/>
    </w:p>
    <w:p w14:paraId="40FD5845">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1.社会保障和就业支出（类）民政管理事务（款）行政运行民政管理事务（项）:支出决算为400.72万元，完成预算100%。</w:t>
      </w:r>
    </w:p>
    <w:p w14:paraId="57A6EACE">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2.社会保障和就业支出（类）民政管理事务（款）其他民政管理事务（项）: 支出决算为154.92万元，完成预算100%。</w:t>
      </w:r>
    </w:p>
    <w:p w14:paraId="16DF873E">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3.社会保障和就业支出（类）行政事业单位养老支出（款）机关事业单位基本养老保险缴费支出（项）:支出决算为43.47万元，完成预算100%。</w:t>
      </w:r>
    </w:p>
    <w:p w14:paraId="0FD3E1EF">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4.社会保障和就业支出（类）行政事业单位养老支出（款）行政单位离退休（项）:支出决算为22万元，完成预算100%。</w:t>
      </w:r>
    </w:p>
    <w:p w14:paraId="750BA893">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5.社会保障和就业支出（类）行政事业单位养老支出（款）机关事业单位职业年金缴费支出（项）:支出决算为15.29万元，完成预算100%。</w:t>
      </w:r>
    </w:p>
    <w:p w14:paraId="257B0EE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6.社会保障和就业支出（类）社会福利（款）儿童福利（项）:支出决算为61.22万元，完成预算100%。</w:t>
      </w:r>
    </w:p>
    <w:p w14:paraId="69B72417">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7.社会保障和就业支出（类）社会福利（款）老年福利、养老服务（项）:支出决算为381.71万元，完成预算100%。</w:t>
      </w:r>
    </w:p>
    <w:p w14:paraId="36E98AB7">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8.社会保障和就业支出（类）社会福利（款）殡葬（项）:支出决算为32.98万元，完成预算100%。</w:t>
      </w:r>
    </w:p>
    <w:p w14:paraId="2CACA121">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9.社会保障和就业支出（类）社会福利（款）其他社会福利支出（项）:支出决算为169.43万元，完成预算100%。</w:t>
      </w:r>
    </w:p>
    <w:p w14:paraId="6816F231">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10.社会保障和就业支出（类）残疾人事业（款）残疾人生活和护理补贴（项）:支出决算为731.79万元，完成预算100%。</w:t>
      </w:r>
    </w:p>
    <w:p w14:paraId="11B451E3">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11.社会保障和就业支出（类）临时救助（款）流浪乞讨人员救助支出（项）:支出决算为212.61万元，完成预算100%。</w:t>
      </w:r>
    </w:p>
    <w:p w14:paraId="551DE02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12.社会保障和就业支出（类）城市、农村最低生活保障（款）城市、农村最低生活保障支出（项）:支出决算为7056.1万元，完成预算100%。</w:t>
      </w:r>
    </w:p>
    <w:p w14:paraId="6328DFD4">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13.社会保障和就业支出（类）特困人员救助供养（款）农村特困人员救助供养支出（项）:支出决算为854.23元，完成预算100%。</w:t>
      </w:r>
    </w:p>
    <w:p w14:paraId="698054FA">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14.社会保障和就业支出（类）其他生活救助（款）其他农村生活救助（项）:支出决算为365.93万元，完成预算100%。</w:t>
      </w:r>
    </w:p>
    <w:p w14:paraId="4E875B53">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15.社会保障和就业支出（类）其他社会保障和就业支出（款）其他社会保障和就业支出（项）:支出决算为13.99万元，完成预算100%。</w:t>
      </w:r>
    </w:p>
    <w:p w14:paraId="720A186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16.卫生健康支出（类）行政事业单位医疗（款）行政单位医疗（项）:支出决算为4.79万元，完成预算100%。</w:t>
      </w:r>
    </w:p>
    <w:p w14:paraId="0CCE537B">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17.卫生健康支出（类）行政事业单位医疗（款）事业单位医疗（项）:支出决算为8.46万元，完成预算100%。</w:t>
      </w:r>
    </w:p>
    <w:p w14:paraId="0587943C">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18.农林水支出（类）普惠金融发展（款）其他普惠金融（项）:支出决算为72.83万元，完成预算100%。</w:t>
      </w:r>
    </w:p>
    <w:p w14:paraId="2A819FBA">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19.住房保障支出（类）住房改革支出（款）住房公积金（项）:支出决算为25.66万元，完成预算100%。</w:t>
      </w:r>
    </w:p>
    <w:p w14:paraId="1B4A0A52">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p>
    <w:p w14:paraId="4F51BD42">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leftChars="0" w:firstLine="640" w:firstLineChars="200"/>
        <w:jc w:val="both"/>
        <w:textAlignment w:val="auto"/>
        <w:outlineLvl w:val="0"/>
        <w:rPr>
          <w:rStyle w:val="32"/>
          <w:rFonts w:ascii="Times New Roman" w:hAnsi="Times New Roman"/>
          <w:color w:val="auto"/>
          <w:sz w:val="32"/>
          <w:szCs w:val="32"/>
          <w:highlight w:val="none"/>
        </w:rPr>
      </w:pPr>
      <w:bookmarkStart w:id="37" w:name="_Toc15396608"/>
      <w:bookmarkStart w:id="38" w:name="_Toc15377214"/>
      <w:bookmarkStart w:id="39" w:name="_Toc10463"/>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sz w:val="32"/>
          <w:szCs w:val="32"/>
          <w:highlight w:val="none"/>
        </w:rPr>
        <w:t>般公共预算财政拨款基本支出决算情况说明</w:t>
      </w:r>
      <w:bookmarkEnd w:id="37"/>
      <w:bookmarkEnd w:id="38"/>
      <w:bookmarkEnd w:id="39"/>
      <w:r>
        <w:rPr>
          <w:rStyle w:val="32"/>
          <w:rFonts w:ascii="Times New Roman" w:hAnsi="Times New Roman" w:eastAsia="黑体"/>
          <w:b w:val="0"/>
          <w:color w:val="auto"/>
          <w:sz w:val="32"/>
          <w:szCs w:val="32"/>
          <w:highlight w:val="none"/>
        </w:rPr>
        <w:tab/>
      </w:r>
    </w:p>
    <w:p w14:paraId="4A138E8B">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490.46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86F1B3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375.01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w:t>
      </w:r>
      <w:r>
        <w:rPr>
          <w:rFonts w:hint="eastAsia" w:eastAsia="仿宋_GB2312" w:cs="仿宋_GB2312"/>
          <w:color w:val="auto"/>
          <w:kern w:val="2"/>
          <w:sz w:val="32"/>
          <w:szCs w:val="32"/>
          <w:highlight w:val="none"/>
          <w:lang w:val="en-US" w:eastAsia="zh-CN" w:bidi="ar-SA"/>
        </w:rPr>
        <w:t>142.01万元</w:t>
      </w:r>
      <w:r>
        <w:rPr>
          <w:rFonts w:hint="eastAsia" w:ascii="Times New Roman" w:hAnsi="Times New Roman" w:eastAsia="仿宋_GB2312" w:cs="仿宋_GB2312"/>
          <w:color w:val="auto"/>
          <w:kern w:val="2"/>
          <w:sz w:val="32"/>
          <w:szCs w:val="32"/>
          <w:highlight w:val="none"/>
          <w:lang w:val="en-US" w:eastAsia="zh-CN" w:bidi="ar-SA"/>
        </w:rPr>
        <w:t>、津贴补贴</w:t>
      </w:r>
      <w:r>
        <w:rPr>
          <w:rFonts w:hint="eastAsia" w:eastAsia="仿宋_GB2312" w:cs="仿宋_GB2312"/>
          <w:color w:val="auto"/>
          <w:kern w:val="2"/>
          <w:sz w:val="32"/>
          <w:szCs w:val="32"/>
          <w:highlight w:val="none"/>
          <w:lang w:val="en-US" w:eastAsia="zh-CN" w:bidi="ar-SA"/>
        </w:rPr>
        <w:t>24.9万元</w:t>
      </w:r>
      <w:r>
        <w:rPr>
          <w:rFonts w:hint="eastAsia" w:ascii="Times New Roman" w:hAnsi="Times New Roman" w:eastAsia="仿宋_GB2312" w:cs="仿宋_GB2312"/>
          <w:color w:val="auto"/>
          <w:kern w:val="2"/>
          <w:sz w:val="32"/>
          <w:szCs w:val="32"/>
          <w:highlight w:val="none"/>
          <w:lang w:val="en-US" w:eastAsia="zh-CN" w:bidi="ar-SA"/>
        </w:rPr>
        <w:t>、奖金</w:t>
      </w:r>
      <w:r>
        <w:rPr>
          <w:rFonts w:hint="eastAsia" w:eastAsia="仿宋_GB2312" w:cs="仿宋_GB2312"/>
          <w:color w:val="auto"/>
          <w:kern w:val="2"/>
          <w:sz w:val="32"/>
          <w:szCs w:val="32"/>
          <w:highlight w:val="none"/>
          <w:lang w:val="en-US" w:eastAsia="zh-CN" w:bidi="ar-SA"/>
        </w:rPr>
        <w:t>85.2万元</w:t>
      </w:r>
      <w:r>
        <w:rPr>
          <w:rFonts w:hint="eastAsia" w:ascii="Times New Roman" w:hAnsi="Times New Roman" w:eastAsia="仿宋_GB2312" w:cs="仿宋_GB2312"/>
          <w:color w:val="auto"/>
          <w:kern w:val="2"/>
          <w:sz w:val="32"/>
          <w:szCs w:val="32"/>
          <w:highlight w:val="none"/>
          <w:lang w:val="en-US" w:eastAsia="zh-CN" w:bidi="ar-SA"/>
        </w:rPr>
        <w:t>、伙食补助费</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、绩效工资</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、机关事业单位基本养老保险缴费</w:t>
      </w:r>
      <w:r>
        <w:rPr>
          <w:rFonts w:hint="eastAsia" w:eastAsia="仿宋_GB2312" w:cs="仿宋_GB2312"/>
          <w:color w:val="auto"/>
          <w:kern w:val="2"/>
          <w:sz w:val="32"/>
          <w:szCs w:val="32"/>
          <w:highlight w:val="none"/>
          <w:lang w:val="en-US" w:eastAsia="zh-CN" w:bidi="ar-SA"/>
        </w:rPr>
        <w:t>43.47万元</w:t>
      </w:r>
      <w:r>
        <w:rPr>
          <w:rFonts w:hint="eastAsia" w:ascii="Times New Roman" w:hAnsi="Times New Roman" w:eastAsia="仿宋_GB2312" w:cs="仿宋_GB2312"/>
          <w:color w:val="auto"/>
          <w:kern w:val="2"/>
          <w:sz w:val="32"/>
          <w:szCs w:val="32"/>
          <w:highlight w:val="none"/>
          <w:lang w:val="en-US" w:eastAsia="zh-CN" w:bidi="ar-SA"/>
        </w:rPr>
        <w:t>、职业年金缴费</w:t>
      </w:r>
      <w:r>
        <w:rPr>
          <w:rFonts w:hint="eastAsia" w:eastAsia="仿宋_GB2312" w:cs="仿宋_GB2312"/>
          <w:color w:val="auto"/>
          <w:kern w:val="2"/>
          <w:sz w:val="32"/>
          <w:szCs w:val="32"/>
          <w:highlight w:val="none"/>
          <w:lang w:val="en-US" w:eastAsia="zh-CN" w:bidi="ar-SA"/>
        </w:rPr>
        <w:t>15.29万元</w:t>
      </w:r>
      <w:r>
        <w:rPr>
          <w:rFonts w:hint="eastAsia" w:ascii="Times New Roman" w:hAnsi="Times New Roman" w:eastAsia="仿宋_GB2312" w:cs="仿宋_GB2312"/>
          <w:color w:val="auto"/>
          <w:kern w:val="2"/>
          <w:sz w:val="32"/>
          <w:szCs w:val="32"/>
          <w:highlight w:val="none"/>
          <w:lang w:val="en-US" w:eastAsia="zh-CN" w:bidi="ar-SA"/>
        </w:rPr>
        <w:t>、其他社会保障缴费</w:t>
      </w:r>
      <w:r>
        <w:rPr>
          <w:rFonts w:hint="eastAsia" w:eastAsia="仿宋_GB2312" w:cs="仿宋_GB2312"/>
          <w:color w:val="auto"/>
          <w:kern w:val="2"/>
          <w:sz w:val="32"/>
          <w:szCs w:val="32"/>
          <w:highlight w:val="none"/>
          <w:lang w:val="en-US" w:eastAsia="zh-CN" w:bidi="ar-SA"/>
        </w:rPr>
        <w:t>0.99万元</w:t>
      </w:r>
      <w:r>
        <w:rPr>
          <w:rFonts w:hint="eastAsia" w:ascii="Times New Roman" w:hAnsi="Times New Roman" w:eastAsia="仿宋_GB2312" w:cs="仿宋_GB2312"/>
          <w:color w:val="auto"/>
          <w:kern w:val="2"/>
          <w:sz w:val="32"/>
          <w:szCs w:val="32"/>
          <w:highlight w:val="none"/>
          <w:lang w:val="en-US" w:eastAsia="zh-CN" w:bidi="ar-SA"/>
        </w:rPr>
        <w:t>、其他工资福利支出</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、离休费</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、退休费</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、抚恤金</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、生活补助</w:t>
      </w:r>
      <w:r>
        <w:rPr>
          <w:rFonts w:hint="eastAsia" w:eastAsia="仿宋_GB2312" w:cs="仿宋_GB2312"/>
          <w:color w:val="auto"/>
          <w:kern w:val="2"/>
          <w:sz w:val="32"/>
          <w:szCs w:val="32"/>
          <w:highlight w:val="none"/>
          <w:lang w:val="en-US" w:eastAsia="zh-CN" w:bidi="ar-SA"/>
        </w:rPr>
        <w:t>22万元</w:t>
      </w:r>
      <w:r>
        <w:rPr>
          <w:rFonts w:hint="eastAsia" w:ascii="Times New Roman" w:hAnsi="Times New Roman" w:eastAsia="仿宋_GB2312" w:cs="仿宋_GB2312"/>
          <w:color w:val="auto"/>
          <w:kern w:val="2"/>
          <w:sz w:val="32"/>
          <w:szCs w:val="32"/>
          <w:highlight w:val="none"/>
          <w:lang w:val="en-US" w:eastAsia="zh-CN" w:bidi="ar-SA"/>
        </w:rPr>
        <w:t>、医疗费补助</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、奖励金</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、住房公积金</w:t>
      </w:r>
      <w:r>
        <w:rPr>
          <w:rFonts w:hint="eastAsia" w:eastAsia="仿宋_GB2312" w:cs="仿宋_GB2312"/>
          <w:color w:val="auto"/>
          <w:kern w:val="2"/>
          <w:sz w:val="32"/>
          <w:szCs w:val="32"/>
          <w:highlight w:val="none"/>
          <w:lang w:val="en-US" w:eastAsia="zh-CN" w:bidi="ar-SA"/>
        </w:rPr>
        <w:t>25.66万元</w:t>
      </w:r>
      <w:r>
        <w:rPr>
          <w:rFonts w:hint="eastAsia" w:ascii="Times New Roman" w:hAnsi="Times New Roman" w:eastAsia="仿宋_GB2312" w:cs="仿宋_GB2312"/>
          <w:color w:val="auto"/>
          <w:kern w:val="2"/>
          <w:sz w:val="32"/>
          <w:szCs w:val="32"/>
          <w:highlight w:val="none"/>
          <w:lang w:val="en-US" w:eastAsia="zh-CN" w:bidi="ar-SA"/>
        </w:rPr>
        <w:t>、其他对个人和家庭的补助支出</w:t>
      </w:r>
      <w:r>
        <w:rPr>
          <w:rFonts w:hint="eastAsia" w:eastAsia="仿宋_GB2312" w:cs="仿宋_GB2312"/>
          <w:color w:val="auto"/>
          <w:kern w:val="2"/>
          <w:sz w:val="32"/>
          <w:szCs w:val="32"/>
          <w:highlight w:val="none"/>
          <w:lang w:val="en-US" w:eastAsia="zh-CN" w:bidi="ar-SA"/>
        </w:rPr>
        <w:t>2.25万元</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kern w:val="2"/>
          <w:sz w:val="32"/>
          <w:szCs w:val="32"/>
          <w:highlight w:val="none"/>
          <w:lang w:val="en-US" w:eastAsia="zh-CN" w:bidi="ar-SA"/>
        </w:rPr>
        <w:t>115.46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w:t>
      </w:r>
      <w:r>
        <w:rPr>
          <w:rFonts w:hint="eastAsia" w:eastAsia="仿宋_GB2312" w:cs="仿宋_GB2312"/>
          <w:color w:val="auto"/>
          <w:kern w:val="2"/>
          <w:sz w:val="32"/>
          <w:szCs w:val="32"/>
          <w:highlight w:val="none"/>
          <w:lang w:val="en-US" w:eastAsia="zh-CN" w:bidi="ar-SA"/>
        </w:rPr>
        <w:t>54.49万元</w:t>
      </w:r>
      <w:r>
        <w:rPr>
          <w:rFonts w:hint="eastAsia" w:ascii="Times New Roman" w:hAnsi="Times New Roman" w:eastAsia="仿宋_GB2312" w:cs="仿宋_GB2312"/>
          <w:color w:val="auto"/>
          <w:kern w:val="2"/>
          <w:sz w:val="32"/>
          <w:szCs w:val="32"/>
          <w:highlight w:val="none"/>
          <w:lang w:val="en-US" w:eastAsia="zh-CN" w:bidi="ar-SA"/>
        </w:rPr>
        <w:t>、印刷费</w:t>
      </w:r>
      <w:r>
        <w:rPr>
          <w:rFonts w:hint="eastAsia" w:eastAsia="仿宋_GB2312" w:cs="仿宋_GB2312"/>
          <w:color w:val="auto"/>
          <w:kern w:val="2"/>
          <w:sz w:val="32"/>
          <w:szCs w:val="32"/>
          <w:highlight w:val="none"/>
          <w:lang w:val="en-US" w:eastAsia="zh-CN" w:bidi="ar-SA"/>
        </w:rPr>
        <w:t>20万元</w:t>
      </w:r>
      <w:r>
        <w:rPr>
          <w:rFonts w:hint="eastAsia" w:ascii="Times New Roman" w:hAnsi="Times New Roman" w:eastAsia="仿宋_GB2312" w:cs="仿宋_GB2312"/>
          <w:color w:val="auto"/>
          <w:kern w:val="2"/>
          <w:sz w:val="32"/>
          <w:szCs w:val="32"/>
          <w:highlight w:val="none"/>
          <w:lang w:val="en-US" w:eastAsia="zh-CN" w:bidi="ar-SA"/>
        </w:rPr>
        <w:t>、咨询费</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、手续费</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、水费</w:t>
      </w:r>
      <w:r>
        <w:rPr>
          <w:rFonts w:hint="eastAsia" w:eastAsia="仿宋_GB2312" w:cs="仿宋_GB2312"/>
          <w:color w:val="auto"/>
          <w:kern w:val="2"/>
          <w:sz w:val="32"/>
          <w:szCs w:val="32"/>
          <w:highlight w:val="none"/>
          <w:lang w:val="en-US" w:eastAsia="zh-CN" w:bidi="ar-SA"/>
        </w:rPr>
        <w:t>1万元</w:t>
      </w:r>
      <w:r>
        <w:rPr>
          <w:rFonts w:hint="eastAsia" w:ascii="Times New Roman" w:hAnsi="Times New Roman" w:eastAsia="仿宋_GB2312" w:cs="仿宋_GB2312"/>
          <w:color w:val="auto"/>
          <w:kern w:val="2"/>
          <w:sz w:val="32"/>
          <w:szCs w:val="32"/>
          <w:highlight w:val="none"/>
          <w:lang w:val="en-US" w:eastAsia="zh-CN" w:bidi="ar-SA"/>
        </w:rPr>
        <w:t>、电费</w:t>
      </w:r>
      <w:r>
        <w:rPr>
          <w:rFonts w:hint="eastAsia" w:eastAsia="仿宋_GB2312" w:cs="仿宋_GB2312"/>
          <w:color w:val="auto"/>
          <w:kern w:val="2"/>
          <w:sz w:val="32"/>
          <w:szCs w:val="32"/>
          <w:highlight w:val="none"/>
          <w:lang w:val="en-US" w:eastAsia="zh-CN" w:bidi="ar-SA"/>
        </w:rPr>
        <w:t>2万元</w:t>
      </w:r>
      <w:r>
        <w:rPr>
          <w:rFonts w:hint="eastAsia" w:ascii="Times New Roman" w:hAnsi="Times New Roman" w:eastAsia="仿宋_GB2312" w:cs="仿宋_GB2312"/>
          <w:color w:val="auto"/>
          <w:kern w:val="2"/>
          <w:sz w:val="32"/>
          <w:szCs w:val="32"/>
          <w:highlight w:val="none"/>
          <w:lang w:val="en-US" w:eastAsia="zh-CN" w:bidi="ar-SA"/>
        </w:rPr>
        <w:t>、邮电费</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、取暖费</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、物业管理费</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、差旅费</w:t>
      </w:r>
      <w:r>
        <w:rPr>
          <w:rFonts w:hint="eastAsia" w:eastAsia="仿宋_GB2312" w:cs="仿宋_GB2312"/>
          <w:color w:val="auto"/>
          <w:kern w:val="2"/>
          <w:sz w:val="32"/>
          <w:szCs w:val="32"/>
          <w:highlight w:val="none"/>
          <w:lang w:val="en-US" w:eastAsia="zh-CN" w:bidi="ar-SA"/>
        </w:rPr>
        <w:t>23.32万元</w:t>
      </w:r>
      <w:r>
        <w:rPr>
          <w:rFonts w:hint="eastAsia" w:ascii="Times New Roman" w:hAnsi="Times New Roman" w:eastAsia="仿宋_GB2312" w:cs="仿宋_GB2312"/>
          <w:color w:val="auto"/>
          <w:kern w:val="2"/>
          <w:sz w:val="32"/>
          <w:szCs w:val="32"/>
          <w:highlight w:val="none"/>
          <w:lang w:val="en-US" w:eastAsia="zh-CN" w:bidi="ar-SA"/>
        </w:rPr>
        <w:t>、因公出国（境）费用</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、维修（护）费</w:t>
      </w:r>
      <w:r>
        <w:rPr>
          <w:rFonts w:hint="eastAsia" w:eastAsia="仿宋_GB2312" w:cs="仿宋_GB2312"/>
          <w:color w:val="auto"/>
          <w:kern w:val="2"/>
          <w:sz w:val="32"/>
          <w:szCs w:val="32"/>
          <w:highlight w:val="none"/>
          <w:lang w:val="en-US" w:eastAsia="zh-CN" w:bidi="ar-SA"/>
        </w:rPr>
        <w:t>0.2万元</w:t>
      </w:r>
      <w:r>
        <w:rPr>
          <w:rFonts w:hint="eastAsia" w:ascii="Times New Roman" w:hAnsi="Times New Roman" w:eastAsia="仿宋_GB2312" w:cs="仿宋_GB2312"/>
          <w:color w:val="auto"/>
          <w:kern w:val="2"/>
          <w:sz w:val="32"/>
          <w:szCs w:val="32"/>
          <w:highlight w:val="none"/>
          <w:lang w:val="en-US" w:eastAsia="zh-CN" w:bidi="ar-SA"/>
        </w:rPr>
        <w:t>、租赁费</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、会议费</w:t>
      </w:r>
      <w:r>
        <w:rPr>
          <w:rFonts w:hint="eastAsia" w:eastAsia="仿宋_GB2312" w:cs="仿宋_GB2312"/>
          <w:color w:val="auto"/>
          <w:kern w:val="2"/>
          <w:sz w:val="32"/>
          <w:szCs w:val="32"/>
          <w:highlight w:val="none"/>
          <w:lang w:val="en-US" w:eastAsia="zh-CN" w:bidi="ar-SA"/>
        </w:rPr>
        <w:t>1.1万元</w:t>
      </w:r>
      <w:r>
        <w:rPr>
          <w:rFonts w:hint="eastAsia" w:ascii="Times New Roman" w:hAnsi="Times New Roman" w:eastAsia="仿宋_GB2312" w:cs="仿宋_GB2312"/>
          <w:color w:val="auto"/>
          <w:kern w:val="2"/>
          <w:sz w:val="32"/>
          <w:szCs w:val="32"/>
          <w:highlight w:val="none"/>
          <w:lang w:val="en-US" w:eastAsia="zh-CN" w:bidi="ar-SA"/>
        </w:rPr>
        <w:t>、培训费</w:t>
      </w:r>
      <w:r>
        <w:rPr>
          <w:rFonts w:hint="eastAsia" w:eastAsia="仿宋_GB2312" w:cs="仿宋_GB2312"/>
          <w:color w:val="auto"/>
          <w:kern w:val="2"/>
          <w:sz w:val="32"/>
          <w:szCs w:val="32"/>
          <w:highlight w:val="none"/>
          <w:lang w:val="en-US" w:eastAsia="zh-CN" w:bidi="ar-SA"/>
        </w:rPr>
        <w:t>1.1万元</w:t>
      </w:r>
      <w:r>
        <w:rPr>
          <w:rFonts w:hint="eastAsia" w:ascii="Times New Roman" w:hAnsi="Times New Roman" w:eastAsia="仿宋_GB2312" w:cs="仿宋_GB2312"/>
          <w:color w:val="auto"/>
          <w:kern w:val="2"/>
          <w:sz w:val="32"/>
          <w:szCs w:val="32"/>
          <w:highlight w:val="none"/>
          <w:lang w:val="en-US" w:eastAsia="zh-CN" w:bidi="ar-SA"/>
        </w:rPr>
        <w:t>、公务接待费</w:t>
      </w:r>
      <w:r>
        <w:rPr>
          <w:rFonts w:hint="eastAsia" w:eastAsia="仿宋_GB2312" w:cs="仿宋_GB2312"/>
          <w:color w:val="auto"/>
          <w:kern w:val="2"/>
          <w:sz w:val="32"/>
          <w:szCs w:val="32"/>
          <w:highlight w:val="none"/>
          <w:lang w:val="en-US" w:eastAsia="zh-CN" w:bidi="ar-SA"/>
        </w:rPr>
        <w:t>0.5万元</w:t>
      </w:r>
      <w:r>
        <w:rPr>
          <w:rFonts w:hint="eastAsia" w:ascii="Times New Roman" w:hAnsi="Times New Roman" w:eastAsia="仿宋_GB2312" w:cs="仿宋_GB2312"/>
          <w:color w:val="auto"/>
          <w:kern w:val="2"/>
          <w:sz w:val="32"/>
          <w:szCs w:val="32"/>
          <w:highlight w:val="none"/>
          <w:lang w:val="en-US" w:eastAsia="zh-CN" w:bidi="ar-SA"/>
        </w:rPr>
        <w:t>、劳务费</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、委托业务费</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、工会经费</w:t>
      </w:r>
      <w:r>
        <w:rPr>
          <w:rFonts w:hint="eastAsia" w:eastAsia="仿宋_GB2312" w:cs="仿宋_GB2312"/>
          <w:color w:val="auto"/>
          <w:kern w:val="2"/>
          <w:sz w:val="32"/>
          <w:szCs w:val="32"/>
          <w:highlight w:val="none"/>
          <w:lang w:val="en-US" w:eastAsia="zh-CN" w:bidi="ar-SA"/>
        </w:rPr>
        <w:t>4.7万元</w:t>
      </w:r>
      <w:r>
        <w:rPr>
          <w:rFonts w:hint="eastAsia" w:ascii="Times New Roman" w:hAnsi="Times New Roman" w:eastAsia="仿宋_GB2312" w:cs="仿宋_GB2312"/>
          <w:color w:val="auto"/>
          <w:kern w:val="2"/>
          <w:sz w:val="32"/>
          <w:szCs w:val="32"/>
          <w:highlight w:val="none"/>
          <w:lang w:val="en-US" w:eastAsia="zh-CN" w:bidi="ar-SA"/>
        </w:rPr>
        <w:t>、福利费</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、公务用车运行维护费</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、其他交通费</w:t>
      </w:r>
      <w:r>
        <w:rPr>
          <w:rFonts w:hint="eastAsia" w:eastAsia="仿宋_GB2312" w:cs="仿宋_GB2312"/>
          <w:color w:val="auto"/>
          <w:kern w:val="2"/>
          <w:sz w:val="32"/>
          <w:szCs w:val="32"/>
          <w:highlight w:val="none"/>
          <w:lang w:val="en-US" w:eastAsia="zh-CN" w:bidi="ar-SA"/>
        </w:rPr>
        <w:t>7.04万元</w:t>
      </w:r>
      <w:r>
        <w:rPr>
          <w:rFonts w:hint="eastAsia" w:ascii="Times New Roman" w:hAnsi="Times New Roman" w:eastAsia="仿宋_GB2312" w:cs="仿宋_GB2312"/>
          <w:color w:val="auto"/>
          <w:kern w:val="2"/>
          <w:sz w:val="32"/>
          <w:szCs w:val="32"/>
          <w:highlight w:val="none"/>
          <w:lang w:val="en-US" w:eastAsia="zh-CN" w:bidi="ar-SA"/>
        </w:rPr>
        <w:t>、税金及附加费用</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、其他商品和服务支出</w:t>
      </w:r>
      <w:r>
        <w:rPr>
          <w:rFonts w:hint="eastAsia" w:eastAsia="仿宋_GB2312" w:cs="仿宋_GB2312"/>
          <w:color w:val="auto"/>
          <w:kern w:val="2"/>
          <w:sz w:val="32"/>
          <w:szCs w:val="32"/>
          <w:highlight w:val="none"/>
          <w:lang w:val="en-US" w:eastAsia="zh-CN" w:bidi="ar-SA"/>
        </w:rPr>
        <w:t>0万元</w:t>
      </w:r>
      <w:r>
        <w:rPr>
          <w:rFonts w:hint="eastAsia" w:ascii="Times New Roman" w:hAnsi="Times New Roman" w:eastAsia="仿宋_GB2312" w:cs="仿宋_GB2312"/>
          <w:color w:val="auto"/>
          <w:kern w:val="2"/>
          <w:sz w:val="32"/>
          <w:szCs w:val="32"/>
          <w:highlight w:val="none"/>
          <w:lang w:val="en-US" w:eastAsia="zh-CN" w:bidi="ar-SA"/>
        </w:rPr>
        <w:t>。</w:t>
      </w:r>
    </w:p>
    <w:p w14:paraId="0FAA0A21">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p>
    <w:p w14:paraId="38D020C5">
      <w:pPr>
        <w:keepNext w:val="0"/>
        <w:keepLines w:val="0"/>
        <w:pageBreakBefore w:val="0"/>
        <w:widowControl w:val="0"/>
        <w:kinsoku/>
        <w:wordWrap/>
        <w:overflowPunct w:val="0"/>
        <w:topLinePunct/>
        <w:autoSpaceDE w:val="0"/>
        <w:autoSpaceDN w:val="0"/>
        <w:bidi w:val="0"/>
        <w:adjustRightInd/>
        <w:snapToGrid/>
        <w:spacing w:line="576" w:lineRule="exact"/>
        <w:ind w:left="0" w:leftChars="0" w:firstLine="640" w:firstLineChars="200"/>
        <w:jc w:val="both"/>
        <w:textAlignment w:val="auto"/>
        <w:outlineLvl w:val="0"/>
        <w:rPr>
          <w:rStyle w:val="32"/>
          <w:rFonts w:ascii="Times New Roman" w:hAnsi="Times New Roman" w:eastAsia="黑体"/>
          <w:b w:val="0"/>
          <w:color w:val="auto"/>
          <w:sz w:val="32"/>
          <w:szCs w:val="32"/>
          <w:highlight w:val="none"/>
        </w:rPr>
      </w:pPr>
      <w:bookmarkStart w:id="40" w:name="_Toc20773"/>
      <w:bookmarkStart w:id="41" w:name="_Toc15396609"/>
      <w:bookmarkStart w:id="42" w:name="_Toc15377215"/>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sz w:val="32"/>
          <w:szCs w:val="32"/>
          <w:highlight w:val="none"/>
        </w:rPr>
        <w:t>财政拨款</w:t>
      </w:r>
      <w:r>
        <w:rPr>
          <w:rStyle w:val="32"/>
          <w:rFonts w:hint="eastAsia" w:ascii="Times New Roman" w:hAnsi="Times New Roman" w:eastAsia="黑体"/>
          <w:color w:val="auto"/>
          <w:sz w:val="32"/>
          <w:szCs w:val="32"/>
          <w:highlight w:val="none"/>
        </w:rPr>
        <w:t>“</w:t>
      </w:r>
      <w:r>
        <w:rPr>
          <w:rStyle w:val="32"/>
          <w:rFonts w:hint="eastAsia" w:ascii="Times New Roman" w:hAnsi="Times New Roman" w:eastAsia="黑体"/>
          <w:b w:val="0"/>
          <w:color w:val="auto"/>
          <w:sz w:val="32"/>
          <w:szCs w:val="32"/>
          <w:highlight w:val="none"/>
        </w:rPr>
        <w:t>三公”经费支出决算情况说明</w:t>
      </w:r>
      <w:bookmarkEnd w:id="40"/>
      <w:bookmarkEnd w:id="41"/>
      <w:bookmarkEnd w:id="42"/>
    </w:p>
    <w:p w14:paraId="4612A5D7">
      <w:pPr>
        <w:keepNext w:val="0"/>
        <w:keepLines w:val="0"/>
        <w:pageBreakBefore w:val="0"/>
        <w:widowControl w:val="0"/>
        <w:kinsoku/>
        <w:wordWrap/>
        <w:overflowPunct w:val="0"/>
        <w:topLinePunct/>
        <w:autoSpaceDE w:val="0"/>
        <w:autoSpaceDN w:val="0"/>
        <w:bidi w:val="0"/>
        <w:adjustRightInd/>
        <w:snapToGrid/>
        <w:spacing w:line="576" w:lineRule="exact"/>
        <w:ind w:left="0" w:leftChars="0" w:firstLine="643" w:firstLineChars="200"/>
        <w:jc w:val="both"/>
        <w:textAlignment w:val="auto"/>
        <w:outlineLvl w:val="1"/>
        <w:rPr>
          <w:rFonts w:hint="eastAsia" w:ascii="Times New Roman" w:hAnsi="Times New Roman" w:eastAsia="楷体_GB2312" w:cs="楷体_GB2312"/>
          <w:b/>
          <w:color w:val="auto"/>
          <w:sz w:val="32"/>
          <w:szCs w:val="32"/>
          <w:highlight w:val="none"/>
        </w:rPr>
      </w:pPr>
      <w:bookmarkStart w:id="4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3"/>
    </w:p>
    <w:p w14:paraId="051CE24C">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b/>
          <w:bCs/>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5.35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91.45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下降的主要原因是公务接待费预算减少。</w:t>
      </w:r>
    </w:p>
    <w:p w14:paraId="3EC6DECD">
      <w:pPr>
        <w:keepNext w:val="0"/>
        <w:keepLines w:val="0"/>
        <w:pageBreakBefore w:val="0"/>
        <w:widowControl w:val="0"/>
        <w:kinsoku/>
        <w:wordWrap/>
        <w:overflowPunct w:val="0"/>
        <w:topLinePunct/>
        <w:autoSpaceDE w:val="0"/>
        <w:autoSpaceDN w:val="0"/>
        <w:bidi w:val="0"/>
        <w:adjustRightInd/>
        <w:snapToGrid/>
        <w:spacing w:line="576" w:lineRule="exact"/>
        <w:ind w:left="0" w:leftChars="0" w:firstLine="643" w:firstLineChars="200"/>
        <w:jc w:val="both"/>
        <w:textAlignment w:val="auto"/>
        <w:outlineLvl w:val="1"/>
        <w:rPr>
          <w:rFonts w:hint="eastAsia" w:ascii="Times New Roman" w:hAnsi="Times New Roman" w:eastAsia="楷体_GB2312" w:cs="楷体_GB2312"/>
          <w:b/>
          <w:color w:val="auto"/>
          <w:sz w:val="32"/>
          <w:szCs w:val="32"/>
          <w:highlight w:val="none"/>
        </w:rPr>
      </w:pPr>
      <w:bookmarkStart w:id="4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4"/>
    </w:p>
    <w:p w14:paraId="6F838CF1">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109769F2">
      <w:pPr>
        <w:keepNext w:val="0"/>
        <w:keepLines w:val="0"/>
        <w:pageBreakBefore w:val="0"/>
        <w:widowControl w:val="0"/>
        <w:kinsoku/>
        <w:wordWrap/>
        <w:overflowPunct w:val="0"/>
        <w:topLinePunct/>
        <w:autoSpaceDE w:val="0"/>
        <w:autoSpaceDN w:val="0"/>
        <w:bidi w:val="0"/>
        <w:adjustRightInd/>
        <w:snapToGrid/>
        <w:spacing w:line="576" w:lineRule="exact"/>
        <w:ind w:left="0" w:firstLine="420" w:firstLineChars="200"/>
        <w:jc w:val="both"/>
        <w:textAlignment w:val="auto"/>
        <w:outlineLvl w:val="9"/>
        <w:rPr>
          <w:rFonts w:hint="eastAsia" w:ascii="仿宋_GB2312" w:hAnsi="仿宋_GB2312" w:eastAsia="仿宋_GB2312"/>
          <w:i/>
          <w:color w:val="000000"/>
          <w:kern w:val="2"/>
          <w:sz w:val="32"/>
          <w:szCs w:val="32"/>
          <w:lang w:val="en-US"/>
        </w:rPr>
      </w:pPr>
      <w:r>
        <w:drawing>
          <wp:anchor distT="0" distB="0" distL="114300" distR="114300" simplePos="0" relativeHeight="251666432" behindDoc="0" locked="0" layoutInCell="1" allowOverlap="1">
            <wp:simplePos x="0" y="0"/>
            <wp:positionH relativeFrom="column">
              <wp:posOffset>535940</wp:posOffset>
            </wp:positionH>
            <wp:positionV relativeFrom="paragraph">
              <wp:posOffset>218440</wp:posOffset>
            </wp:positionV>
            <wp:extent cx="4590415" cy="2748280"/>
            <wp:effectExtent l="4445" t="4445" r="15240" b="9525"/>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4DF7F9F">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i/>
          <w:color w:val="000000"/>
          <w:kern w:val="2"/>
          <w:sz w:val="32"/>
          <w:szCs w:val="32"/>
          <w:lang w:val="en-US"/>
        </w:rPr>
      </w:pPr>
    </w:p>
    <w:p w14:paraId="468AA842">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i/>
          <w:color w:val="000000"/>
          <w:kern w:val="2"/>
          <w:sz w:val="32"/>
          <w:szCs w:val="32"/>
          <w:lang w:val="en-US"/>
        </w:rPr>
      </w:pPr>
    </w:p>
    <w:p w14:paraId="10E5DD6B">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i/>
          <w:color w:val="000000"/>
          <w:kern w:val="2"/>
          <w:sz w:val="32"/>
          <w:szCs w:val="32"/>
          <w:lang w:val="en-US"/>
        </w:rPr>
      </w:pPr>
    </w:p>
    <w:p w14:paraId="3112AC37">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i/>
          <w:color w:val="000000"/>
          <w:kern w:val="2"/>
          <w:sz w:val="32"/>
          <w:szCs w:val="32"/>
          <w:lang w:val="en-US"/>
        </w:rPr>
      </w:pPr>
    </w:p>
    <w:p w14:paraId="20F7589C">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i/>
          <w:color w:val="000000"/>
          <w:kern w:val="2"/>
          <w:sz w:val="32"/>
          <w:szCs w:val="32"/>
          <w:lang w:val="en-US"/>
        </w:rPr>
      </w:pPr>
    </w:p>
    <w:p w14:paraId="3DF30536">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i/>
          <w:color w:val="000000"/>
          <w:kern w:val="2"/>
          <w:sz w:val="32"/>
          <w:szCs w:val="32"/>
          <w:lang w:val="en-US"/>
        </w:rPr>
      </w:pPr>
    </w:p>
    <w:p w14:paraId="42407BB3">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i/>
          <w:color w:val="000000"/>
          <w:kern w:val="2"/>
          <w:sz w:val="32"/>
          <w:szCs w:val="32"/>
          <w:lang w:val="en-US"/>
        </w:rPr>
      </w:pPr>
    </w:p>
    <w:p w14:paraId="1CD520DF">
      <w:pPr>
        <w:keepNext w:val="0"/>
        <w:keepLines w:val="0"/>
        <w:pageBreakBefore w:val="0"/>
        <w:widowControl w:val="0"/>
        <w:kinsoku/>
        <w:wordWrap/>
        <w:overflowPunct w:val="0"/>
        <w:topLinePunct/>
        <w:autoSpaceDE w:val="0"/>
        <w:autoSpaceDN w:val="0"/>
        <w:bidi w:val="0"/>
        <w:adjustRightInd/>
        <w:snapToGrid/>
        <w:spacing w:line="576" w:lineRule="exact"/>
        <w:jc w:val="both"/>
        <w:textAlignment w:val="auto"/>
        <w:outlineLvl w:val="9"/>
        <w:rPr>
          <w:rFonts w:hint="default" w:ascii="仿宋_GB2312" w:hAnsi="仿宋_GB2312" w:eastAsia="仿宋_GB2312"/>
          <w:i/>
          <w:color w:val="000000"/>
          <w:kern w:val="2"/>
          <w:sz w:val="32"/>
          <w:szCs w:val="32"/>
          <w:lang w:val="en-US" w:eastAsia="zh-CN"/>
        </w:rPr>
      </w:pPr>
    </w:p>
    <w:p w14:paraId="0A940A28">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仿宋_GB2312" w:hAnsi="仿宋_GB2312" w:eastAsia="仿宋_GB2312"/>
          <w:b/>
          <w:color w:val="000000"/>
          <w:kern w:val="2"/>
          <w:sz w:val="32"/>
          <w:szCs w:val="32"/>
        </w:rPr>
        <w:t>因公出国（境）经费</w:t>
      </w:r>
      <w:r>
        <w:rPr>
          <w:rFonts w:hint="eastAsia" w:ascii="仿宋_GB2312" w:hAnsi="仿宋_GB2312" w:eastAsia="仿宋_GB2312"/>
          <w:color w:val="000000"/>
          <w:kern w:val="2"/>
          <w:sz w:val="32"/>
          <w:szCs w:val="32"/>
        </w:rPr>
        <w:t>因公出国（境）经费支出0万元，年初未安排预算。</w:t>
      </w:r>
    </w:p>
    <w:p w14:paraId="79DE2E3B">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sz w:val="32"/>
          <w:szCs w:val="32"/>
          <w:lang w:val="en-US" w:eastAsia="zh-CN"/>
        </w:rPr>
      </w:pPr>
      <w:r>
        <w:rPr>
          <w:rFonts w:hint="eastAsia" w:eastAsia="仿宋_GB2312" w:cs="仿宋_GB2312"/>
          <w:b/>
          <w:bCs/>
          <w:color w:val="auto"/>
          <w:kern w:val="2"/>
          <w:sz w:val="32"/>
          <w:szCs w:val="32"/>
          <w:highlight w:val="none"/>
          <w:lang w:val="en-US" w:eastAsia="zh-CN" w:bidi="ar-SA"/>
        </w:rPr>
        <w:t>2.</w:t>
      </w:r>
      <w:r>
        <w:rPr>
          <w:rFonts w:hint="eastAsia" w:ascii="Times New Roman" w:hAnsi="Times New Roman" w:eastAsia="仿宋_GB2312" w:cs="仿宋_GB2312"/>
          <w:b/>
          <w:bCs/>
          <w:color w:val="auto"/>
          <w:kern w:val="2"/>
          <w:sz w:val="32"/>
          <w:szCs w:val="32"/>
          <w:highlight w:val="none"/>
          <w:lang w:val="en-US" w:eastAsia="zh-CN" w:bidi="ar-SA"/>
        </w:rPr>
        <w:t>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p>
    <w:p w14:paraId="0C288D8E">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w:t>
      </w:r>
      <w:r>
        <w:rPr>
          <w:rFonts w:hint="eastAsia" w:ascii="Times New Roman" w:hAnsi="Times New Roman" w:eastAsia="仿宋_GB2312" w:cs="仿宋_GB2312"/>
          <w:b/>
          <w:bCs/>
          <w:color w:val="auto"/>
          <w:kern w:val="2"/>
          <w:sz w:val="32"/>
          <w:szCs w:val="32"/>
          <w:highlight w:val="none"/>
          <w:lang w:val="en-US" w:eastAsia="zh-CN" w:bidi="ar-SA"/>
        </w:rPr>
        <w:t>公务用车购置</w:t>
      </w:r>
      <w:r>
        <w:rPr>
          <w:rFonts w:hint="eastAsia" w:ascii="Times New Roman" w:hAnsi="Times New Roman" w:eastAsia="仿宋_GB2312" w:cs="仿宋_GB2312"/>
          <w:color w:val="auto"/>
          <w:kern w:val="2"/>
          <w:sz w:val="32"/>
          <w:szCs w:val="32"/>
          <w:highlight w:val="none"/>
          <w:lang w:val="en-US" w:eastAsia="zh-CN" w:bidi="ar-SA"/>
        </w:rPr>
        <w:t>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3627FFAD">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sz w:val="32"/>
          <w:szCs w:val="32"/>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公务用车运行维护费</w:t>
      </w:r>
      <w:r>
        <w:rPr>
          <w:rFonts w:hint="eastAsia" w:ascii="Times New Roman" w:hAnsi="Times New Roman" w:eastAsia="仿宋_GB2312" w:cs="仿宋_GB2312"/>
          <w:color w:val="auto"/>
          <w:kern w:val="2"/>
          <w:sz w:val="32"/>
          <w:szCs w:val="32"/>
          <w:highlight w:val="none"/>
          <w:lang w:val="en-US" w:eastAsia="zh-CN" w:bidi="ar-SA"/>
        </w:rPr>
        <w:t>支</w:t>
      </w:r>
      <w:r>
        <w:rPr>
          <w:rFonts w:hint="eastAsia" w:ascii="仿宋_GB2312" w:hAnsi="仿宋_GB2312" w:eastAsia="仿宋_GB2312" w:cs="仿宋_GB2312"/>
          <w:color w:val="auto"/>
          <w:kern w:val="2"/>
          <w:sz w:val="32"/>
          <w:szCs w:val="32"/>
          <w:highlight w:val="none"/>
          <w:lang w:val="en-US" w:eastAsia="zh-CN" w:bidi="ar-SA"/>
        </w:rPr>
        <w:t>出0</w:t>
      </w:r>
      <w:r>
        <w:rPr>
          <w:rFonts w:hint="eastAsia" w:ascii="Times New Roman" w:hAnsi="Times New Roman" w:eastAsia="仿宋_GB2312" w:cs="仿宋_GB2312"/>
          <w:color w:val="auto"/>
          <w:kern w:val="2"/>
          <w:sz w:val="32"/>
          <w:szCs w:val="32"/>
          <w:highlight w:val="none"/>
          <w:lang w:val="en-US" w:eastAsia="zh-CN" w:bidi="ar-SA"/>
        </w:rPr>
        <w:t>万元。</w:t>
      </w:r>
    </w:p>
    <w:p w14:paraId="0ECEA2C0">
      <w:pPr>
        <w:keepNext w:val="0"/>
        <w:keepLines w:val="0"/>
        <w:pageBreakBefore w:val="0"/>
        <w:widowControl w:val="0"/>
        <w:numPr>
          <w:ilvl w:val="0"/>
          <w:numId w:val="3"/>
        </w:numPr>
        <w:kinsoku/>
        <w:wordWrap/>
        <w:overflowPunct w:val="0"/>
        <w:topLinePunct/>
        <w:autoSpaceDE w:val="0"/>
        <w:autoSpaceDN w:val="0"/>
        <w:bidi w:val="0"/>
        <w:adjustRightInd/>
        <w:snapToGrid/>
        <w:spacing w:line="576" w:lineRule="exact"/>
        <w:ind w:left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eastAsia="仿宋_GB2312" w:cs="仿宋_GB2312"/>
          <w:b/>
          <w:bCs/>
          <w:color w:val="auto"/>
          <w:kern w:val="2"/>
          <w:sz w:val="32"/>
          <w:szCs w:val="32"/>
          <w:highlight w:val="none"/>
          <w:lang w:val="en-US" w:eastAsia="zh-CN" w:bidi="ar-SA"/>
        </w:rPr>
        <w:t>0.5</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w:t>
      </w:r>
    </w:p>
    <w:p w14:paraId="1D69E77C">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出</w:t>
      </w:r>
      <w:r>
        <w:rPr>
          <w:rFonts w:hint="eastAsia" w:ascii="Times New Roman" w:hAnsi="Times New Roman" w:eastAsia="仿宋_GB2312" w:cs="仿宋_GB2312"/>
          <w:color w:val="auto"/>
          <w:kern w:val="2"/>
          <w:sz w:val="32"/>
          <w:szCs w:val="32"/>
          <w:highlight w:val="none"/>
          <w:lang w:val="en-US" w:eastAsia="zh-CN" w:bidi="ar-SA"/>
        </w:rPr>
        <w:t>决算比2023年度减少</w:t>
      </w:r>
      <w:r>
        <w:rPr>
          <w:rFonts w:hint="eastAsia" w:eastAsia="仿宋_GB2312" w:cs="仿宋_GB2312"/>
          <w:color w:val="auto"/>
          <w:kern w:val="2"/>
          <w:sz w:val="32"/>
          <w:szCs w:val="32"/>
          <w:highlight w:val="none"/>
          <w:lang w:val="en-US" w:eastAsia="zh-CN" w:bidi="ar-SA"/>
        </w:rPr>
        <w:t>5.35</w:t>
      </w:r>
      <w:r>
        <w:rPr>
          <w:rFonts w:hint="eastAsia" w:ascii="Times New Roman" w:hAnsi="Times New Roman" w:eastAsia="仿宋_GB2312" w:cs="仿宋_GB2312"/>
          <w:color w:val="auto"/>
          <w:kern w:val="2"/>
          <w:sz w:val="32"/>
          <w:szCs w:val="32"/>
          <w:highlight w:val="none"/>
          <w:lang w:val="en-US" w:eastAsia="zh-CN" w:bidi="ar-SA"/>
        </w:rPr>
        <w:t>万元，下降91.45%。主要原因是</w:t>
      </w:r>
      <w:r>
        <w:rPr>
          <w:rFonts w:hint="eastAsia" w:eastAsia="仿宋_GB2312" w:cs="仿宋_GB2312"/>
          <w:color w:val="auto"/>
          <w:kern w:val="2"/>
          <w:sz w:val="32"/>
          <w:szCs w:val="32"/>
          <w:highlight w:val="none"/>
          <w:lang w:val="en-US" w:eastAsia="zh-CN" w:bidi="ar-SA"/>
        </w:rPr>
        <w:t>公务接待预算减少，支出减少</w:t>
      </w:r>
      <w:r>
        <w:rPr>
          <w:rFonts w:hint="eastAsia" w:ascii="Times New Roman" w:hAnsi="Times New Roman" w:eastAsia="仿宋_GB2312" w:cs="仿宋_GB2312"/>
          <w:color w:val="auto"/>
          <w:kern w:val="2"/>
          <w:sz w:val="32"/>
          <w:szCs w:val="32"/>
          <w:highlight w:val="none"/>
          <w:lang w:val="en-US" w:eastAsia="zh-CN" w:bidi="ar-SA"/>
        </w:rPr>
        <w:t>。其中：</w:t>
      </w:r>
    </w:p>
    <w:p w14:paraId="0DEA57E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highlight w:val="none"/>
          <w:lang w:val="en-US" w:eastAsia="zh-CN"/>
        </w:rPr>
        <w:t>20余</w:t>
      </w:r>
      <w:r>
        <w:rPr>
          <w:rFonts w:hint="eastAsia" w:ascii="Times New Roman" w:hAnsi="Times New Roman" w:eastAsia="仿宋_GB2312" w:cs="仿宋_GB2312"/>
          <w:color w:val="auto"/>
          <w:kern w:val="2"/>
          <w:sz w:val="32"/>
          <w:szCs w:val="32"/>
          <w:highlight w:val="none"/>
          <w:lang w:val="en-US" w:eastAsia="zh-CN" w:bidi="ar-SA"/>
        </w:rPr>
        <w:t>人次，共计支出</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养老机构等级评定，省、市领导对医养结合与殡葬领域考察、调研等工作服务保障</w:t>
      </w:r>
      <w:r>
        <w:rPr>
          <w:rFonts w:hint="eastAsia" w:ascii="Times New Roman" w:hAnsi="Times New Roman" w:eastAsia="仿宋_GB2312" w:cs="仿宋_GB2312"/>
          <w:color w:val="auto"/>
          <w:kern w:val="2"/>
          <w:sz w:val="32"/>
          <w:szCs w:val="32"/>
          <w:highlight w:val="none"/>
          <w:lang w:val="en-US" w:eastAsia="zh-CN" w:bidi="ar-SA"/>
        </w:rPr>
        <w:t>。</w:t>
      </w:r>
    </w:p>
    <w:p w14:paraId="73F417E8">
      <w:pPr>
        <w:keepNext w:val="0"/>
        <w:keepLines w:val="0"/>
        <w:pageBreakBefore w:val="0"/>
        <w:widowControl w:val="0"/>
        <w:kinsoku/>
        <w:wordWrap/>
        <w:overflowPunct w:val="0"/>
        <w:topLinePunct/>
        <w:autoSpaceDE w:val="0"/>
        <w:autoSpaceDN w:val="0"/>
        <w:bidi w:val="0"/>
        <w:adjustRightInd/>
        <w:snapToGrid/>
        <w:spacing w:line="576" w:lineRule="exact"/>
        <w:ind w:left="0" w:leftChars="0" w:firstLine="640" w:firstLineChars="200"/>
        <w:jc w:val="both"/>
        <w:textAlignment w:val="auto"/>
        <w:outlineLvl w:val="0"/>
        <w:rPr>
          <w:rStyle w:val="32"/>
          <w:rFonts w:ascii="Times New Roman" w:hAnsi="Times New Roman" w:eastAsia="黑体"/>
          <w:color w:val="auto"/>
          <w:sz w:val="32"/>
          <w:szCs w:val="32"/>
          <w:highlight w:val="none"/>
        </w:rPr>
      </w:pPr>
      <w:bookmarkStart w:id="45" w:name="_Toc11107"/>
      <w:bookmarkStart w:id="46" w:name="_Toc15377218"/>
      <w:bookmarkStart w:id="47" w:name="_Toc15396610"/>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sz w:val="32"/>
          <w:szCs w:val="32"/>
          <w:highlight w:val="none"/>
        </w:rPr>
        <w:t>政府性基金预算支出决算情况说明</w:t>
      </w:r>
      <w:bookmarkEnd w:id="45"/>
      <w:bookmarkEnd w:id="46"/>
      <w:bookmarkEnd w:id="47"/>
    </w:p>
    <w:p w14:paraId="5D0A3A2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1399.97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1290.57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1179.68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用于社会福利的彩票公益金预算增加。</w:t>
      </w:r>
    </w:p>
    <w:p w14:paraId="3C172ED7">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0"/>
        <w:rPr>
          <w:rStyle w:val="32"/>
          <w:rFonts w:ascii="Times New Roman" w:hAnsi="Times New Roman" w:eastAsia="黑体"/>
          <w:b w:val="0"/>
          <w:color w:val="auto"/>
          <w:sz w:val="32"/>
          <w:szCs w:val="32"/>
          <w:highlight w:val="none"/>
        </w:rPr>
      </w:pPr>
      <w:bookmarkStart w:id="48" w:name="_Toc15396611"/>
      <w:bookmarkStart w:id="49" w:name="_Toc16749"/>
      <w:bookmarkStart w:id="50" w:name="_Toc15377219"/>
      <w:r>
        <w:rPr>
          <w:rStyle w:val="32"/>
          <w:rFonts w:hint="eastAsia" w:ascii="Times New Roman" w:hAnsi="Times New Roman" w:eastAsia="黑体"/>
          <w:b w:val="0"/>
          <w:color w:val="auto"/>
          <w:sz w:val="32"/>
          <w:szCs w:val="32"/>
          <w:highlight w:val="none"/>
          <w:lang w:eastAsia="zh-CN"/>
        </w:rPr>
        <w:t>九、</w:t>
      </w:r>
      <w:r>
        <w:rPr>
          <w:rStyle w:val="32"/>
          <w:rFonts w:hint="eastAsia" w:ascii="Times New Roman" w:hAnsi="Times New Roman" w:eastAsia="黑体"/>
          <w:b w:val="0"/>
          <w:color w:val="auto"/>
          <w:sz w:val="32"/>
          <w:szCs w:val="32"/>
          <w:highlight w:val="none"/>
        </w:rPr>
        <w:t>国有资本经营预算支出决算情况说明</w:t>
      </w:r>
      <w:bookmarkEnd w:id="48"/>
      <w:bookmarkEnd w:id="49"/>
      <w:bookmarkEnd w:id="50"/>
    </w:p>
    <w:p w14:paraId="5FEB455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65F147B7">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0"/>
        <w:rPr>
          <w:rStyle w:val="32"/>
          <w:rFonts w:hint="eastAsia" w:ascii="Times New Roman" w:hAnsi="Times New Roman" w:eastAsia="黑体"/>
          <w:b w:val="0"/>
          <w:color w:val="auto"/>
          <w:sz w:val="32"/>
          <w:szCs w:val="32"/>
          <w:highlight w:val="none"/>
        </w:rPr>
      </w:pPr>
      <w:bookmarkStart w:id="51" w:name="_Toc30515"/>
      <w:bookmarkStart w:id="52" w:name="_Toc15377221"/>
      <w:bookmarkStart w:id="53" w:name="_Toc15396612"/>
      <w:r>
        <w:rPr>
          <w:rStyle w:val="32"/>
          <w:rFonts w:hint="eastAsia" w:ascii="Times New Roman" w:hAnsi="Times New Roman" w:eastAsia="黑体"/>
          <w:b w:val="0"/>
          <w:color w:val="auto"/>
          <w:sz w:val="32"/>
          <w:szCs w:val="32"/>
          <w:highlight w:val="none"/>
          <w:lang w:eastAsia="zh-CN"/>
        </w:rPr>
        <w:t>十、</w:t>
      </w:r>
      <w:r>
        <w:rPr>
          <w:rStyle w:val="32"/>
          <w:rFonts w:hint="eastAsia" w:ascii="Times New Roman" w:hAnsi="Times New Roman" w:eastAsia="黑体"/>
          <w:b w:val="0"/>
          <w:color w:val="auto"/>
          <w:sz w:val="32"/>
          <w:szCs w:val="32"/>
          <w:highlight w:val="none"/>
        </w:rPr>
        <w:t>其他重要事项的情况说明</w:t>
      </w:r>
      <w:bookmarkEnd w:id="51"/>
      <w:bookmarkEnd w:id="52"/>
      <w:bookmarkEnd w:id="53"/>
    </w:p>
    <w:p w14:paraId="716B26CA">
      <w:pPr>
        <w:keepNext w:val="0"/>
        <w:keepLines w:val="0"/>
        <w:pageBreakBefore w:val="0"/>
        <w:widowControl w:val="0"/>
        <w:kinsoku/>
        <w:wordWrap/>
        <w:overflowPunct w:val="0"/>
        <w:topLinePunct/>
        <w:autoSpaceDE w:val="0"/>
        <w:autoSpaceDN w:val="0"/>
        <w:bidi w:val="0"/>
        <w:adjustRightInd/>
        <w:snapToGrid/>
        <w:spacing w:line="576" w:lineRule="exact"/>
        <w:ind w:left="0" w:leftChars="0" w:firstLine="643" w:firstLineChars="200"/>
        <w:jc w:val="both"/>
        <w:textAlignment w:val="auto"/>
        <w:outlineLvl w:val="1"/>
        <w:rPr>
          <w:rFonts w:hint="eastAsia" w:ascii="Times New Roman" w:hAnsi="Times New Roman" w:eastAsia="楷体_GB2312" w:cs="楷体_GB2312"/>
          <w:b/>
          <w:color w:val="auto"/>
          <w:sz w:val="32"/>
          <w:szCs w:val="32"/>
          <w:highlight w:val="none"/>
        </w:rPr>
      </w:pPr>
      <w:bookmarkStart w:id="54" w:name="_Toc15377222"/>
      <w:r>
        <w:rPr>
          <w:rFonts w:hint="eastAsia" w:ascii="Times New Roman" w:hAnsi="Times New Roman" w:eastAsia="楷体_GB2312" w:cs="楷体_GB2312"/>
          <w:b/>
          <w:color w:val="auto"/>
          <w:sz w:val="32"/>
          <w:szCs w:val="32"/>
          <w:highlight w:val="none"/>
        </w:rPr>
        <w:t>（一）机关运行经费支出情况</w:t>
      </w:r>
      <w:bookmarkEnd w:id="54"/>
    </w:p>
    <w:p w14:paraId="17FE8A85">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，机关运行经费支出81.6万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10.92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_GB2312" w:eastAsia="仿宋_GB2312"/>
          <w:color w:val="000000"/>
          <w:kern w:val="2"/>
          <w:sz w:val="32"/>
          <w:szCs w:val="24"/>
          <w:highlight w:val="none"/>
        </w:rPr>
        <w:t>经费需求</w:t>
      </w:r>
      <w:r>
        <w:rPr>
          <w:rFonts w:hint="eastAsia" w:ascii="仿宋_GB2312" w:hAnsi="仿宋_GB2312" w:eastAsia="仿宋_GB2312"/>
          <w:color w:val="000000"/>
          <w:kern w:val="2"/>
          <w:sz w:val="32"/>
          <w:szCs w:val="24"/>
          <w:highlight w:val="none"/>
          <w:lang w:eastAsia="zh-CN"/>
        </w:rPr>
        <w:t>减少</w:t>
      </w:r>
      <w:r>
        <w:rPr>
          <w:rFonts w:hint="eastAsia" w:ascii="仿宋_GB2312" w:hAnsi="仿宋_GB2312" w:eastAsia="仿宋_GB2312"/>
          <w:color w:val="000000"/>
          <w:kern w:val="2"/>
          <w:sz w:val="32"/>
          <w:szCs w:val="24"/>
          <w:highlight w:val="none"/>
        </w:rPr>
        <w:t>，运行经费预</w:t>
      </w:r>
      <w:r>
        <w:rPr>
          <w:rFonts w:hint="eastAsia" w:ascii="仿宋_GB2312" w:hAnsi="仿宋_GB2312" w:eastAsia="仿宋_GB2312"/>
          <w:color w:val="000000"/>
          <w:kern w:val="2"/>
          <w:sz w:val="32"/>
          <w:szCs w:val="24"/>
        </w:rPr>
        <w:t>算</w:t>
      </w:r>
      <w:r>
        <w:rPr>
          <w:rFonts w:hint="eastAsia" w:ascii="仿宋_GB2312" w:hAnsi="仿宋_GB2312" w:eastAsia="仿宋_GB2312"/>
          <w:color w:val="000000"/>
          <w:kern w:val="2"/>
          <w:sz w:val="32"/>
          <w:szCs w:val="24"/>
          <w:lang w:eastAsia="zh-CN"/>
        </w:rPr>
        <w:t>减少。</w:t>
      </w:r>
    </w:p>
    <w:p w14:paraId="15AB628E">
      <w:pPr>
        <w:keepNext w:val="0"/>
        <w:keepLines w:val="0"/>
        <w:pageBreakBefore w:val="0"/>
        <w:widowControl w:val="0"/>
        <w:kinsoku/>
        <w:wordWrap/>
        <w:overflowPunct w:val="0"/>
        <w:topLinePunct/>
        <w:autoSpaceDE w:val="0"/>
        <w:autoSpaceDN w:val="0"/>
        <w:bidi w:val="0"/>
        <w:adjustRightInd/>
        <w:snapToGrid/>
        <w:spacing w:line="576" w:lineRule="exact"/>
        <w:ind w:left="0" w:leftChars="0" w:firstLine="643" w:firstLineChars="200"/>
        <w:jc w:val="both"/>
        <w:textAlignment w:val="auto"/>
        <w:outlineLvl w:val="1"/>
        <w:rPr>
          <w:rFonts w:hint="eastAsia" w:ascii="Times New Roman" w:hAnsi="Times New Roman" w:eastAsia="楷体_GB2312" w:cs="楷体_GB2312"/>
          <w:b/>
          <w:color w:val="auto"/>
          <w:sz w:val="32"/>
          <w:szCs w:val="32"/>
          <w:highlight w:val="none"/>
        </w:rPr>
      </w:pPr>
      <w:bookmarkStart w:id="55" w:name="_Toc15377223"/>
      <w:r>
        <w:rPr>
          <w:rFonts w:hint="eastAsia" w:ascii="Times New Roman" w:hAnsi="Times New Roman" w:eastAsia="楷体_GB2312" w:cs="楷体_GB2312"/>
          <w:b/>
          <w:color w:val="auto"/>
          <w:sz w:val="32"/>
          <w:szCs w:val="32"/>
          <w:highlight w:val="none"/>
        </w:rPr>
        <w:t>（二）政府采购支出情况</w:t>
      </w:r>
      <w:bookmarkEnd w:id="55"/>
    </w:p>
    <w:p w14:paraId="45C2D12C">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olor w:val="000000"/>
          <w:kern w:val="2"/>
          <w:sz w:val="32"/>
          <w:szCs w:val="24"/>
        </w:rPr>
        <w:t>昭化区民政局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olor w:val="000000"/>
          <w:kern w:val="2"/>
          <w:sz w:val="32"/>
          <w:szCs w:val="24"/>
          <w:lang w:val="en-US" w:eastAsia="zh-CN"/>
        </w:rPr>
        <w:t>236.17</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olor w:val="000000"/>
          <w:kern w:val="2"/>
          <w:sz w:val="32"/>
          <w:szCs w:val="24"/>
          <w:lang w:val="en-US" w:eastAsia="zh-CN"/>
        </w:rPr>
        <w:t>157.74</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lang w:val="en-US" w:eastAsia="zh-CN"/>
        </w:rPr>
        <w:t>78.43</w:t>
      </w:r>
      <w:r>
        <w:rPr>
          <w:rFonts w:hint="eastAsia" w:ascii="仿宋_GB2312" w:hAnsi="仿宋_GB2312" w:eastAsia="仿宋_GB2312" w:cs="仿宋_GB2312"/>
          <w:color w:val="auto"/>
          <w:kern w:val="2"/>
          <w:sz w:val="32"/>
          <w:szCs w:val="32"/>
          <w:highlight w:val="none"/>
          <w:lang w:val="en-US" w:eastAsia="zh-CN" w:bidi="ar-SA"/>
        </w:rPr>
        <w:t>万元。主要用于民政局婚姻登记中心、射箭区域养老服务中心、福利院护理能力提升项目的设施设备采购。授予中小企业合同金额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w:t>
      </w:r>
    </w:p>
    <w:p w14:paraId="21C31DD1">
      <w:pPr>
        <w:keepNext w:val="0"/>
        <w:keepLines w:val="0"/>
        <w:pageBreakBefore w:val="0"/>
        <w:widowControl w:val="0"/>
        <w:numPr>
          <w:ilvl w:val="0"/>
          <w:numId w:val="4"/>
        </w:numPr>
        <w:kinsoku/>
        <w:wordWrap/>
        <w:overflowPunct w:val="0"/>
        <w:topLinePunct/>
        <w:autoSpaceDE w:val="0"/>
        <w:autoSpaceDN w:val="0"/>
        <w:bidi w:val="0"/>
        <w:adjustRightInd/>
        <w:snapToGrid/>
        <w:spacing w:line="576" w:lineRule="exact"/>
        <w:ind w:left="0" w:leftChars="0" w:firstLine="643" w:firstLineChars="200"/>
        <w:jc w:val="both"/>
        <w:textAlignment w:val="auto"/>
        <w:outlineLvl w:val="1"/>
        <w:rPr>
          <w:rFonts w:hint="eastAsia" w:ascii="Times New Roman" w:hAnsi="Times New Roman" w:eastAsia="仿宋_GB2312" w:cs="仿宋_GB2312"/>
          <w:color w:val="auto"/>
          <w:kern w:val="2"/>
          <w:sz w:val="32"/>
          <w:szCs w:val="32"/>
          <w:highlight w:val="none"/>
          <w:lang w:val="en-US" w:eastAsia="zh-CN" w:bidi="ar-SA"/>
        </w:rPr>
      </w:pPr>
      <w:bookmarkStart w:id="56" w:name="_Toc15377224"/>
      <w:r>
        <w:rPr>
          <w:rFonts w:hint="eastAsia" w:ascii="Times New Roman" w:hAnsi="Times New Roman" w:eastAsia="楷体_GB2312" w:cs="楷体_GB2312"/>
          <w:b/>
          <w:color w:val="auto"/>
          <w:sz w:val="32"/>
          <w:szCs w:val="32"/>
          <w:highlight w:val="none"/>
        </w:rPr>
        <w:t>国有资产占有使用情况</w:t>
      </w:r>
      <w:bookmarkEnd w:id="56"/>
    </w:p>
    <w:p w14:paraId="3864899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截至2024年12月31日，本单位无公务用车辆，单位无价值100万元以上大型设备。</w:t>
      </w:r>
    </w:p>
    <w:p w14:paraId="6FC51113">
      <w:pPr>
        <w:keepNext w:val="0"/>
        <w:keepLines w:val="0"/>
        <w:pageBreakBefore w:val="0"/>
        <w:widowControl w:val="0"/>
        <w:kinsoku/>
        <w:wordWrap/>
        <w:overflowPunct w:val="0"/>
        <w:topLinePunct/>
        <w:autoSpaceDE w:val="0"/>
        <w:autoSpaceDN w:val="0"/>
        <w:bidi w:val="0"/>
        <w:adjustRightInd/>
        <w:snapToGrid/>
        <w:spacing w:line="576" w:lineRule="exact"/>
        <w:ind w:left="0" w:leftChars="0" w:firstLine="643" w:firstLineChars="200"/>
        <w:jc w:val="both"/>
        <w:textAlignment w:val="auto"/>
        <w:outlineLvl w:val="1"/>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2CED0099">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b/>
          <w:bCs/>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仿宋" w:eastAsia="仿宋_GB2312"/>
          <w:color w:val="auto"/>
          <w:sz w:val="32"/>
          <w:szCs w:val="32"/>
        </w:rPr>
        <w:t>绿色殡葬、儿童福利、困难群众救助资金、福彩公益金养老服务项目</w:t>
      </w:r>
      <w:r>
        <w:rPr>
          <w:rFonts w:hint="eastAsia" w:ascii="仿宋_GB2312" w:hAnsi="仿宋" w:eastAsia="仿宋_GB2312"/>
          <w:color w:val="auto"/>
          <w:sz w:val="32"/>
          <w:szCs w:val="32"/>
          <w:lang w:eastAsia="zh-CN"/>
        </w:rPr>
        <w:t>、社会组织孵化园</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ascii="仿宋_GB2312" w:hAnsi="仿宋_GB2312" w:eastAsia="仿宋_GB2312"/>
          <w:kern w:val="2"/>
          <w:sz w:val="32"/>
          <w:szCs w:val="24"/>
        </w:rPr>
        <w:t>绩效自评报表见第四部分附件。</w:t>
      </w:r>
    </w:p>
    <w:p w14:paraId="5B0B3DFF">
      <w:pPr>
        <w:keepNext w:val="0"/>
        <w:keepLines w:val="0"/>
        <w:pageBreakBefore w:val="0"/>
        <w:widowControl w:val="0"/>
        <w:kinsoku/>
        <w:wordWrap/>
        <w:overflowPunct w:val="0"/>
        <w:topLinePunct/>
        <w:autoSpaceDE w:val="0"/>
        <w:autoSpaceDN w:val="0"/>
        <w:bidi w:val="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14:paraId="2C4C350E">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57" w:name="_Toc15377225"/>
      <w:bookmarkStart w:id="58" w:name="_Toc15396613"/>
      <w:bookmarkStart w:id="59" w:name="_Toc31650"/>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57"/>
      <w:bookmarkEnd w:id="58"/>
      <w:bookmarkEnd w:id="59"/>
    </w:p>
    <w:p w14:paraId="0644E42B">
      <w:pPr>
        <w:keepNext w:val="0"/>
        <w:keepLines w:val="0"/>
        <w:pageBreakBefore w:val="0"/>
        <w:widowControl w:val="0"/>
        <w:kinsoku/>
        <w:wordWrap/>
        <w:overflowPunct w:val="0"/>
        <w:topLinePunct/>
        <w:autoSpaceDE w:val="0"/>
        <w:autoSpaceDN w:val="0"/>
        <w:bidi w:val="0"/>
        <w:spacing w:line="600" w:lineRule="exact"/>
        <w:jc w:val="left"/>
        <w:textAlignment w:val="auto"/>
        <w:rPr>
          <w:rFonts w:ascii="Times New Roman" w:hAnsi="Times New Roman"/>
          <w:b/>
          <w:color w:val="auto"/>
          <w:sz w:val="44"/>
          <w:szCs w:val="44"/>
          <w:highlight w:val="none"/>
        </w:rPr>
      </w:pPr>
    </w:p>
    <w:p w14:paraId="5C8D0B56">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一、财政拨款收入：指单位从同级财政部门取得的财政预算资金。</w:t>
      </w:r>
    </w:p>
    <w:p w14:paraId="4242530E">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二、事业收入：指事业单位开展专业业务活动及辅助活动取得的收入。</w:t>
      </w:r>
    </w:p>
    <w:p w14:paraId="3C52FDC0">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三、经营收入：指事业单位在专业业务活动及其辅助活动之外开展非独立核算经营活动取得的收入。</w:t>
      </w:r>
    </w:p>
    <w:p w14:paraId="043CF05C">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四、其他收入：指单位取得的除上述收入以外的各项收入。 </w:t>
      </w:r>
    </w:p>
    <w:p w14:paraId="797252E9">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auto"/>
          <w:kern w:val="2"/>
          <w:sz w:val="32"/>
          <w:szCs w:val="24"/>
          <w:lang w:val="en-US"/>
        </w:rPr>
      </w:pPr>
      <w:r>
        <w:rPr>
          <w:rFonts w:hint="eastAsia" w:ascii="仿宋_GB2312" w:hAnsi="仿宋_GB2312" w:eastAsia="仿宋_GB2312"/>
          <w:color w:val="auto"/>
          <w:kern w:val="2"/>
          <w:sz w:val="32"/>
          <w:szCs w:val="24"/>
          <w:lang w:val="en-US"/>
        </w:rPr>
        <w:t xml:space="preserve">五、使用非财政拨款结余（含专用结余）：指事业单位使用以前年度积累的非财政拨款结余弥补当年收支差额的金额。 </w:t>
      </w:r>
    </w:p>
    <w:p w14:paraId="6E13DE55">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六、年初结转和结余：指以前年度尚未完成、结转到本年按有关规定继续使用的资金。 </w:t>
      </w:r>
    </w:p>
    <w:p w14:paraId="45B986D4">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七、结余分配：指事业单位按照会计制度规定缴纳的所得税、提取的专用结余以及转入非财政拨款结余的金额等。</w:t>
      </w:r>
    </w:p>
    <w:p w14:paraId="2E1FD2FC">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八、年末结转和结余：指单位按有关规定结转到下年或以后年度继续使用的资金。</w:t>
      </w:r>
    </w:p>
    <w:p w14:paraId="799EF254">
      <w:pPr>
        <w:overflowPunct w:val="0"/>
        <w:topLinePunct/>
        <w:spacing w:beforeLines="0" w:afterLines="0" w:line="576" w:lineRule="atLeas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九、社会保障和就业支出（类）行政事业单位养老（款）机关事业单位基本养老保险缴费（项）：指行政事业单位养老方面支出。</w:t>
      </w:r>
    </w:p>
    <w:p w14:paraId="5667CB6E">
      <w:pPr>
        <w:overflowPunct w:val="0"/>
        <w:topLinePunct/>
        <w:spacing w:beforeLines="0" w:afterLines="0" w:line="576" w:lineRule="atLeas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十、社会保障和就业支出（类）民政管理事务（款）机行政运行（项）：反映行政单位（包括实行公务员管理的事业单位）的基本支出。</w:t>
      </w:r>
    </w:p>
    <w:p w14:paraId="51F9185E">
      <w:pPr>
        <w:overflowPunct w:val="0"/>
        <w:topLinePunct/>
        <w:spacing w:beforeLines="0" w:afterLines="0" w:line="576" w:lineRule="atLeas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社会保障和就业支出（类）民政管理事务（款）基层政权建设和社区治理（项）：反映开展城乡社区治理、城乡社区服务（乡村便民服务）、村（居）民自治。村（居）务公开，乡镇街道服务能力建设等基层政权建设和社区治理工作支出。</w:t>
      </w:r>
    </w:p>
    <w:p w14:paraId="1CFCB5D4">
      <w:pPr>
        <w:overflowPunct w:val="0"/>
        <w:topLinePunct/>
        <w:spacing w:beforeLines="0" w:afterLines="0" w:line="576" w:lineRule="atLeas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十二、社会保障和就业支出（类）民政管理事务（款）其他民政管理事务支出（项）：其他用于民政管理事务的支出。</w:t>
      </w:r>
    </w:p>
    <w:p w14:paraId="56C7BB56">
      <w:pPr>
        <w:pStyle w:val="8"/>
        <w:spacing w:beforeLines="0" w:afterLines="0" w:line="576" w:lineRule="atLeast"/>
        <w:ind w:leftChars="0" w:firstLine="640"/>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十三、社会保障和就业支出（类）行政事业单位养老（款）机关事业单位职业年金缴费（项）：指行政事业单位职业年金方面支出。</w:t>
      </w:r>
    </w:p>
    <w:p w14:paraId="36A590DA">
      <w:pPr>
        <w:shd w:val="clear" w:color="auto" w:fill="FFFFFF"/>
        <w:spacing w:beforeLines="0" w:afterLines="0" w:line="576" w:lineRule="atLeast"/>
        <w:ind w:firstLine="640" w:firstLineChars="200"/>
        <w:rPr>
          <w:rFonts w:hint="eastAsia" w:ascii="Times New Roman" w:eastAsia="Times New Roman"/>
          <w:sz w:val="32"/>
          <w:szCs w:val="32"/>
        </w:rPr>
      </w:pPr>
      <w:r>
        <w:rPr>
          <w:rFonts w:hint="eastAsia" w:ascii="仿宋_GB2312" w:hAnsi="仿宋_GB2312" w:eastAsia="仿宋_GB2312"/>
          <w:color w:val="000000"/>
          <w:kern w:val="2"/>
          <w:sz w:val="32"/>
          <w:szCs w:val="24"/>
        </w:rPr>
        <w:t>十四、社会保障和就业支出（类）社会福利（款）儿童福利（项）：</w:t>
      </w:r>
      <w:r>
        <w:rPr>
          <w:rFonts w:hint="eastAsia" w:ascii="Times New Roman" w:eastAsia="Times New Roman"/>
          <w:sz w:val="32"/>
          <w:szCs w:val="32"/>
        </w:rPr>
        <w:t>:</w:t>
      </w:r>
      <w:r>
        <w:rPr>
          <w:rFonts w:hint="eastAsia" w:ascii="Times New Roman" w:eastAsia="仿宋_GB2312"/>
          <w:sz w:val="32"/>
          <w:szCs w:val="32"/>
        </w:rPr>
        <w:t>指孤儿助学金、孤儿生活费及价格补贴、未成年人替代教育费的支出。</w:t>
      </w:r>
    </w:p>
    <w:p w14:paraId="7AB6AB0B">
      <w:pPr>
        <w:shd w:val="clear" w:color="auto" w:fill="FFFFFF"/>
        <w:spacing w:beforeLines="0" w:afterLines="0" w:line="576" w:lineRule="atLeast"/>
        <w:ind w:firstLine="640" w:firstLineChars="200"/>
        <w:rPr>
          <w:rFonts w:hint="eastAsia" w:ascii="Times New Roman" w:eastAsia="Times New Roman"/>
          <w:sz w:val="32"/>
          <w:szCs w:val="32"/>
        </w:rPr>
      </w:pPr>
      <w:r>
        <w:rPr>
          <w:rFonts w:hint="eastAsia" w:ascii="仿宋_GB2312" w:hAnsi="仿宋_GB2312" w:eastAsia="仿宋_GB2312"/>
          <w:color w:val="000000"/>
          <w:kern w:val="2"/>
          <w:sz w:val="32"/>
          <w:szCs w:val="24"/>
        </w:rPr>
        <w:t>十五、社会保障和就业支出（类）社会福利（款）老年福利（项）：</w:t>
      </w:r>
      <w:r>
        <w:rPr>
          <w:rFonts w:hint="eastAsia" w:ascii="Times New Roman" w:eastAsia="Times New Roman"/>
          <w:sz w:val="32"/>
          <w:szCs w:val="32"/>
        </w:rPr>
        <w:t>:</w:t>
      </w:r>
      <w:r>
        <w:rPr>
          <w:rFonts w:hint="eastAsia" w:ascii="Times New Roman" w:eastAsia="仿宋_GB2312"/>
          <w:sz w:val="32"/>
          <w:szCs w:val="32"/>
        </w:rPr>
        <w:t>指高龄补贴、集中供养老人的支出。</w:t>
      </w:r>
    </w:p>
    <w:p w14:paraId="4D5C8ABE">
      <w:pPr>
        <w:shd w:val="clear" w:color="auto" w:fill="FFFFFF"/>
        <w:spacing w:beforeLines="0" w:afterLines="0" w:line="576" w:lineRule="atLeast"/>
        <w:ind w:firstLine="640" w:firstLineChars="200"/>
        <w:rPr>
          <w:rFonts w:hint="eastAsia" w:ascii="Times New Roman" w:eastAsia="Times New Roman"/>
          <w:sz w:val="32"/>
          <w:szCs w:val="32"/>
        </w:rPr>
      </w:pPr>
      <w:r>
        <w:rPr>
          <w:rFonts w:hint="eastAsia" w:ascii="仿宋_GB2312" w:hAnsi="仿宋_GB2312" w:eastAsia="仿宋_GB2312"/>
          <w:color w:val="000000"/>
          <w:kern w:val="2"/>
          <w:sz w:val="32"/>
          <w:szCs w:val="24"/>
        </w:rPr>
        <w:t>十六、社会保障和就业支出（类）社会福利（款）殡葬（项）：</w:t>
      </w:r>
      <w:r>
        <w:rPr>
          <w:rFonts w:hint="eastAsia" w:ascii="Times New Roman" w:eastAsia="仿宋_GB2312"/>
          <w:sz w:val="32"/>
          <w:szCs w:val="32"/>
        </w:rPr>
        <w:t>困难群众殡葬救助及全区火化人员绿色惠民殡葬费的支出。</w:t>
      </w:r>
    </w:p>
    <w:p w14:paraId="7EF1E59F">
      <w:pPr>
        <w:shd w:val="clear" w:color="auto" w:fill="FFFFFF"/>
        <w:spacing w:beforeLines="0" w:afterLines="0" w:line="576" w:lineRule="atLeast"/>
        <w:ind w:firstLine="640" w:firstLineChars="200"/>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十七、社会保障和就业支出（类）社会福利（款）养老服务（项）：养老服务方面补助，包括居家养老服务、社区养老服务队养老机构运营补贴、建设补助的支出。</w:t>
      </w:r>
    </w:p>
    <w:p w14:paraId="0DA37133">
      <w:pPr>
        <w:shd w:val="clear" w:color="auto" w:fill="FFFFFF"/>
        <w:spacing w:beforeLines="0" w:afterLines="0" w:line="576" w:lineRule="atLeast"/>
        <w:ind w:firstLine="640" w:firstLineChars="200"/>
        <w:rPr>
          <w:rFonts w:hint="eastAsia" w:ascii="Times New Roman" w:eastAsia="Times New Roman"/>
          <w:sz w:val="32"/>
          <w:szCs w:val="32"/>
        </w:rPr>
      </w:pPr>
      <w:r>
        <w:rPr>
          <w:rFonts w:hint="eastAsia" w:ascii="Times New Roman" w:eastAsia="仿宋_GB2312"/>
          <w:sz w:val="32"/>
          <w:szCs w:val="32"/>
        </w:rPr>
        <w:t>十八、社会保障和就业支出（类）社会福利（款）其他社会福利支出（项）: 指以上社会福利以外的其他社会福利方面的支出。</w:t>
      </w:r>
    </w:p>
    <w:p w14:paraId="43F126D0">
      <w:pPr>
        <w:shd w:val="clear" w:color="auto" w:fill="FFFFFF"/>
        <w:spacing w:beforeLines="0" w:afterLines="0" w:line="576" w:lineRule="atLeast"/>
        <w:ind w:firstLine="640" w:firstLineChars="200"/>
        <w:rPr>
          <w:rFonts w:hint="eastAsia" w:ascii="Times New Roman" w:eastAsia="Times New Roman"/>
          <w:sz w:val="32"/>
          <w:szCs w:val="32"/>
        </w:rPr>
      </w:pPr>
      <w:r>
        <w:rPr>
          <w:rFonts w:hint="eastAsia" w:ascii="Times New Roman" w:eastAsia="仿宋_GB2312"/>
          <w:sz w:val="32"/>
          <w:szCs w:val="32"/>
        </w:rPr>
        <w:t>十九、社会保障和就业支出（类）残疾人事业（款）残疾人生活和护理补贴（项）: 指反映政府在残疾人生活和护理补贴的支出。</w:t>
      </w:r>
    </w:p>
    <w:p w14:paraId="4462CA4B">
      <w:pPr>
        <w:shd w:val="clear" w:color="auto" w:fill="FFFFFF"/>
        <w:spacing w:beforeLines="0" w:afterLines="0" w:line="576" w:lineRule="atLeast"/>
        <w:ind w:firstLine="640" w:firstLineChars="200"/>
        <w:rPr>
          <w:rFonts w:hint="eastAsia" w:ascii="Times New Roman" w:eastAsia="Times New Roman"/>
          <w:sz w:val="32"/>
          <w:szCs w:val="32"/>
        </w:rPr>
      </w:pPr>
      <w:r>
        <w:rPr>
          <w:rFonts w:hint="eastAsia" w:ascii="Times New Roman" w:eastAsia="仿宋_GB2312"/>
          <w:sz w:val="32"/>
          <w:szCs w:val="32"/>
        </w:rPr>
        <w:t>二十、社会保障和就业支出（类）残疾人事业（款）其他残疾人事业支出（项）: 指以上支出以外的其他残疾人事业的支出。</w:t>
      </w:r>
    </w:p>
    <w:p w14:paraId="1F5E6D76">
      <w:pPr>
        <w:shd w:val="clear" w:color="auto" w:fill="FFFFFF"/>
        <w:spacing w:beforeLines="0" w:afterLines="0" w:line="576" w:lineRule="atLeast"/>
        <w:ind w:firstLine="640" w:firstLineChars="200"/>
        <w:rPr>
          <w:rFonts w:hint="eastAsia" w:ascii="Times New Roman" w:eastAsia="仿宋_GB2312"/>
          <w:sz w:val="32"/>
          <w:szCs w:val="32"/>
        </w:rPr>
      </w:pPr>
      <w:r>
        <w:rPr>
          <w:rFonts w:hint="eastAsia" w:ascii="Times New Roman" w:eastAsia="仿宋_GB2312"/>
          <w:sz w:val="32"/>
          <w:szCs w:val="32"/>
        </w:rPr>
        <w:t>二十一、社会保障和就业支出（类）最低生活保障（款）城市最低生活保障金支出（项）:用于城市最低生活保障对象的最低生活保障金支出。</w:t>
      </w:r>
    </w:p>
    <w:p w14:paraId="55B6569E">
      <w:pPr>
        <w:shd w:val="clear" w:color="auto" w:fill="FFFFFF"/>
        <w:spacing w:beforeLines="0" w:afterLines="0" w:line="576" w:lineRule="atLeast"/>
        <w:ind w:firstLine="640" w:firstLineChars="200"/>
        <w:rPr>
          <w:rFonts w:hint="eastAsia" w:ascii="Times New Roman" w:eastAsia="仿宋_GB2312"/>
          <w:sz w:val="32"/>
          <w:szCs w:val="32"/>
        </w:rPr>
      </w:pPr>
      <w:r>
        <w:rPr>
          <w:rFonts w:hint="eastAsia" w:ascii="Times New Roman" w:eastAsia="仿宋_GB2312"/>
          <w:sz w:val="32"/>
          <w:szCs w:val="32"/>
        </w:rPr>
        <w:t>二十二、社会保障和就业支出（类）最低生活保障（款）农村最低生活保障金支出（项）:用于农村最低生活保障对象的最低生活保障金支出。</w:t>
      </w:r>
    </w:p>
    <w:p w14:paraId="3CDA7538">
      <w:pPr>
        <w:shd w:val="clear" w:color="auto" w:fill="FFFFFF"/>
        <w:spacing w:beforeLines="0" w:afterLines="0" w:line="576" w:lineRule="atLeast"/>
        <w:ind w:firstLine="640" w:firstLineChars="200"/>
        <w:rPr>
          <w:rFonts w:hint="eastAsia" w:ascii="Times New Roman" w:eastAsia="Times New Roman"/>
          <w:sz w:val="32"/>
          <w:szCs w:val="32"/>
        </w:rPr>
      </w:pPr>
      <w:r>
        <w:rPr>
          <w:rFonts w:hint="eastAsia" w:ascii="Times New Roman" w:eastAsia="仿宋_GB2312"/>
          <w:sz w:val="32"/>
          <w:szCs w:val="32"/>
        </w:rPr>
        <w:t>二十三、社会保障和就业支出（类）临时救助（款）流浪乞讨人员救助支出（项）:指用于生活无着落的流浪乞讨人员的救助支出和救助管理机构的运转支出。</w:t>
      </w:r>
    </w:p>
    <w:p w14:paraId="1304DB79">
      <w:pPr>
        <w:shd w:val="clear" w:color="auto" w:fill="FFFFFF"/>
        <w:spacing w:beforeLines="0" w:afterLines="0" w:line="576" w:lineRule="atLeast"/>
        <w:ind w:firstLine="640" w:firstLineChars="200"/>
        <w:rPr>
          <w:rFonts w:hint="eastAsia" w:ascii="Times New Roman" w:eastAsia="仿宋_GB2312"/>
          <w:sz w:val="32"/>
          <w:szCs w:val="32"/>
        </w:rPr>
      </w:pPr>
      <w:r>
        <w:rPr>
          <w:rFonts w:hint="eastAsia" w:ascii="Times New Roman" w:eastAsia="仿宋_GB2312"/>
          <w:sz w:val="32"/>
          <w:szCs w:val="32"/>
        </w:rPr>
        <w:t>二十四、社会保障和就业支出（类）临时救助（款）流浪乞讨人员救助支出（项）:指用于城乡生活困难居民的临时救助支出。</w:t>
      </w:r>
    </w:p>
    <w:p w14:paraId="3A08907F">
      <w:pPr>
        <w:shd w:val="clear" w:color="auto" w:fill="FFFFFF"/>
        <w:spacing w:beforeLines="0" w:afterLines="0" w:line="576" w:lineRule="atLeast"/>
        <w:ind w:firstLine="640" w:firstLineChars="200"/>
        <w:rPr>
          <w:rFonts w:hint="eastAsia" w:ascii="Times New Roman" w:eastAsia="Times New Roman"/>
          <w:sz w:val="32"/>
          <w:szCs w:val="32"/>
        </w:rPr>
      </w:pPr>
      <w:r>
        <w:rPr>
          <w:rFonts w:hint="eastAsia" w:ascii="Times New Roman" w:eastAsia="仿宋_GB2312"/>
          <w:sz w:val="32"/>
          <w:szCs w:val="32"/>
        </w:rPr>
        <w:t>二十五、社会保障和就业支出（类）特困人员救助供养（款）农村特困人员救助供养支出（项）: 指反映农村特困人员救助供养支出。</w:t>
      </w:r>
    </w:p>
    <w:p w14:paraId="24D5AB7E">
      <w:pPr>
        <w:shd w:val="clear" w:color="auto" w:fill="FFFFFF"/>
        <w:spacing w:beforeLines="0" w:afterLines="0" w:line="576" w:lineRule="atLeast"/>
        <w:ind w:firstLine="640" w:firstLineChars="200"/>
        <w:rPr>
          <w:rFonts w:hint="eastAsia" w:ascii="Times New Roman" w:eastAsia="Times New Roman"/>
          <w:sz w:val="32"/>
          <w:szCs w:val="32"/>
        </w:rPr>
      </w:pPr>
      <w:r>
        <w:rPr>
          <w:rFonts w:hint="eastAsia" w:ascii="Times New Roman" w:eastAsia="仿宋_GB2312"/>
          <w:sz w:val="32"/>
          <w:szCs w:val="32"/>
        </w:rPr>
        <w:t>二十六、社会保障和就业支出（类）特困人员救助供养（款）城市特困人员救助供养支出（项）: 指反映城市特困人员救助供养支出。</w:t>
      </w:r>
    </w:p>
    <w:p w14:paraId="0BE80683">
      <w:pPr>
        <w:shd w:val="clear" w:color="auto" w:fill="FFFFFF"/>
        <w:spacing w:beforeLines="0" w:afterLines="0" w:line="576" w:lineRule="atLeast"/>
        <w:ind w:firstLine="640" w:firstLineChars="200"/>
        <w:rPr>
          <w:rFonts w:hint="eastAsia" w:ascii="Times New Roman" w:eastAsia="Times New Roman"/>
          <w:sz w:val="32"/>
          <w:szCs w:val="32"/>
        </w:rPr>
      </w:pPr>
      <w:r>
        <w:rPr>
          <w:rFonts w:hint="eastAsia" w:ascii="Times New Roman" w:eastAsia="仿宋_GB2312"/>
          <w:sz w:val="32"/>
          <w:szCs w:val="32"/>
        </w:rPr>
        <w:t>二十七、社会保障和就业支出（类）其他生活救助（款）其他农村生活救助（项）: 指用于农村生活困难居民生活救助的其他支出。</w:t>
      </w:r>
    </w:p>
    <w:p w14:paraId="3BB57301">
      <w:pPr>
        <w:shd w:val="clear" w:color="auto" w:fill="FFFFFF"/>
        <w:spacing w:beforeLines="0" w:afterLines="0" w:line="576" w:lineRule="atLeast"/>
        <w:ind w:firstLine="640" w:firstLineChars="200"/>
        <w:rPr>
          <w:rFonts w:hint="eastAsia" w:ascii="Times New Roman" w:eastAsia="Times New Roman"/>
          <w:sz w:val="32"/>
          <w:szCs w:val="32"/>
        </w:rPr>
      </w:pPr>
      <w:r>
        <w:rPr>
          <w:rFonts w:hint="eastAsia" w:ascii="Times New Roman" w:eastAsia="仿宋_GB2312"/>
          <w:sz w:val="32"/>
          <w:szCs w:val="32"/>
        </w:rPr>
        <w:t>二十八、社会保障和就业支出（类）其他社会保障和就业支出（款）其他社会保障和就业支出（项）:指其他社会保障和就业的项目支出。</w:t>
      </w:r>
    </w:p>
    <w:p w14:paraId="2638D4CC">
      <w:pPr>
        <w:shd w:val="clear" w:color="auto" w:fill="FFFFFF"/>
        <w:spacing w:beforeLines="0" w:afterLines="0" w:line="576" w:lineRule="atLeast"/>
        <w:ind w:firstLine="640" w:firstLineChars="200"/>
        <w:rPr>
          <w:rFonts w:hint="eastAsia" w:ascii="Times New Roman" w:eastAsia="仿宋_GB2312"/>
          <w:sz w:val="32"/>
          <w:szCs w:val="32"/>
        </w:rPr>
      </w:pPr>
      <w:r>
        <w:rPr>
          <w:rFonts w:hint="eastAsia" w:ascii="Times New Roman" w:eastAsia="仿宋_GB2312"/>
          <w:sz w:val="32"/>
          <w:szCs w:val="32"/>
        </w:rPr>
        <w:t>二十九、卫生健康支出（类）行政事业单位医疗（款）行政单位医疗（项）:指财政部门集中安排的行政单位基本医疗保险缴费经费。</w:t>
      </w:r>
    </w:p>
    <w:p w14:paraId="552DDDA2">
      <w:pPr>
        <w:shd w:val="clear" w:color="auto" w:fill="FFFFFF"/>
        <w:spacing w:beforeLines="0" w:afterLines="0" w:line="576" w:lineRule="atLeast"/>
        <w:ind w:firstLine="640" w:firstLineChars="200"/>
        <w:rPr>
          <w:rFonts w:hint="eastAsia" w:ascii="Times New Roman" w:eastAsia="仿宋_GB2312"/>
          <w:sz w:val="32"/>
          <w:szCs w:val="32"/>
          <w:lang w:eastAsia="zh-CN"/>
        </w:rPr>
      </w:pPr>
      <w:r>
        <w:rPr>
          <w:rFonts w:hint="eastAsia" w:ascii="Times New Roman" w:eastAsia="仿宋_GB2312"/>
          <w:sz w:val="32"/>
          <w:szCs w:val="32"/>
          <w:lang w:eastAsia="zh-CN"/>
        </w:rPr>
        <w:t>三十、</w:t>
      </w:r>
      <w:r>
        <w:rPr>
          <w:rFonts w:hint="eastAsia" w:ascii="Times New Roman" w:eastAsia="仿宋_GB2312"/>
          <w:sz w:val="32"/>
          <w:szCs w:val="32"/>
        </w:rPr>
        <w:t>卫生健康支出（类）行政事业单位医疗（款）</w:t>
      </w:r>
      <w:r>
        <w:rPr>
          <w:rFonts w:hint="eastAsia" w:ascii="Times New Roman" w:eastAsia="仿宋_GB2312"/>
          <w:sz w:val="32"/>
          <w:szCs w:val="32"/>
          <w:lang w:eastAsia="zh-CN"/>
        </w:rPr>
        <w:t>事业</w:t>
      </w:r>
      <w:r>
        <w:rPr>
          <w:rFonts w:hint="eastAsia" w:ascii="Times New Roman" w:eastAsia="仿宋_GB2312"/>
          <w:sz w:val="32"/>
          <w:szCs w:val="32"/>
        </w:rPr>
        <w:t>单位医疗（项）:指财政部门集中安排的</w:t>
      </w:r>
      <w:r>
        <w:rPr>
          <w:rFonts w:hint="eastAsia" w:ascii="Times New Roman" w:eastAsia="仿宋_GB2312"/>
          <w:sz w:val="32"/>
          <w:szCs w:val="32"/>
          <w:lang w:eastAsia="zh-CN"/>
        </w:rPr>
        <w:t>事业</w:t>
      </w:r>
      <w:r>
        <w:rPr>
          <w:rFonts w:hint="eastAsia" w:ascii="Times New Roman" w:eastAsia="仿宋_GB2312"/>
          <w:sz w:val="32"/>
          <w:szCs w:val="32"/>
        </w:rPr>
        <w:t>单位基本医疗保险缴费经费。</w:t>
      </w:r>
    </w:p>
    <w:p w14:paraId="78A8B7AC">
      <w:pPr>
        <w:shd w:val="clear" w:color="auto" w:fill="FFFFFF"/>
        <w:spacing w:beforeLines="0" w:afterLines="0" w:line="576" w:lineRule="atLeast"/>
        <w:ind w:firstLine="640" w:firstLineChars="200"/>
        <w:rPr>
          <w:rFonts w:hint="eastAsia" w:ascii="Times New Roman" w:eastAsia="仿宋_GB2312"/>
          <w:sz w:val="32"/>
          <w:szCs w:val="32"/>
        </w:rPr>
      </w:pPr>
      <w:r>
        <w:rPr>
          <w:rFonts w:hint="eastAsia" w:ascii="Times New Roman" w:eastAsia="仿宋_GB2312"/>
          <w:sz w:val="32"/>
          <w:szCs w:val="32"/>
        </w:rPr>
        <w:t>三十</w:t>
      </w:r>
      <w:r>
        <w:rPr>
          <w:rFonts w:hint="eastAsia" w:ascii="Times New Roman" w:eastAsia="仿宋_GB2312"/>
          <w:sz w:val="32"/>
          <w:szCs w:val="32"/>
          <w:lang w:eastAsia="zh-CN"/>
        </w:rPr>
        <w:t>一</w:t>
      </w:r>
      <w:r>
        <w:rPr>
          <w:rFonts w:hint="eastAsia" w:ascii="Times New Roman" w:eastAsia="仿宋_GB2312"/>
          <w:sz w:val="32"/>
          <w:szCs w:val="32"/>
        </w:rPr>
        <w:t>、农林水（类）普惠金融发展支出（款）其他普惠金融发展支出（项）:用于地震保险的支出。</w:t>
      </w:r>
    </w:p>
    <w:p w14:paraId="3E06F8FD">
      <w:pPr>
        <w:shd w:val="clear" w:color="auto" w:fill="FFFFFF"/>
        <w:spacing w:beforeLines="0" w:afterLines="0" w:line="576" w:lineRule="atLeast"/>
        <w:ind w:firstLine="640" w:firstLineChars="200"/>
        <w:rPr>
          <w:rFonts w:hint="eastAsia" w:ascii="Times New Roman" w:eastAsia="仿宋_GB2312"/>
          <w:sz w:val="32"/>
          <w:szCs w:val="32"/>
        </w:rPr>
      </w:pPr>
      <w:r>
        <w:rPr>
          <w:rFonts w:hint="eastAsia" w:ascii="Times New Roman" w:eastAsia="仿宋_GB2312"/>
          <w:sz w:val="32"/>
          <w:szCs w:val="32"/>
        </w:rPr>
        <w:t>三十</w:t>
      </w:r>
      <w:r>
        <w:rPr>
          <w:rFonts w:hint="eastAsia" w:ascii="Times New Roman" w:eastAsia="仿宋_GB2312"/>
          <w:sz w:val="32"/>
          <w:szCs w:val="32"/>
          <w:lang w:eastAsia="zh-CN"/>
        </w:rPr>
        <w:t>二</w:t>
      </w:r>
      <w:r>
        <w:rPr>
          <w:rFonts w:hint="eastAsia" w:ascii="Times New Roman" w:eastAsia="仿宋_GB2312"/>
          <w:sz w:val="32"/>
          <w:szCs w:val="32"/>
        </w:rPr>
        <w:t>、其他（类）彩票公益金安排的支出（款）用于社会福利的彩票公益金支出（项）:反映用于社会福利和社会救助的彩票公益金支出。</w:t>
      </w:r>
    </w:p>
    <w:p w14:paraId="6F3AA99B">
      <w:pPr>
        <w:overflowPunct w:val="0"/>
        <w:topLinePunct/>
        <w:spacing w:beforeLines="0" w:afterLines="0" w:line="576" w:lineRule="atLeast"/>
        <w:ind w:firstLine="640" w:firstLineChars="200"/>
        <w:jc w:val="both"/>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rPr>
        <w:t>三十</w:t>
      </w:r>
      <w:r>
        <w:rPr>
          <w:rFonts w:hint="eastAsia" w:ascii="仿宋_GB2312" w:hAnsi="仿宋_GB2312" w:eastAsia="仿宋_GB2312"/>
          <w:color w:val="000000"/>
          <w:kern w:val="2"/>
          <w:sz w:val="32"/>
          <w:szCs w:val="24"/>
          <w:lang w:eastAsia="zh-CN"/>
        </w:rPr>
        <w:t>三</w:t>
      </w:r>
      <w:r>
        <w:rPr>
          <w:rFonts w:hint="eastAsia" w:ascii="仿宋_GB2312" w:hAnsi="仿宋_GB2312" w:eastAsia="仿宋_GB2312"/>
          <w:color w:val="000000"/>
          <w:kern w:val="2"/>
          <w:sz w:val="32"/>
          <w:szCs w:val="24"/>
        </w:rPr>
        <w:t>、住房保障（类）住房改革支出（款）住房公积金（项）:指行政事业单位按人力资源和社会保障部门、财政部规定的基本工资和津贴补贴以及规定比例为职工缴纳的住房公积金。</w:t>
      </w:r>
    </w:p>
    <w:p w14:paraId="2D0013C3">
      <w:pPr>
        <w:overflowPunct w:val="0"/>
        <w:topLinePunct/>
        <w:spacing w:beforeLines="0" w:afterLines="0" w:line="576" w:lineRule="atLeas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三十</w:t>
      </w:r>
      <w:r>
        <w:rPr>
          <w:rFonts w:hint="eastAsia" w:ascii="仿宋_GB2312" w:hAnsi="仿宋_GB2312" w:eastAsia="仿宋_GB2312"/>
          <w:color w:val="000000"/>
          <w:kern w:val="2"/>
          <w:sz w:val="32"/>
          <w:szCs w:val="24"/>
          <w:lang w:eastAsia="zh-CN"/>
        </w:rPr>
        <w:t>四</w:t>
      </w:r>
      <w:r>
        <w:rPr>
          <w:rFonts w:hint="eastAsia" w:ascii="仿宋_GB2312" w:hAnsi="仿宋_GB2312" w:eastAsia="仿宋_GB2312"/>
          <w:color w:val="000000"/>
          <w:kern w:val="2"/>
          <w:sz w:val="32"/>
          <w:szCs w:val="24"/>
        </w:rPr>
        <w:t>、基本支出：指为保障机构正常运转、完成日常工作任务而发生的人员支出和公用支出。</w:t>
      </w:r>
    </w:p>
    <w:p w14:paraId="7B2B85ED">
      <w:pPr>
        <w:overflowPunct w:val="0"/>
        <w:topLinePunct/>
        <w:spacing w:beforeLines="0" w:afterLines="0" w:line="576" w:lineRule="atLeas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三十</w:t>
      </w:r>
      <w:r>
        <w:rPr>
          <w:rFonts w:hint="eastAsia" w:ascii="仿宋_GB2312" w:hAnsi="仿宋_GB2312" w:eastAsia="仿宋_GB2312"/>
          <w:color w:val="000000"/>
          <w:kern w:val="2"/>
          <w:sz w:val="32"/>
          <w:szCs w:val="24"/>
          <w:lang w:eastAsia="zh-CN"/>
        </w:rPr>
        <w:t>五</w:t>
      </w:r>
      <w:r>
        <w:rPr>
          <w:rFonts w:hint="eastAsia" w:ascii="仿宋_GB2312" w:hAnsi="仿宋_GB2312" w:eastAsia="仿宋_GB2312"/>
          <w:color w:val="000000"/>
          <w:kern w:val="2"/>
          <w:sz w:val="32"/>
          <w:szCs w:val="24"/>
        </w:rPr>
        <w:t xml:space="preserve">、项目支出：指在基本支出之外为完成特定行政任务和事业发展目标所发生的支出。 </w:t>
      </w:r>
    </w:p>
    <w:p w14:paraId="73E1C40F">
      <w:pPr>
        <w:overflowPunct w:val="0"/>
        <w:topLinePunct/>
        <w:spacing w:beforeLines="0" w:afterLines="0" w:line="576" w:lineRule="atLeas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三十</w:t>
      </w:r>
      <w:r>
        <w:rPr>
          <w:rFonts w:hint="eastAsia" w:ascii="仿宋_GB2312" w:hAnsi="仿宋_GB2312" w:eastAsia="仿宋_GB2312"/>
          <w:color w:val="000000"/>
          <w:kern w:val="2"/>
          <w:sz w:val="32"/>
          <w:szCs w:val="24"/>
          <w:lang w:eastAsia="zh-CN"/>
        </w:rPr>
        <w:t>六</w:t>
      </w:r>
      <w:r>
        <w:rPr>
          <w:rFonts w:hint="eastAsia" w:ascii="仿宋_GB2312" w:hAnsi="仿宋_GB2312" w:eastAsia="仿宋_GB2312"/>
          <w:color w:val="000000"/>
          <w:kern w:val="2"/>
          <w:sz w:val="32"/>
          <w:szCs w:val="24"/>
        </w:rPr>
        <w:t>、经营支出：指事业单位在专业业务活动及其辅助活动之外开展非独立核算经营活动发生的支出。</w:t>
      </w:r>
    </w:p>
    <w:p w14:paraId="6267A66A">
      <w:pPr>
        <w:overflowPunct w:val="0"/>
        <w:topLinePunct/>
        <w:spacing w:beforeLines="0" w:afterLines="0" w:line="576" w:lineRule="atLeas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三十</w:t>
      </w:r>
      <w:r>
        <w:rPr>
          <w:rFonts w:hint="eastAsia" w:ascii="仿宋_GB2312" w:hAnsi="仿宋_GB2312" w:eastAsia="仿宋_GB2312"/>
          <w:color w:val="000000"/>
          <w:sz w:val="32"/>
          <w:szCs w:val="24"/>
          <w:lang w:eastAsia="zh-CN"/>
        </w:rPr>
        <w:t>七</w:t>
      </w:r>
      <w:r>
        <w:rPr>
          <w:rFonts w:hint="eastAsia" w:ascii="仿宋_GB2312" w:hAnsi="仿宋_GB2312" w:eastAsia="仿宋_GB2312"/>
          <w:color w:val="000000"/>
          <w:sz w:val="32"/>
          <w:szCs w:val="24"/>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24FB88F">
      <w:pPr>
        <w:overflowPunct w:val="0"/>
        <w:topLinePunct/>
        <w:spacing w:beforeLines="0" w:afterLines="0" w:line="576" w:lineRule="atLeas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三十</w:t>
      </w:r>
      <w:r>
        <w:rPr>
          <w:rFonts w:hint="eastAsia" w:ascii="仿宋_GB2312" w:hAnsi="仿宋_GB2312" w:eastAsia="仿宋_GB2312"/>
          <w:color w:val="000000"/>
          <w:sz w:val="32"/>
          <w:szCs w:val="24"/>
          <w:lang w:eastAsia="zh-CN"/>
        </w:rPr>
        <w:t>八</w:t>
      </w:r>
      <w:r>
        <w:rPr>
          <w:rFonts w:hint="eastAsia" w:ascii="仿宋_GB2312" w:hAnsi="仿宋_GB2312" w:eastAsia="仿宋_GB2312"/>
          <w:color w:val="000000"/>
          <w:sz w:val="32"/>
          <w:szCs w:val="24"/>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5381105">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黑体" w:hAnsi="黑体" w:eastAsia="黑体"/>
          <w:color w:val="000000"/>
          <w:kern w:val="2"/>
          <w:sz w:val="44"/>
          <w:szCs w:val="24"/>
          <w:lang w:val="en-US"/>
        </w:rPr>
      </w:pPr>
    </w:p>
    <w:p w14:paraId="1650F28F">
      <w:pPr>
        <w:keepNext w:val="0"/>
        <w:keepLines w:val="0"/>
        <w:pageBreakBefore w:val="0"/>
        <w:widowControl w:val="0"/>
        <w:kinsoku/>
        <w:wordWrap/>
        <w:overflowPunct w:val="0"/>
        <w:topLinePunct/>
        <w:autoSpaceDE w:val="0"/>
        <w:autoSpaceDN w:val="0"/>
        <w:bidi w:val="0"/>
        <w:textAlignment w:val="auto"/>
        <w:rPr>
          <w:rFonts w:hint="eastAsia" w:ascii="Times New Roman" w:hAnsi="Times New Roman" w:eastAsia="黑体"/>
          <w:color w:val="auto"/>
          <w:sz w:val="44"/>
          <w:szCs w:val="44"/>
          <w:highlight w:val="none"/>
        </w:rPr>
      </w:pPr>
      <w:bookmarkStart w:id="60" w:name="_Toc15396614"/>
      <w:bookmarkStart w:id="61" w:name="_Toc15377226"/>
      <w:r>
        <w:rPr>
          <w:rFonts w:hint="eastAsia" w:ascii="Times New Roman" w:hAnsi="Times New Roman" w:eastAsia="黑体"/>
          <w:color w:val="auto"/>
          <w:sz w:val="44"/>
          <w:szCs w:val="44"/>
          <w:highlight w:val="none"/>
        </w:rPr>
        <w:br w:type="page"/>
      </w:r>
    </w:p>
    <w:bookmarkEnd w:id="60"/>
    <w:p w14:paraId="7355785A">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lang w:eastAsia="zh-CN"/>
        </w:rPr>
      </w:pPr>
      <w:bookmarkStart w:id="62" w:name="_Toc5310"/>
      <w:bookmarkStart w:id="63" w:name="_Toc15396618"/>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bookmarkEnd w:id="62"/>
    </w:p>
    <w:p w14:paraId="15F75060">
      <w:pPr>
        <w:keepNext w:val="0"/>
        <w:keepLines w:val="0"/>
        <w:pageBreakBefore w:val="0"/>
        <w:widowControl w:val="0"/>
        <w:kinsoku/>
        <w:wordWrap/>
        <w:overflowPunct w:val="0"/>
        <w:topLinePunct/>
        <w:autoSpaceDE w:val="0"/>
        <w:autoSpaceDN w:val="0"/>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64" w:name="_Toc20254"/>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64"/>
    </w:p>
    <w:p w14:paraId="12346B43">
      <w:pPr>
        <w:keepNext w:val="0"/>
        <w:keepLines w:val="0"/>
        <w:pageBreakBefore w:val="0"/>
        <w:widowControl w:val="0"/>
        <w:kinsoku/>
        <w:wordWrap/>
        <w:overflowPunct w:val="0"/>
        <w:topLinePunct/>
        <w:autoSpaceDE w:val="0"/>
        <w:autoSpaceDN w:val="0"/>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3C99AC7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广元市昭化区</w:t>
      </w:r>
      <w:r>
        <w:rPr>
          <w:rFonts w:hint="eastAsia" w:eastAsia="方正小标宋简体" w:cs="Times New Roman"/>
          <w:color w:val="auto"/>
          <w:sz w:val="44"/>
          <w:szCs w:val="44"/>
          <w:lang w:val="en-US" w:eastAsia="zh-CN"/>
        </w:rPr>
        <w:t>民政局</w:t>
      </w:r>
    </w:p>
    <w:p w14:paraId="1AE4237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eastAsia="zh-CN"/>
        </w:rPr>
        <w:t>部门整体支出绩效</w:t>
      </w:r>
      <w:r>
        <w:rPr>
          <w:rFonts w:hint="default" w:ascii="Times New Roman" w:hAnsi="Times New Roman" w:eastAsia="方正小标宋简体" w:cs="Times New Roman"/>
          <w:sz w:val="44"/>
          <w:szCs w:val="44"/>
          <w:lang w:val="zh-CN"/>
        </w:rPr>
        <w:t>自评报告</w:t>
      </w:r>
    </w:p>
    <w:p w14:paraId="1CDD0C8D">
      <w:pPr>
        <w:keepNext w:val="0"/>
        <w:keepLines w:val="0"/>
        <w:pageBreakBefore w:val="0"/>
        <w:widowControl w:val="0"/>
        <w:kinsoku/>
        <w:wordWrap/>
        <w:overflowPunct w:val="0"/>
        <w:topLinePunct/>
        <w:autoSpaceDE w:val="0"/>
        <w:autoSpaceDN w:val="0"/>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61E0F0A">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4419E7F5">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7CCC42E9">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eastAsia="仿宋_GB2312"/>
          <w:sz w:val="32"/>
          <w:szCs w:val="32"/>
          <w:lang w:eastAsia="zh-CN"/>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广元市昭化区民政局无下属二级预算单位，其他事业单位4个。主要包括：</w:t>
      </w:r>
      <w:r>
        <w:rPr>
          <w:rFonts w:hint="eastAsia" w:ascii="仿宋_GB2312" w:hAnsi="仿宋_GB2312" w:eastAsia="仿宋_GB2312" w:cs="仿宋_GB2312"/>
          <w:color w:val="000000" w:themeColor="text1"/>
          <w:sz w:val="32"/>
          <w:szCs w:val="32"/>
          <w14:textFill>
            <w14:solidFill>
              <w14:schemeClr w14:val="tx1"/>
            </w14:solidFill>
          </w14:textFill>
        </w:rPr>
        <w:t>区殡葬事务中心、区社会福利院、区养老服务服务中心、区社会救助服务中心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94967E3">
      <w:pPr>
        <w:keepNext w:val="0"/>
        <w:keepLines w:val="0"/>
        <w:pageBreakBefore w:val="0"/>
        <w:widowControl w:val="0"/>
        <w:numPr>
          <w:ilvl w:val="0"/>
          <w:numId w:val="5"/>
        </w:numPr>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14:paraId="5491F3CA">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（1）起草民政工作规范性文件，拟订全区民政事业发展规划、标准并组织实施。</w:t>
      </w:r>
    </w:p>
    <w:p w14:paraId="14803668">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（2）牵头拟订社会团体、社会服务机构等社会组织登记和监督管理办法并组织实施，依法对社会组织进行登记管理和执法监督。</w:t>
      </w:r>
    </w:p>
    <w:p w14:paraId="0CD82A1A">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（3）牵头拟订全区社会救助规划、政策、标准，统筹推进社会救助体系建设，负责城乡居民生活保障、特困人员救助供养、临时救助、生活无着流浪乞讨人员救助工作。</w:t>
      </w:r>
    </w:p>
    <w:p w14:paraId="62967173">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拟订行政区划、行政区域界线管理和地名管理政策，组织拟订全区行政区划优化设置建议方案，按照管理权限牵头负责全区乡镇行政区划设立、命名、撤销、变更和政府驻地迁移审核报批工作。按照管理权限确定、公布行政区划代码，组织并指导全区行政区域界线勘定、管理工作，调处行政区划边界争议，服务全区地名工作的统一监督管理工作。</w:t>
      </w:r>
    </w:p>
    <w:p w14:paraId="37F54660">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（5）拟订婚姻管理政策并组织实施，推进婚俗改革。</w:t>
      </w:r>
    </w:p>
    <w:p w14:paraId="078C99AC">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（6）贯彻执行殡葬管理政策、服务规范并组织实施，推进殡葬改革。</w:t>
      </w:r>
    </w:p>
    <w:p w14:paraId="40F080C1">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拟订社会福利事业发展规划、政策、标准，拟订全区社会福利事业发展规划，拟订社会福利机构管理办法并指导实施，执行残疾人权益保护政策并监督实施。负责康复辅助器具行业管理，统筹推进残疾人福利制度建设和康复辅助器具产业发展。</w:t>
      </w:r>
    </w:p>
    <w:p w14:paraId="27020D25">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（8）承担区老龄工作委员会的具体工作。组织拟订并协调落实积极应对人口老龄化政策措施。指导协调老年人权益保障工作。组织拟订老年人社会参与政策并组织实施。</w:t>
      </w:r>
    </w:p>
    <w:p w14:paraId="5151DA74">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组织拟订并协调落实养老事业发展的政策措施，统筹推进、督促指导、监督管理养老服务工作，拟订全区养老服务体系建设规划、政策、标准并组织实施，承担老年人福利和特殊困难老年人救助工作，协调推进农村留守老年人关爱服务工作。</w:t>
      </w:r>
    </w:p>
    <w:p w14:paraId="27104789">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（10）拟订儿童福利、孤弃儿童保障、儿童收养、儿童救助保护政策和标准并组织实施，健全农村留守儿童关爱服务体系和困境儿童保障制度。负责全区儿童收养登记工作。</w:t>
      </w:r>
    </w:p>
    <w:p w14:paraId="1855C7F3">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（11）组织拟订促进全区慈善事业发展政策，指导社会捐助工作。负责福利彩票管理工作。</w:t>
      </w:r>
    </w:p>
    <w:p w14:paraId="683381E1">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（12）依法依规负责康复辅助器具行业和社会福利、养老服务、殡葬服务、救助管理机构安全生产监督管理工作。负责职责范围内的职业健康、生态环境保护、审批服务便民化等工作。</w:t>
      </w:r>
    </w:p>
    <w:p w14:paraId="2C3F1E69">
      <w:pPr>
        <w:pStyle w:val="6"/>
        <w:keepNext w:val="0"/>
        <w:keepLines w:val="0"/>
        <w:pageBreakBefore w:val="0"/>
        <w:widowControl w:val="0"/>
        <w:numPr>
          <w:ilvl w:val="0"/>
          <w:numId w:val="0"/>
        </w:numPr>
        <w:kinsoku/>
        <w:wordWrap/>
        <w:overflowPunct w:val="0"/>
        <w:topLinePunct/>
        <w:autoSpaceDE w:val="0"/>
        <w:autoSpaceDN w:val="0"/>
        <w:bidi w:val="0"/>
        <w:textAlignment w:val="auto"/>
        <w:rPr>
          <w:rFonts w:hint="default"/>
          <w:sz w:val="32"/>
          <w:szCs w:val="32"/>
          <w:lang w:val="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（13）完成区委、区政府交办的其他任务。</w:t>
      </w:r>
    </w:p>
    <w:p w14:paraId="35A1A45B">
      <w:pPr>
        <w:keepNext w:val="0"/>
        <w:keepLines w:val="0"/>
        <w:pageBreakBefore w:val="0"/>
        <w:widowControl w:val="0"/>
        <w:kinsoku/>
        <w:wordWrap/>
        <w:overflowPunct w:val="0"/>
        <w:topLinePunct/>
        <w:autoSpaceDE w:val="0"/>
        <w:autoSpaceDN w:val="0"/>
        <w:bidi w:val="0"/>
        <w:spacing w:beforeLines="0" w:afterLines="0" w:line="576" w:lineRule="exact"/>
        <w:ind w:firstLine="643"/>
        <w:textAlignment w:val="auto"/>
        <w:rPr>
          <w:rFonts w:hint="eastAsia" w:ascii="仿宋_GB2312" w:hAnsi="仿宋_GB2312" w:eastAsia="仿宋_GB2312"/>
          <w:b/>
          <w:color w:val="000000"/>
          <w:sz w:val="32"/>
          <w:szCs w:val="32"/>
          <w:lang w:val="zh-CN"/>
        </w:rPr>
      </w:pPr>
      <w:r>
        <w:rPr>
          <w:rFonts w:hint="eastAsia" w:ascii="仿宋_GB2312" w:hAnsi="仿宋_GB2312" w:eastAsia="仿宋_GB2312"/>
          <w:b/>
          <w:color w:val="000000"/>
          <w:sz w:val="32"/>
          <w:szCs w:val="32"/>
          <w:lang w:val="zh-CN"/>
        </w:rPr>
        <w:t>（三）人员概况。</w:t>
      </w:r>
    </w:p>
    <w:p w14:paraId="658C4B6D">
      <w:pPr>
        <w:keepNext w:val="0"/>
        <w:keepLines w:val="0"/>
        <w:pageBreakBefore w:val="0"/>
        <w:widowControl w:val="0"/>
        <w:kinsoku/>
        <w:wordWrap/>
        <w:overflowPunct w:val="0"/>
        <w:topLinePunct/>
        <w:autoSpaceDE w:val="0"/>
        <w:autoSpaceDN w:val="0"/>
        <w:bidi w:val="0"/>
        <w:spacing w:beforeLines="0" w:afterLines="0" w:line="576" w:lineRule="exact"/>
        <w:ind w:firstLine="643"/>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Times New Roman" w:hAnsi="Times New Roman" w:eastAsia="仿宋_GB2312" w:cs="Times New Roman"/>
          <w:sz w:val="32"/>
          <w:szCs w:val="32"/>
          <w:lang w:val="en-US" w:eastAsia="zh-CN"/>
        </w:rPr>
        <w:t>总编制为25名，包括行政编制7名和其他事业编制18名。2024年预算内实有人数为25人，其中行政人员7人，其他事业人员18人。所有人员均享受财政全额供给。全局退休人员11人，其中行政人员9人，其他事业人员2人。</w:t>
      </w:r>
    </w:p>
    <w:p w14:paraId="06EFD117">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A3F134A">
      <w:pPr>
        <w:keepNext w:val="0"/>
        <w:keepLines w:val="0"/>
        <w:pageBreakBefore w:val="0"/>
        <w:widowControl w:val="0"/>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0BCD74E8">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default"/>
          <w:sz w:val="32"/>
          <w:szCs w:val="32"/>
          <w:lang w:val="en-US"/>
        </w:rPr>
      </w:pPr>
      <w:r>
        <w:rPr>
          <w:rFonts w:hint="eastAsia" w:ascii="仿宋_GB2312" w:hAnsi="仿宋_GB2312" w:eastAsia="仿宋_GB2312" w:cs="仿宋_GB2312"/>
          <w:color w:val="auto"/>
          <w:sz w:val="32"/>
          <w:szCs w:val="32"/>
          <w:highlight w:val="none"/>
          <w:lang w:eastAsia="zh-CN"/>
        </w:rPr>
        <w:t>2024年本年收入合计</w:t>
      </w:r>
      <w:r>
        <w:rPr>
          <w:rFonts w:hint="eastAsia" w:ascii="仿宋_GB2312" w:hAnsi="仿宋_GB2312" w:eastAsia="仿宋_GB2312" w:cs="仿宋_GB2312"/>
          <w:color w:val="auto"/>
          <w:sz w:val="32"/>
          <w:szCs w:val="32"/>
          <w:highlight w:val="none"/>
          <w:lang w:val="en-US" w:eastAsia="zh-CN"/>
        </w:rPr>
        <w:t>12028.09</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10628.11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88.36%</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lang w:val="en-US" w:eastAsia="zh-CN"/>
        </w:rPr>
        <w:t>1399.97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11.64</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w:t>
      </w:r>
    </w:p>
    <w:p w14:paraId="3CA07147">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left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楷体_GB2312" w:hAnsi="楷体_GB2312" w:eastAsia="楷体_GB2312"/>
          <w:b/>
          <w:color w:val="000000"/>
          <w:sz w:val="32"/>
          <w:szCs w:val="32"/>
          <w:lang w:val="en-US"/>
        </w:rPr>
        <w:t>（二）支出情况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21DCB9E6">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eastAsia="zh-CN"/>
        </w:rPr>
        <w:t>2024年本年支出合计</w:t>
      </w:r>
      <w:r>
        <w:rPr>
          <w:rFonts w:hint="eastAsia" w:ascii="仿宋_GB2312" w:hAnsi="仿宋_GB2312" w:eastAsia="仿宋_GB2312" w:cs="仿宋_GB2312"/>
          <w:color w:val="auto"/>
          <w:sz w:val="32"/>
          <w:szCs w:val="32"/>
          <w:highlight w:val="none"/>
          <w:lang w:val="en-US" w:eastAsia="zh-CN"/>
        </w:rPr>
        <w:t>12028.09</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lang w:val="en-US" w:eastAsia="zh-CN"/>
        </w:rPr>
        <w:t>490.46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4.08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lang w:val="en-US" w:eastAsia="zh-CN"/>
        </w:rPr>
        <w:t>11537.63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95.92</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w:t>
      </w:r>
    </w:p>
    <w:p w14:paraId="43F6668B">
      <w:pPr>
        <w:keepNext w:val="0"/>
        <w:keepLines w:val="0"/>
        <w:pageBreakBefore w:val="0"/>
        <w:widowControl w:val="0"/>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66E51D2A">
      <w:pPr>
        <w:keepNext w:val="0"/>
        <w:keepLines w:val="0"/>
        <w:pageBreakBefore w:val="0"/>
        <w:widowControl w:val="0"/>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b w:val="0"/>
          <w:bCs w:val="0"/>
          <w:color w:val="000000"/>
          <w:kern w:val="0"/>
          <w:sz w:val="32"/>
          <w:szCs w:val="32"/>
          <w:highlight w:val="none"/>
          <w:shd w:val="clear" w:color="auto" w:fill="FFFFFF"/>
          <w:lang w:val="en-US" w:eastAsia="zh-CN"/>
        </w:rPr>
      </w:pPr>
      <w:r>
        <w:rPr>
          <w:rFonts w:hint="eastAsia" w:ascii="仿宋_GB2312" w:hAnsi="仿宋_GB2312" w:eastAsia="仿宋_GB2312"/>
          <w:color w:val="000000"/>
          <w:kern w:val="2"/>
          <w:sz w:val="32"/>
          <w:szCs w:val="24"/>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rPr>
        <w:t>年无结余分配和结转结余</w:t>
      </w:r>
      <w:r>
        <w:rPr>
          <w:rFonts w:hint="eastAsia" w:ascii="仿宋_GB2312" w:hAnsi="仿宋_GB2312" w:eastAsia="仿宋_GB2312"/>
          <w:color w:val="000000"/>
          <w:kern w:val="2"/>
          <w:sz w:val="32"/>
          <w:szCs w:val="24"/>
          <w:lang w:eastAsia="zh-CN"/>
        </w:rPr>
        <w:t>。</w:t>
      </w:r>
    </w:p>
    <w:p w14:paraId="4043372B">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7040DFF8">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yellow"/>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6689AD9D">
      <w:pPr>
        <w:widowControl/>
        <w:numPr>
          <w:ilvl w:val="0"/>
          <w:numId w:val="0"/>
        </w:numPr>
        <w:pBdr>
          <w:bottom w:val="single" w:color="FFFFFF" w:sz="8" w:space="31"/>
        </w:pBdr>
        <w:shd w:val="clear" w:color="auto" w:fill="FFFFFF"/>
        <w:autoSpaceDN/>
        <w:spacing w:line="550" w:lineRule="exact"/>
        <w:ind w:firstLine="640" w:firstLineChars="200"/>
        <w:jc w:val="both"/>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2E8A2ED4">
      <w:pPr>
        <w:widowControl/>
        <w:numPr>
          <w:ilvl w:val="0"/>
          <w:numId w:val="0"/>
        </w:numPr>
        <w:pBdr>
          <w:bottom w:val="single" w:color="FFFFFF" w:sz="8" w:space="31"/>
        </w:pBdr>
        <w:shd w:val="clear" w:color="auto" w:fill="FFFFFF"/>
        <w:autoSpaceDN/>
        <w:spacing w:line="55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auto"/>
          <w:kern w:val="2"/>
          <w:sz w:val="32"/>
          <w:szCs w:val="32"/>
          <w:highlight w:val="none"/>
          <w:lang w:val="zh-CN" w:eastAsia="zh-CN" w:bidi="ar-SA"/>
        </w:rPr>
        <w:t>一是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救助保障持续加强。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争取到位上级社会救助补助资金6312.73万元，同比增长26.25%，增幅居全市第一。全区城乡低保、城乡特困、孤儿和事实无人抚养儿童、两残等兜底保障对象20322人，占户籍人口8.84%，其中城乡低保19494人，占8.5%，高出全市平均水平0.41个百分点，保障水平每人每月286元，高出全市平均水平45元，社会救助低保对象动态调整权限下放改革工作在全市培训会上作经验交流并承办现场会。</w:t>
      </w:r>
    </w:p>
    <w:p w14:paraId="0DA519F5">
      <w:pPr>
        <w:widowControl/>
        <w:numPr>
          <w:ilvl w:val="0"/>
          <w:numId w:val="0"/>
        </w:numPr>
        <w:pBdr>
          <w:bottom w:val="single" w:color="FFFFFF" w:sz="8" w:space="31"/>
        </w:pBdr>
        <w:shd w:val="clear" w:color="auto" w:fill="FFFFFF"/>
        <w:autoSpaceDN/>
        <w:spacing w:line="55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“一老一小”服务提质。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8个养老机构、3个社区综合体、4个村级养老服务站全面运行，服务水平全面提升，三级养老服务体系初步形成。</w:t>
      </w:r>
    </w:p>
    <w:p w14:paraId="71E73720">
      <w:pPr>
        <w:keepNext w:val="0"/>
        <w:keepLines/>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婚姻殡葬管理提升。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持续推进婚俗改革，1233模式在省民政厅内部刊载交流，婚登中心标准化加快建设，举办柏林沟景区集体婚礼。</w:t>
      </w:r>
    </w:p>
    <w:p w14:paraId="2FEF2CAA">
      <w:pPr>
        <w:keepNext w:val="0"/>
        <w:keepLines/>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民生实事有序推进。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省定3项民生实事，市定2项，区定3项民生实事均按计划完成。</w:t>
      </w:r>
    </w:p>
    <w:p w14:paraId="1AADDBF4">
      <w:pPr>
        <w:keepNext w:val="0"/>
        <w:keepLines w:val="0"/>
        <w:pageBreakBefore w:val="0"/>
        <w:widowControl w:val="0"/>
        <w:numPr>
          <w:ilvl w:val="0"/>
          <w:numId w:val="6"/>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p>
    <w:p w14:paraId="48F4B1C2">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）预算编制。按照要求，202</w:t>
      </w: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zh-CN" w:eastAsia="zh-CN" w:bidi="ar-SA"/>
        </w:rPr>
        <w:t>年 11 月部门预算编制收集  资料，12 月编制出预算初稿，后经多方征求意见，按时上报了 2023</w:t>
      </w: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zh-CN" w:eastAsia="zh-CN" w:bidi="ar-SA"/>
        </w:rPr>
        <w:t>年度部门预算，经会议审查批准，高质量完成了预算编制工作。并根据《中华人民共和国预算法》相关规定严格遵照执行。部门预算 编制完整无漏项，预算编制准确，基础信息和科目使用准确，单位 编制、人员情况与供养人员横向联网系统数据相符；预算编制规范、 项目名称、绩效指标、项目内容说明等符合规范。</w:t>
      </w:r>
    </w:p>
    <w:p w14:paraId="76B77C80">
      <w:pPr>
        <w:pStyle w:val="6"/>
        <w:keepNext w:val="0"/>
        <w:keepLines w:val="0"/>
        <w:pageBreakBefore w:val="0"/>
        <w:widowControl w:val="0"/>
        <w:kinsoku/>
        <w:wordWrap/>
        <w:overflowPunct/>
        <w:topLinePunct w:val="0"/>
        <w:autoSpaceDE/>
        <w:autoSpaceDN/>
        <w:bidi w:val="0"/>
        <w:adjustRightInd/>
        <w:snapToGrid/>
        <w:spacing w:beforeLines="0"/>
        <w:ind w:firstLine="664" w:firstLineChars="200"/>
        <w:textAlignment w:val="auto"/>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单位收入统筹。202</w:t>
      </w:r>
      <w:r>
        <w:rPr>
          <w:rFonts w:hint="eastAsia" w:ascii="仿宋_GB2312" w:hAnsi="仿宋_GB2312" w:eastAsia="仿宋_GB2312" w:cs="仿宋_GB2312"/>
          <w:spacing w:val="6"/>
          <w:sz w:val="32"/>
          <w:szCs w:val="32"/>
          <w:lang w:val="en-US" w:eastAsia="zh-CN"/>
        </w:rPr>
        <w:t>4</w:t>
      </w:r>
      <w:r>
        <w:rPr>
          <w:rFonts w:hint="eastAsia" w:ascii="仿宋_GB2312" w:hAnsi="仿宋_GB2312" w:eastAsia="仿宋_GB2312" w:cs="仿宋_GB2312"/>
          <w:spacing w:val="6"/>
          <w:sz w:val="32"/>
          <w:szCs w:val="32"/>
        </w:rPr>
        <w:t>年，县民政局部门除财政拨款收入</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和非财政拨款收入（其他收入）外，无其他收</w:t>
      </w:r>
      <w:r>
        <w:rPr>
          <w:rFonts w:hint="eastAsia" w:ascii="仿宋_GB2312" w:hAnsi="仿宋_GB2312" w:eastAsia="仿宋_GB2312" w:cs="仿宋_GB2312"/>
          <w:spacing w:val="5"/>
          <w:sz w:val="32"/>
          <w:szCs w:val="32"/>
        </w:rPr>
        <w:t>入来源。全部收入都</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以预算项目形式纳入预算一体化项目库，实行</w:t>
      </w:r>
      <w:r>
        <w:rPr>
          <w:rFonts w:hint="eastAsia" w:ascii="仿宋_GB2312" w:hAnsi="仿宋_GB2312" w:eastAsia="仿宋_GB2312" w:cs="仿宋_GB2312"/>
          <w:spacing w:val="-2"/>
          <w:sz w:val="32"/>
          <w:szCs w:val="32"/>
        </w:rPr>
        <w:t>前期谋划、项目储备、</w:t>
      </w:r>
      <w:r>
        <w:rPr>
          <w:rFonts w:hint="eastAsia" w:ascii="仿宋_GB2312" w:hAnsi="仿宋_GB2312" w:eastAsia="仿宋_GB2312" w:cs="仿宋_GB2312"/>
          <w:spacing w:val="6"/>
          <w:sz w:val="32"/>
          <w:szCs w:val="32"/>
        </w:rPr>
        <w:t>预算编制、项目实施、项目终止等阶段的全生</w:t>
      </w:r>
      <w:r>
        <w:rPr>
          <w:rFonts w:hint="eastAsia" w:ascii="仿宋_GB2312" w:hAnsi="仿宋_GB2312" w:eastAsia="仿宋_GB2312" w:cs="仿宋_GB2312"/>
          <w:spacing w:val="5"/>
          <w:sz w:val="32"/>
          <w:szCs w:val="32"/>
        </w:rPr>
        <w:t>命周期管理，加强项</w:t>
      </w:r>
      <w:r>
        <w:rPr>
          <w:rFonts w:hint="eastAsia" w:ascii="仿宋_GB2312" w:hAnsi="仿宋_GB2312" w:eastAsia="仿宋_GB2312" w:cs="仿宋_GB2312"/>
          <w:spacing w:val="6"/>
          <w:sz w:val="32"/>
          <w:szCs w:val="32"/>
        </w:rPr>
        <w:t>目谋划，夯实项目库，为精准科学编制预算提</w:t>
      </w:r>
      <w:r>
        <w:rPr>
          <w:rFonts w:hint="eastAsia" w:ascii="仿宋_GB2312" w:hAnsi="仿宋_GB2312" w:eastAsia="仿宋_GB2312" w:cs="仿宋_GB2312"/>
          <w:spacing w:val="5"/>
          <w:sz w:val="32"/>
          <w:szCs w:val="32"/>
        </w:rPr>
        <w:t>供支撑，促进财政资资金绩效不断提升。</w:t>
      </w:r>
    </w:p>
    <w:p w14:paraId="67132396">
      <w:pPr>
        <w:pStyle w:val="6"/>
        <w:keepNext w:val="0"/>
        <w:keepLines w:val="0"/>
        <w:pageBreakBefore w:val="0"/>
        <w:widowControl w:val="0"/>
        <w:kinsoku/>
        <w:wordWrap/>
        <w:overflowPunct/>
        <w:topLinePunct w:val="0"/>
        <w:autoSpaceDE/>
        <w:autoSpaceDN/>
        <w:bidi w:val="0"/>
        <w:adjustRightInd/>
        <w:snapToGrid/>
        <w:spacing w:beforeLines="0" w:afterLines="0" w:line="576" w:lineRule="atLeast"/>
        <w:ind w:right="0" w:firstLine="66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（3）预算执行。202</w:t>
      </w:r>
      <w:r>
        <w:rPr>
          <w:rFonts w:hint="eastAsia" w:hAnsi="仿宋_GB2312" w:cs="仿宋_GB2312"/>
          <w:spacing w:val="7"/>
          <w:sz w:val="32"/>
          <w:szCs w:val="32"/>
          <w:lang w:val="en-US" w:eastAsia="zh-CN"/>
        </w:rPr>
        <w:t>4</w:t>
      </w:r>
      <w:r>
        <w:rPr>
          <w:rFonts w:hint="eastAsia" w:ascii="仿宋_GB2312" w:hAnsi="仿宋_GB2312" w:eastAsia="仿宋_GB2312" w:cs="仿宋_GB2312"/>
          <w:spacing w:val="7"/>
          <w:sz w:val="32"/>
          <w:szCs w:val="32"/>
        </w:rPr>
        <w:t>年，</w:t>
      </w:r>
      <w:r>
        <w:rPr>
          <w:rFonts w:hint="eastAsia" w:hAnsi="仿宋_GB2312" w:cs="仿宋_GB2312"/>
          <w:spacing w:val="7"/>
          <w:sz w:val="32"/>
          <w:szCs w:val="32"/>
          <w:lang w:eastAsia="zh-CN"/>
        </w:rPr>
        <w:t>昭化区</w:t>
      </w:r>
      <w:r>
        <w:rPr>
          <w:rFonts w:hint="eastAsia" w:ascii="仿宋_GB2312" w:hAnsi="仿宋_GB2312" w:eastAsia="仿宋_GB2312" w:cs="仿宋_GB2312"/>
          <w:spacing w:val="7"/>
          <w:sz w:val="32"/>
          <w:szCs w:val="32"/>
        </w:rPr>
        <w:t>民政局部门全年预算收入</w:t>
      </w:r>
      <w:r>
        <w:rPr>
          <w:rFonts w:hint="eastAsia" w:hAnsi="仿宋_GB2312" w:cs="仿宋_GB2312"/>
          <w:sz w:val="32"/>
          <w:szCs w:val="32"/>
          <w:lang w:val="en-US" w:eastAsia="zh-CN"/>
        </w:rPr>
        <w:t>12028.09</w:t>
      </w:r>
      <w:r>
        <w:rPr>
          <w:rFonts w:hint="eastAsia" w:ascii="仿宋_GB2312" w:hAnsi="仿宋_GB2312" w:eastAsia="仿宋_GB2312" w:cs="仿宋_GB2312"/>
          <w:spacing w:val="5"/>
          <w:sz w:val="32"/>
          <w:szCs w:val="32"/>
        </w:rPr>
        <w:t>万元，实际支出</w:t>
      </w:r>
      <w:r>
        <w:rPr>
          <w:rFonts w:hint="eastAsia" w:hAnsi="仿宋_GB2312" w:cs="仿宋_GB2312"/>
          <w:sz w:val="32"/>
          <w:szCs w:val="32"/>
          <w:lang w:val="en-US" w:eastAsia="zh-CN"/>
        </w:rPr>
        <w:t>12028.09万</w:t>
      </w:r>
      <w:r>
        <w:rPr>
          <w:rFonts w:hint="eastAsia" w:ascii="仿宋_GB2312" w:hAnsi="仿宋_GB2312" w:eastAsia="仿宋_GB2312" w:cs="仿宋_GB2312"/>
          <w:spacing w:val="5"/>
          <w:sz w:val="32"/>
          <w:szCs w:val="32"/>
        </w:rPr>
        <w:t>元，完成全年预算数的</w:t>
      </w:r>
      <w:r>
        <w:rPr>
          <w:rFonts w:hint="eastAsia" w:ascii="仿宋_GB2312" w:hAnsi="仿宋_GB2312" w:eastAsia="仿宋_GB2312" w:cs="仿宋_GB2312"/>
          <w:sz w:val="32"/>
          <w:szCs w:val="32"/>
        </w:rPr>
        <w:t>100</w:t>
      </w:r>
      <w:r>
        <w:rPr>
          <w:rFonts w:hint="eastAsia" w:ascii="仿宋_GB2312" w:hAnsi="仿宋_GB2312" w:eastAsia="仿宋_GB2312" w:cs="仿宋_GB2312"/>
          <w:spacing w:val="2"/>
          <w:sz w:val="32"/>
          <w:szCs w:val="32"/>
        </w:rPr>
        <w:t>%。</w:t>
      </w:r>
    </w:p>
    <w:p w14:paraId="52116E1C">
      <w:pPr>
        <w:spacing w:beforeLines="0" w:afterLines="0" w:line="576" w:lineRule="atLeast"/>
        <w:ind w:firstLine="620"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（4）预算年终结余。本年度无</w:t>
      </w:r>
      <w:r>
        <w:rPr>
          <w:rFonts w:hint="eastAsia" w:ascii="仿宋_GB2312" w:hAnsi="仿宋_GB2312" w:eastAsia="仿宋_GB2312" w:cs="仿宋_GB2312"/>
          <w:spacing w:val="6"/>
          <w:sz w:val="32"/>
          <w:szCs w:val="32"/>
        </w:rPr>
        <w:t>结转和结余。</w:t>
      </w:r>
    </w:p>
    <w:p w14:paraId="33A904E7">
      <w:pPr>
        <w:pStyle w:val="6"/>
        <w:keepNext w:val="0"/>
        <w:keepLines w:val="0"/>
        <w:pageBreakBefore w:val="0"/>
        <w:widowControl w:val="0"/>
        <w:kinsoku/>
        <w:wordWrap/>
        <w:overflowPunct/>
        <w:topLinePunct w:val="0"/>
        <w:autoSpaceDE/>
        <w:autoSpaceDN/>
        <w:bidi w:val="0"/>
        <w:adjustRightInd/>
        <w:snapToGrid/>
        <w:spacing w:beforeLines="0"/>
        <w:ind w:firstLine="676" w:firstLineChars="200"/>
        <w:textAlignment w:val="auto"/>
        <w:rPr>
          <w:rFonts w:hint="eastAsia" w:hAnsi="仿宋_GB2312" w:eastAsia="仿宋_GB2312" w:cs="仿宋_GB2312"/>
          <w:spacing w:val="5"/>
          <w:sz w:val="32"/>
          <w:szCs w:val="32"/>
          <w:lang w:val="zh-CN" w:eastAsia="zh-CN"/>
        </w:rPr>
      </w:pPr>
      <w:r>
        <w:rPr>
          <w:rFonts w:hint="eastAsia" w:ascii="仿宋_GB2312" w:hAnsi="仿宋_GB2312" w:eastAsia="仿宋_GB2312" w:cs="仿宋_GB2312"/>
          <w:spacing w:val="9"/>
          <w:sz w:val="32"/>
          <w:szCs w:val="32"/>
        </w:rPr>
        <w:t>（5）严控一般性支出。昭化区民政局部门财政</w:t>
      </w:r>
      <w:r>
        <w:rPr>
          <w:rFonts w:hint="eastAsia" w:ascii="仿宋_GB2312" w:hAnsi="仿宋_GB2312" w:eastAsia="仿宋_GB2312" w:cs="仿宋_GB2312"/>
          <w:spacing w:val="8"/>
          <w:sz w:val="32"/>
          <w:szCs w:val="32"/>
        </w:rPr>
        <w:t>资金支出坚持</w:t>
      </w:r>
      <w:r>
        <w:rPr>
          <w:rFonts w:hint="eastAsia" w:ascii="仿宋_GB2312" w:hAnsi="仿宋_GB2312" w:eastAsia="仿宋_GB2312" w:cs="仿宋_GB2312"/>
          <w:spacing w:val="6"/>
          <w:sz w:val="32"/>
          <w:szCs w:val="32"/>
        </w:rPr>
        <w:t>保障为重点，兼顾一般，勤俭节约，讲求实效的原则</w:t>
      </w:r>
      <w:r>
        <w:rPr>
          <w:rFonts w:hint="eastAsia" w:ascii="仿宋_GB2312" w:hAnsi="仿宋_GB2312" w:eastAsia="仿宋_GB2312" w:cs="仿宋_GB2312"/>
          <w:spacing w:val="5"/>
          <w:sz w:val="32"/>
          <w:szCs w:val="32"/>
        </w:rPr>
        <w:t>，严格按照财经</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管理制度和单位内控管理制度进行支付，对报</w:t>
      </w:r>
      <w:r>
        <w:rPr>
          <w:rFonts w:hint="eastAsia" w:ascii="仿宋_GB2312" w:hAnsi="仿宋_GB2312" w:eastAsia="仿宋_GB2312" w:cs="仿宋_GB2312"/>
          <w:spacing w:val="5"/>
          <w:sz w:val="32"/>
          <w:szCs w:val="32"/>
        </w:rPr>
        <w:t>销票据进行严格审核</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rPr>
        <w:t>把关，确保了经费支出报销的真实性、合理性</w:t>
      </w:r>
      <w:r>
        <w:rPr>
          <w:rFonts w:hint="eastAsia" w:hAnsi="仿宋_GB2312" w:cs="仿宋_GB2312"/>
          <w:spacing w:val="8"/>
          <w:sz w:val="32"/>
          <w:szCs w:val="32"/>
          <w:lang w:eastAsia="zh-CN"/>
        </w:rPr>
        <w:t>。</w:t>
      </w:r>
    </w:p>
    <w:p w14:paraId="3BC481A3">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p>
    <w:p w14:paraId="476FFF1C">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昭化区民政局部门 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 xml:space="preserve"> 年度严格执行中央和上级有关部门出台的财经纪律相关规定，严控“三公经费 ”、差旅费等支出。按照规定分别设置会计和出纳岗位，明确了工作职责，严格报账程序，严把票据审核关，减少现金支付。认真做好会计核算，做到账账相符、账实相符。强化内控建设，防范防控岗位风险,确保了各项工作有序运转和财政资金高效规范使用</w:t>
      </w:r>
      <w:r>
        <w:rPr>
          <w:rFonts w:hint="eastAsia" w:eastAsia="仿宋_GB2312" w:cs="仿宋_GB2312"/>
          <w:color w:val="auto"/>
          <w:kern w:val="2"/>
          <w:sz w:val="32"/>
          <w:szCs w:val="32"/>
          <w:highlight w:val="none"/>
          <w:lang w:val="zh-CN" w:eastAsia="zh-CN" w:bidi="ar-SA"/>
        </w:rPr>
        <w:t>。</w:t>
      </w:r>
    </w:p>
    <w:p w14:paraId="796BBF38">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p>
    <w:p w14:paraId="7022D6A4">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昭化区民政局</w:t>
      </w:r>
      <w:r>
        <w:rPr>
          <w:rFonts w:hint="eastAsia" w:eastAsia="仿宋_GB2312" w:cs="仿宋_GB2312"/>
          <w:color w:val="auto"/>
          <w:kern w:val="2"/>
          <w:sz w:val="32"/>
          <w:szCs w:val="32"/>
          <w:highlight w:val="none"/>
          <w:lang w:val="zh-CN" w:eastAsia="zh-CN" w:bidi="ar-SA"/>
        </w:rPr>
        <w:t>部门</w:t>
      </w:r>
      <w:r>
        <w:rPr>
          <w:rFonts w:hint="eastAsia" w:ascii="Times New Roman" w:hAnsi="Times New Roman" w:eastAsia="仿宋_GB2312" w:cs="仿宋_GB2312"/>
          <w:color w:val="auto"/>
          <w:kern w:val="2"/>
          <w:sz w:val="32"/>
          <w:szCs w:val="32"/>
          <w:highlight w:val="none"/>
          <w:lang w:val="zh-CN" w:eastAsia="zh-CN" w:bidi="ar-SA"/>
        </w:rPr>
        <w:t>高度重视固定资产管理工作，通过科学规划和精细化管理，实现了固定资产利用率100%，有效保障了日常办公及各项事业的持续健康发展。在资产盘点工作中，所有资产账实一致，无盘盈盘亏情况，盘活率达到100%。在资产购置、报废、调拨等管理环节，均严格遵循资产管理制度，并及时更新资产管理信息系统，确保账实相符、账卡相符。总体来看，单位资产管理工作规范有序，执行成效显著</w:t>
      </w:r>
      <w:r>
        <w:rPr>
          <w:rFonts w:hint="eastAsia" w:eastAsia="仿宋_GB2312" w:cs="仿宋_GB2312"/>
          <w:color w:val="auto"/>
          <w:kern w:val="2"/>
          <w:sz w:val="32"/>
          <w:szCs w:val="32"/>
          <w:highlight w:val="none"/>
          <w:lang w:val="zh-CN" w:eastAsia="zh-CN" w:bidi="ar-SA"/>
        </w:rPr>
        <w:t>。</w:t>
      </w:r>
    </w:p>
    <w:p w14:paraId="50E2F6D8">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p>
    <w:p w14:paraId="6B4F8C24">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2023年度，</w:t>
      </w:r>
      <w:r>
        <w:rPr>
          <w:rFonts w:hint="eastAsia" w:eastAsia="仿宋_GB2312" w:cs="仿宋_GB2312"/>
          <w:color w:val="auto"/>
          <w:kern w:val="2"/>
          <w:sz w:val="32"/>
          <w:szCs w:val="32"/>
          <w:highlight w:val="none"/>
          <w:lang w:val="zh-CN" w:eastAsia="zh-CN" w:bidi="ar-SA"/>
        </w:rPr>
        <w:t>昭化区民政局部门</w:t>
      </w:r>
      <w:r>
        <w:rPr>
          <w:rFonts w:hint="eastAsia" w:ascii="Times New Roman" w:hAnsi="Times New Roman" w:eastAsia="仿宋_GB2312" w:cs="仿宋_GB2312"/>
          <w:color w:val="auto"/>
          <w:kern w:val="2"/>
          <w:sz w:val="32"/>
          <w:szCs w:val="32"/>
          <w:highlight w:val="none"/>
          <w:lang w:val="zh-CN" w:eastAsia="zh-CN" w:bidi="ar-SA"/>
        </w:rPr>
        <w:t>严格遵循《政府采购法》及其实施条例等有关规定，依据省级采购目录和财政部门预算管理要求，科学编制政府采购计划，确保所有采购项目均纳入部门预算管理。采购前，主动加强与采购办、财政等单位的沟通协调，积极开展采购政策咨询，全面掌握相关业务规范；采购过程中，依法依规合理选择采购方式，保障采购程序合法合规；采购完成后，强化采购项目的验收与管理，严把质量关，确保采购实效，不断提升采购效率和资金使用效益</w:t>
      </w:r>
      <w:r>
        <w:rPr>
          <w:rFonts w:hint="eastAsia" w:eastAsia="仿宋_GB2312" w:cs="仿宋_GB2312"/>
          <w:color w:val="auto"/>
          <w:kern w:val="2"/>
          <w:sz w:val="32"/>
          <w:szCs w:val="32"/>
          <w:highlight w:val="none"/>
          <w:lang w:val="zh-CN" w:eastAsia="zh-CN" w:bidi="ar-SA"/>
        </w:rPr>
        <w:t>。</w:t>
      </w:r>
    </w:p>
    <w:p w14:paraId="4BF4DC0E">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yellow"/>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43D0EF9C">
      <w:pPr>
        <w:keepNext w:val="0"/>
        <w:keepLines w:val="0"/>
        <w:pageBreakBefore w:val="0"/>
        <w:widowControl w:val="0"/>
        <w:numPr>
          <w:ilvl w:val="0"/>
          <w:numId w:val="7"/>
        </w:numPr>
        <w:kinsoku/>
        <w:wordWrap/>
        <w:overflowPunct w:val="0"/>
        <w:topLinePunct/>
        <w:autoSpaceDE w:val="0"/>
        <w:autoSpaceDN w:val="0"/>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项目决策。</w:t>
      </w:r>
    </w:p>
    <w:p w14:paraId="52DDA2AD">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yellow"/>
          <w:lang w:val="zh-CN" w:eastAsia="zh-CN" w:bidi="ar-SA"/>
        </w:rPr>
      </w:pPr>
      <w:r>
        <w:rPr>
          <w:rFonts w:hint="eastAsia" w:ascii="仿宋_GB2312" w:hAnsi="仿宋_GB2312" w:eastAsia="仿宋_GB2312" w:cs="仿宋_GB2312"/>
          <w:color w:val="000000" w:themeColor="text1"/>
          <w:kern w:val="2"/>
          <w:sz w:val="32"/>
          <w:szCs w:val="32"/>
          <w14:textFill>
            <w14:solidFill>
              <w14:schemeClr w14:val="tx1"/>
            </w14:solidFill>
          </w14:textFill>
        </w:rPr>
        <w:t>本单位绩效目标编制要素是完整的，绩效指标细化量化准确，绩效目标纳入本单位开会研究决策。年初预算和年末决算编制内容真实有效，编制数据完整、准确。年初预算绩效目标编制完整、合理。报表报送及时准确。单位人员类、其他运转类项目收支执行进度良好、部门整体绩效目标完成较好，无偏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p>
    <w:p w14:paraId="392CE44E">
      <w:pPr>
        <w:keepNext w:val="0"/>
        <w:keepLines w:val="0"/>
        <w:pageBreakBefore w:val="0"/>
        <w:widowControl w:val="0"/>
        <w:numPr>
          <w:ilvl w:val="0"/>
          <w:numId w:val="7"/>
        </w:numPr>
        <w:kinsoku/>
        <w:wordWrap/>
        <w:overflowPunct w:val="0"/>
        <w:topLinePunct/>
        <w:autoSpaceDE w:val="0"/>
        <w:autoSpaceDN w:val="0"/>
        <w:bidi w:val="0"/>
        <w:adjustRightInd w:val="0"/>
        <w:snapToGrid w:val="0"/>
        <w:spacing w:line="578" w:lineRule="exact"/>
        <w:ind w:left="0" w:lef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项目执行</w:t>
      </w:r>
      <w:r>
        <w:rPr>
          <w:rFonts w:hint="eastAsia" w:ascii="Times New Roman" w:hAnsi="Times New Roman" w:eastAsia="仿宋_GB2312" w:cs="仿宋_GB2312"/>
          <w:color w:val="auto"/>
          <w:kern w:val="2"/>
          <w:sz w:val="32"/>
          <w:szCs w:val="32"/>
          <w:highlight w:val="none"/>
          <w:lang w:val="zh-CN" w:eastAsia="zh-CN" w:bidi="ar-SA"/>
        </w:rPr>
        <w:t>。</w:t>
      </w:r>
    </w:p>
    <w:p w14:paraId="292B4FFD">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lef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yellow"/>
          <w:lang w:val="zh-CN" w:eastAsia="zh-CN" w:bidi="ar-SA"/>
        </w:rPr>
      </w:pPr>
      <w:r>
        <w:rPr>
          <w:rFonts w:hint="eastAsia" w:ascii="仿宋_GB2312" w:hAnsi="仿宋_GB2312" w:eastAsia="仿宋_GB2312" w:cs="仿宋_GB2312"/>
          <w:color w:val="000000" w:themeColor="text1"/>
          <w:kern w:val="2"/>
          <w:sz w:val="32"/>
          <w:szCs w:val="32"/>
          <w14:textFill>
            <w14:solidFill>
              <w14:schemeClr w14:val="tx1"/>
            </w14:solidFill>
          </w14:textFill>
        </w:rPr>
        <w:t>在支出方面，部门日常公用经费、项目支出中的办公费、印刷费、接待费、差旅费、邮电费、广告宣传费等科目年初预算数与决算数无偏差。我单位严格落实党政机关过紧日子要求，在执行过程中做到花钱与办事、绩效与责任深度融合，把资金用在刀刃上，按时完成绩效监控数据的更新填报，做到绩效自行监控全覆盖，执行进度正常推进，控制有效。本单位预算管理方面无违纪违规问题</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p>
    <w:p w14:paraId="65C2418E">
      <w:pPr>
        <w:keepNext w:val="0"/>
        <w:keepLines w:val="0"/>
        <w:pageBreakBefore w:val="0"/>
        <w:widowControl w:val="0"/>
        <w:numPr>
          <w:ilvl w:val="0"/>
          <w:numId w:val="7"/>
        </w:numPr>
        <w:kinsoku/>
        <w:wordWrap/>
        <w:overflowPunct w:val="0"/>
        <w:topLinePunct/>
        <w:autoSpaceDE w:val="0"/>
        <w:autoSpaceDN w:val="0"/>
        <w:bidi w:val="0"/>
        <w:adjustRightInd w:val="0"/>
        <w:snapToGrid w:val="0"/>
        <w:spacing w:line="578" w:lineRule="exact"/>
        <w:ind w:left="0" w:lef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目标实现。</w:t>
      </w:r>
    </w:p>
    <w:p w14:paraId="0046401E">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leftChars="0"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color w:val="000000" w:themeColor="text1"/>
          <w:kern w:val="2"/>
          <w:sz w:val="32"/>
          <w:szCs w:val="32"/>
          <w14:textFill>
            <w14:solidFill>
              <w14:schemeClr w14:val="tx1"/>
            </w14:solidFill>
          </w14:textFill>
        </w:rPr>
        <w:t>202</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32"/>
          <w:szCs w:val="32"/>
          <w14:textFill>
            <w14:solidFill>
              <w14:schemeClr w14:val="tx1"/>
            </w14:solidFill>
          </w14:textFill>
        </w:rPr>
        <w:t>年全年支出</w:t>
      </w:r>
      <w:r>
        <w:rPr>
          <w:rFonts w:hint="eastAsia" w:ascii="仿宋_GB2312" w:hAnsi="仿宋_GB2312" w:eastAsia="仿宋_GB2312" w:cs="仿宋_GB2312"/>
          <w:color w:val="000000" w:themeColor="text1"/>
          <w:sz w:val="32"/>
          <w:szCs w:val="32"/>
          <w:shd w:val="clear" w:color="auto" w:fill="FFFFFF"/>
          <w:lang w:val="en-US" w:eastAsia="zh-CN" w:bidi="ar"/>
          <w14:textFill>
            <w14:solidFill>
              <w14:schemeClr w14:val="tx1"/>
            </w14:solidFill>
          </w14:textFill>
        </w:rPr>
        <w:t>10512.17</w:t>
      </w:r>
      <w:r>
        <w:rPr>
          <w:rFonts w:hint="eastAsia" w:ascii="仿宋_GB2312" w:hAnsi="仿宋_GB2312" w:eastAsia="仿宋_GB2312" w:cs="仿宋_GB2312"/>
          <w:color w:val="000000" w:themeColor="text1"/>
          <w:sz w:val="32"/>
          <w:szCs w:val="32"/>
          <w:shd w:val="clear" w:color="auto" w:fill="FFFFFF"/>
          <w:lang w:bidi="ar"/>
          <w14:textFill>
            <w14:solidFill>
              <w14:schemeClr w14:val="tx1"/>
            </w14:solidFill>
          </w14:textFill>
        </w:rPr>
        <w:t>万</w:t>
      </w:r>
      <w:r>
        <w:rPr>
          <w:rFonts w:hint="eastAsia" w:ascii="仿宋_GB2312" w:hAnsi="仿宋_GB2312" w:eastAsia="仿宋_GB2312" w:cs="仿宋_GB2312"/>
          <w:color w:val="000000" w:themeColor="text1"/>
          <w:kern w:val="2"/>
          <w:sz w:val="32"/>
          <w:szCs w:val="32"/>
          <w14:textFill>
            <w14:solidFill>
              <w14:schemeClr w14:val="tx1"/>
            </w14:solidFill>
          </w14:textFill>
        </w:rPr>
        <w:t>元，支付过程及时有力，控制有度，无低效无效率资金使用情况</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p>
    <w:p w14:paraId="67C60F1B">
      <w:pPr>
        <w:keepNext w:val="0"/>
        <w:keepLines w:val="0"/>
        <w:pageBreakBefore w:val="0"/>
        <w:widowControl w:val="0"/>
        <w:numPr>
          <w:ilvl w:val="0"/>
          <w:numId w:val="5"/>
        </w:numPr>
        <w:kinsoku/>
        <w:wordWrap/>
        <w:overflowPunct w:val="0"/>
        <w:topLinePunct/>
        <w:autoSpaceDE w:val="0"/>
        <w:autoSpaceDN w:val="0"/>
        <w:bidi w:val="0"/>
        <w:snapToGrid w:val="0"/>
        <w:spacing w:line="600" w:lineRule="exact"/>
        <w:ind w:left="0" w:leftChars="0"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692A685C">
      <w:pPr>
        <w:keepNext w:val="0"/>
        <w:keepLines w:val="0"/>
        <w:pageBreakBefore w:val="0"/>
        <w:widowControl w:val="0"/>
        <w:numPr>
          <w:ilvl w:val="0"/>
          <w:numId w:val="0"/>
        </w:numPr>
        <w:kinsoku/>
        <w:wordWrap/>
        <w:overflowPunct w:val="0"/>
        <w:topLinePunct/>
        <w:autoSpaceDE w:val="0"/>
        <w:autoSpaceDN w:val="0"/>
        <w:bidi w:val="0"/>
        <w:adjustRightInd/>
        <w:snapToGrid w:val="0"/>
        <w:spacing w:line="600" w:lineRule="exact"/>
        <w:ind w:leftChars="0" w:firstLine="640" w:firstLineChars="200"/>
        <w:textAlignment w:val="auto"/>
        <w:rPr>
          <w:rFonts w:hint="eastAsia" w:ascii="Times New Roman" w:hAnsi="Times New Roman" w:eastAsia="仿宋_GB2312" w:cs="Times New Roman"/>
          <w:sz w:val="32"/>
          <w:szCs w:val="32"/>
          <w:highlight w:val="none"/>
          <w:u w:val="none"/>
          <w:lang w:eastAsia="zh-CN" w:bidi="ar"/>
        </w:rPr>
      </w:pPr>
      <w:r>
        <w:rPr>
          <w:rFonts w:hint="default" w:ascii="Times New Roman" w:hAnsi="Times New Roman" w:eastAsia="仿宋_GB2312" w:cs="Times New Roman"/>
          <w:sz w:val="32"/>
          <w:szCs w:val="32"/>
          <w:highlight w:val="none"/>
          <w:u w:val="none"/>
          <w:lang w:bidi="ar"/>
        </w:rPr>
        <w:t>本单位严格执行预决算公开制度。在内部应用方面，将内设股室绩效自评纳入考核体系，建立对内设股室和代管部门预算与绩效挂钩机制。按要求将相关绩效信息随同决算公开。本部门针对绩效管理过程中（包括绩效目标核查、绩效监控核查、重点自评抽查和重点绩效评价）提出的问题进行整改、完善政策、改进管理。在应用反馈方面，本部门在规定时间内向财政部门反馈应用绩效结果报告</w:t>
      </w:r>
      <w:r>
        <w:rPr>
          <w:rFonts w:hint="eastAsia" w:eastAsia="仿宋_GB2312" w:cs="Times New Roman"/>
          <w:sz w:val="32"/>
          <w:szCs w:val="32"/>
          <w:highlight w:val="none"/>
          <w:u w:val="none"/>
          <w:lang w:eastAsia="zh-CN" w:bidi="ar"/>
        </w:rPr>
        <w:t>。</w:t>
      </w:r>
    </w:p>
    <w:p w14:paraId="5F42D520">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3C0555D7">
      <w:pPr>
        <w:keepNext w:val="0"/>
        <w:keepLines w:val="0"/>
        <w:pageBreakBefore w:val="0"/>
        <w:widowControl w:val="0"/>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highlight w:val="yellow"/>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017FDA66">
      <w:pPr>
        <w:keepNext w:val="0"/>
        <w:keepLines w:val="0"/>
        <w:pageBreakBefore w:val="0"/>
        <w:widowControl w:val="0"/>
        <w:kinsoku/>
        <w:wordWrap/>
        <w:overflowPunct w:val="0"/>
        <w:topLinePunct/>
        <w:autoSpaceDE w:val="0"/>
        <w:autoSpaceDN w:val="0"/>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sz w:val="32"/>
          <w:szCs w:val="32"/>
          <w:highlight w:val="none"/>
          <w:u w:val="none"/>
          <w:lang w:val="en-US" w:eastAsia="zh-CN" w:bidi="ar"/>
        </w:rPr>
      </w:pPr>
      <w:r>
        <w:rPr>
          <w:rFonts w:hint="default" w:ascii="Times New Roman" w:hAnsi="Times New Roman" w:eastAsia="仿宋_GB2312" w:cs="Times New Roman"/>
          <w:sz w:val="32"/>
          <w:szCs w:val="32"/>
          <w:highlight w:val="none"/>
          <w:u w:val="none"/>
          <w:lang w:val="en-US" w:eastAsia="zh-CN" w:bidi="ar"/>
        </w:rPr>
        <w:t>2024年广元市昭化区民政局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2024年基本完成，在保障机关运转、履行职能职责上整体情况良好</w:t>
      </w:r>
      <w:r>
        <w:rPr>
          <w:rFonts w:hint="eastAsia" w:eastAsia="仿宋_GB2312" w:cs="Times New Roman"/>
          <w:sz w:val="32"/>
          <w:szCs w:val="32"/>
          <w:highlight w:val="none"/>
          <w:u w:val="none"/>
          <w:lang w:val="en-US" w:eastAsia="zh-CN" w:bidi="ar"/>
        </w:rPr>
        <w:t>，年末部门预算绩效评价指标体系自评得分95.14分，绩效支出总体良好。</w:t>
      </w:r>
    </w:p>
    <w:p w14:paraId="10441BE2">
      <w:pPr>
        <w:keepNext w:val="0"/>
        <w:keepLines w:val="0"/>
        <w:pageBreakBefore w:val="0"/>
        <w:widowControl w:val="0"/>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highlight w:val="yellow"/>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0A7D25BE">
      <w:pPr>
        <w:keepNext w:val="0"/>
        <w:keepLines w:val="0"/>
        <w:pageBreakBefore w:val="0"/>
        <w:widowControl w:val="0"/>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yellow"/>
          <w:u w:val="none"/>
          <w:lang w:val="en-US" w:eastAsia="zh-CN" w:bidi="ar"/>
        </w:rPr>
      </w:pPr>
      <w:r>
        <w:rPr>
          <w:rFonts w:hint="eastAsia" w:ascii="仿宋_GB2312" w:hAnsi="仿宋_GB2312" w:eastAsia="仿宋_GB2312" w:cs="仿宋_GB2312"/>
          <w:color w:val="000000" w:themeColor="text1"/>
          <w:kern w:val="2"/>
          <w:sz w:val="32"/>
          <w:szCs w:val="32"/>
          <w14:textFill>
            <w14:solidFill>
              <w14:schemeClr w14:val="tx1"/>
            </w14:solidFill>
          </w14:textFill>
        </w:rPr>
        <w:t>一是绩效管理意识不高；二是预算绩效编制的精准性还有待进一步提高。在编制过程中与业务股室沟通不够，造成在开展过程中应急性时间较多，在支出时也还存在申报计划时功能科目与实际支出不一致的情况</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p>
    <w:p w14:paraId="07416B8A">
      <w:pPr>
        <w:keepNext w:val="0"/>
        <w:keepLines w:val="0"/>
        <w:pageBreakBefore w:val="0"/>
        <w:widowControl w:val="0"/>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highlight w:val="yellow"/>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65" w:name="_Hlk110546638"/>
    </w:p>
    <w:p w14:paraId="25A0F78B">
      <w:pPr>
        <w:keepNext w:val="0"/>
        <w:keepLines w:val="0"/>
        <w:pageBreakBefore w:val="0"/>
        <w:widowControl w:val="0"/>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一是进一步提高预算绩效管理意识； 二是精准编制预算绩效，提高预算绩效编制的科学性、合理性、严谨性和可控性；三是严格按照政策标准，优化支出结构，加快工作进度，提高预算编制的科学化精细化水平</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p>
    <w:p w14:paraId="391AFAE5">
      <w:pPr>
        <w:keepNext w:val="0"/>
        <w:keepLines w:val="0"/>
        <w:pageBreakBefore w:val="0"/>
        <w:widowControl w:val="0"/>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themeColor="text1"/>
          <w:kern w:val="2"/>
          <w:sz w:val="32"/>
          <w:szCs w:val="32"/>
          <w:lang w:val="en" w:eastAsia="zh-CN"/>
          <w14:textFill>
            <w14:solidFill>
              <w14:schemeClr w14:val="tx1"/>
            </w14:solidFill>
          </w14:textFill>
        </w:rPr>
      </w:pPr>
    </w:p>
    <w:p w14:paraId="1970D382">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23FF3AE1">
      <w:pPr>
        <w:keepNext w:val="0"/>
        <w:keepLines w:val="0"/>
        <w:pageBreakBefore w:val="0"/>
        <w:widowControl w:val="0"/>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themeColor="text1"/>
          <w:kern w:val="2"/>
          <w:sz w:val="32"/>
          <w:szCs w:val="32"/>
          <w:lang w:val="en" w:eastAsia="zh-CN"/>
          <w14:textFill>
            <w14:solidFill>
              <w14:schemeClr w14:val="tx1"/>
            </w14:solidFill>
          </w14:textFill>
        </w:rPr>
      </w:pPr>
    </w:p>
    <w:p w14:paraId="746E9F9E">
      <w:pPr>
        <w:keepNext w:val="0"/>
        <w:keepLines w:val="0"/>
        <w:pageBreakBefore w:val="0"/>
        <w:widowControl w:val="0"/>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themeColor="text1"/>
          <w:kern w:val="2"/>
          <w:sz w:val="32"/>
          <w:szCs w:val="32"/>
          <w:lang w:val="en" w:eastAsia="zh-CN"/>
          <w14:textFill>
            <w14:solidFill>
              <w14:schemeClr w14:val="tx1"/>
            </w14:solidFill>
          </w14:textFill>
        </w:rPr>
      </w:pPr>
    </w:p>
    <w:p w14:paraId="03C981FD">
      <w:pPr>
        <w:keepNext w:val="0"/>
        <w:keepLines w:val="0"/>
        <w:pageBreakBefore w:val="0"/>
        <w:widowControl w:val="0"/>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themeColor="text1"/>
          <w:kern w:val="2"/>
          <w:sz w:val="32"/>
          <w:szCs w:val="32"/>
          <w:lang w:val="en" w:eastAsia="zh-CN"/>
          <w14:textFill>
            <w14:solidFill>
              <w14:schemeClr w14:val="tx1"/>
            </w14:solidFill>
          </w14:textFill>
        </w:rPr>
      </w:pPr>
    </w:p>
    <w:p w14:paraId="703A1302">
      <w:pPr>
        <w:keepNext w:val="0"/>
        <w:keepLines w:val="0"/>
        <w:pageBreakBefore w:val="0"/>
        <w:widowControl w:val="0"/>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themeColor="text1"/>
          <w:kern w:val="2"/>
          <w:sz w:val="32"/>
          <w:szCs w:val="32"/>
          <w:lang w:val="en" w:eastAsia="zh-CN"/>
          <w14:textFill>
            <w14:solidFill>
              <w14:schemeClr w14:val="tx1"/>
            </w14:solidFill>
          </w14:textFill>
        </w:rPr>
      </w:pPr>
    </w:p>
    <w:p w14:paraId="64B5EF04">
      <w:pPr>
        <w:keepNext w:val="0"/>
        <w:keepLines w:val="0"/>
        <w:pageBreakBefore w:val="0"/>
        <w:widowControl w:val="0"/>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themeColor="text1"/>
          <w:kern w:val="2"/>
          <w:sz w:val="32"/>
          <w:szCs w:val="32"/>
          <w:lang w:val="en" w:eastAsia="zh-CN"/>
          <w14:textFill>
            <w14:solidFill>
              <w14:schemeClr w14:val="tx1"/>
            </w14:solidFill>
          </w14:textFill>
        </w:rPr>
      </w:pPr>
    </w:p>
    <w:p w14:paraId="6CEEAB56">
      <w:pPr>
        <w:keepNext w:val="0"/>
        <w:keepLines w:val="0"/>
        <w:pageBreakBefore w:val="0"/>
        <w:widowControl w:val="0"/>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themeColor="text1"/>
          <w:kern w:val="2"/>
          <w:sz w:val="32"/>
          <w:szCs w:val="32"/>
          <w:lang w:val="en" w:eastAsia="zh-CN"/>
          <w14:textFill>
            <w14:solidFill>
              <w14:schemeClr w14:val="tx1"/>
            </w14:solidFill>
          </w14:textFill>
        </w:rPr>
      </w:pPr>
    </w:p>
    <w:p w14:paraId="58E571EF">
      <w:pPr>
        <w:keepNext w:val="0"/>
        <w:keepLines w:val="0"/>
        <w:pageBreakBefore w:val="0"/>
        <w:widowControl w:val="0"/>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themeColor="text1"/>
          <w:kern w:val="2"/>
          <w:sz w:val="32"/>
          <w:szCs w:val="32"/>
          <w:lang w:val="en" w:eastAsia="zh-CN"/>
          <w14:textFill>
            <w14:solidFill>
              <w14:schemeClr w14:val="tx1"/>
            </w14:solidFill>
          </w14:textFill>
        </w:rPr>
      </w:pPr>
    </w:p>
    <w:p w14:paraId="510791E4">
      <w:pPr>
        <w:keepNext w:val="0"/>
        <w:keepLines w:val="0"/>
        <w:pageBreakBefore w:val="0"/>
        <w:widowControl w:val="0"/>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themeColor="text1"/>
          <w:kern w:val="2"/>
          <w:sz w:val="32"/>
          <w:szCs w:val="32"/>
          <w:lang w:val="en" w:eastAsia="zh-CN"/>
          <w14:textFill>
            <w14:solidFill>
              <w14:schemeClr w14:val="tx1"/>
            </w14:solidFill>
          </w14:textFill>
        </w:rPr>
      </w:pPr>
    </w:p>
    <w:p w14:paraId="7D74BB81">
      <w:pPr>
        <w:pStyle w:val="6"/>
        <w:rPr>
          <w:rFonts w:hint="eastAsia"/>
          <w:lang w:val="en" w:eastAsia="zh-CN"/>
        </w:rPr>
      </w:pPr>
      <w:r>
        <w:rPr>
          <w:rFonts w:hint="eastAsia" w:ascii="Times New Roman" w:hAnsi="Times New Roman"/>
          <w:sz w:val="32"/>
          <w:szCs w:val="32"/>
          <w:lang w:val="en-US" w:eastAsia="zh-CN"/>
        </w:rPr>
        <w:t>附表1</w:t>
      </w:r>
      <w:r>
        <w:rPr>
          <w:rFonts w:hint="eastAsia" w:ascii="Times New Roman"/>
          <w:sz w:val="32"/>
          <w:szCs w:val="32"/>
          <w:lang w:val="en-US" w:eastAsia="zh-CN"/>
        </w:rPr>
        <w:t>：</w:t>
      </w:r>
    </w:p>
    <w:bookmarkEnd w:id="65"/>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943"/>
        <w:gridCol w:w="1144"/>
        <w:gridCol w:w="1321"/>
        <w:gridCol w:w="1820"/>
        <w:gridCol w:w="1200"/>
        <w:gridCol w:w="1116"/>
        <w:gridCol w:w="932"/>
      </w:tblGrid>
      <w:tr w14:paraId="2788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000" w:type="pct"/>
            <w:gridSpan w:val="8"/>
            <w:tcBorders>
              <w:top w:val="nil"/>
              <w:left w:val="nil"/>
              <w:bottom w:val="nil"/>
              <w:right w:val="nil"/>
            </w:tcBorders>
            <w:shd w:val="clear" w:color="auto" w:fill="auto"/>
            <w:noWrap/>
            <w:vAlign w:val="center"/>
          </w:tcPr>
          <w:p w14:paraId="2A91E3DB">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广元市昭化区部门整体支出绩效目标自评表</w:t>
            </w:r>
          </w:p>
        </w:tc>
      </w:tr>
      <w:tr w14:paraId="082B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000" w:type="pct"/>
            <w:gridSpan w:val="8"/>
            <w:tcBorders>
              <w:top w:val="nil"/>
              <w:left w:val="nil"/>
              <w:bottom w:val="nil"/>
              <w:right w:val="nil"/>
            </w:tcBorders>
            <w:shd w:val="clear" w:color="auto" w:fill="auto"/>
            <w:noWrap/>
            <w:vAlign w:val="center"/>
          </w:tcPr>
          <w:p w14:paraId="6CE5A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5FAA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5F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1C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广元市昭化区民政局</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3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9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D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广元市昭化区民政局</w:t>
            </w:r>
          </w:p>
        </w:tc>
      </w:tr>
      <w:tr w14:paraId="7C0A9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A0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w:t>
            </w:r>
          </w:p>
        </w:tc>
        <w:tc>
          <w:tcPr>
            <w:tcW w:w="14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26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08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3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F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6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1C78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FB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资金（万元）</w:t>
            </w:r>
          </w:p>
        </w:tc>
        <w:tc>
          <w:tcPr>
            <w:tcW w:w="14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D4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2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12028.0882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7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12322.9793</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6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10512.1721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D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1F38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7930">
            <w:pPr>
              <w:jc w:val="center"/>
              <w:rPr>
                <w:rFonts w:hint="eastAsia" w:ascii="宋体" w:hAnsi="宋体" w:eastAsia="宋体" w:cs="宋体"/>
                <w:i w:val="0"/>
                <w:iCs w:val="0"/>
                <w:color w:val="000000"/>
                <w:sz w:val="22"/>
                <w:szCs w:val="22"/>
                <w:u w:val="none"/>
              </w:rPr>
            </w:pPr>
          </w:p>
        </w:tc>
        <w:tc>
          <w:tcPr>
            <w:tcW w:w="14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3F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74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12028.0882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9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12322.9793</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0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10512.1721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8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7FCAF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390E">
            <w:pPr>
              <w:jc w:val="center"/>
              <w:rPr>
                <w:rFonts w:hint="eastAsia" w:ascii="宋体" w:hAnsi="宋体" w:eastAsia="宋体" w:cs="宋体"/>
                <w:i w:val="0"/>
                <w:iCs w:val="0"/>
                <w:color w:val="000000"/>
                <w:sz w:val="22"/>
                <w:szCs w:val="22"/>
                <w:u w:val="none"/>
              </w:rPr>
            </w:pPr>
          </w:p>
        </w:tc>
        <w:tc>
          <w:tcPr>
            <w:tcW w:w="14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1D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1.一般公共预算</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4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10628.1145</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2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10854.9624</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2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10331.4086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6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r w14:paraId="77F0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4E26">
            <w:pPr>
              <w:jc w:val="center"/>
              <w:rPr>
                <w:rFonts w:hint="eastAsia" w:ascii="宋体" w:hAnsi="宋体" w:eastAsia="宋体" w:cs="宋体"/>
                <w:i w:val="0"/>
                <w:iCs w:val="0"/>
                <w:color w:val="000000"/>
                <w:sz w:val="22"/>
                <w:szCs w:val="22"/>
                <w:u w:val="none"/>
              </w:rPr>
            </w:pPr>
          </w:p>
        </w:tc>
        <w:tc>
          <w:tcPr>
            <w:tcW w:w="14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F8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9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1399.9737</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5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1468.0169</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05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180.7635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F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6288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D652">
            <w:pPr>
              <w:jc w:val="center"/>
              <w:rPr>
                <w:rFonts w:hint="eastAsia" w:ascii="宋体" w:hAnsi="宋体" w:eastAsia="宋体" w:cs="宋体"/>
                <w:i w:val="0"/>
                <w:iCs w:val="0"/>
                <w:color w:val="000000"/>
                <w:sz w:val="22"/>
                <w:szCs w:val="22"/>
                <w:u w:val="none"/>
              </w:rPr>
            </w:pPr>
          </w:p>
        </w:tc>
        <w:tc>
          <w:tcPr>
            <w:tcW w:w="14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56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B93C">
            <w:pPr>
              <w:jc w:val="center"/>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3FDF">
            <w:pPr>
              <w:jc w:val="center"/>
              <w:rPr>
                <w:rFonts w:hint="eastAsia" w:ascii="宋体" w:hAnsi="宋体" w:eastAsia="宋体" w:cs="宋体"/>
                <w:i w:val="0"/>
                <w:iCs w:val="0"/>
                <w:color w:val="000000"/>
                <w:sz w:val="18"/>
                <w:szCs w:val="18"/>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B8D3">
            <w:pPr>
              <w:jc w:val="center"/>
              <w:rPr>
                <w:rFonts w:hint="eastAsia" w:ascii="宋体" w:hAnsi="宋体" w:eastAsia="宋体" w:cs="宋体"/>
                <w:i w:val="0"/>
                <w:iCs w:val="0"/>
                <w:color w:val="000000"/>
                <w:sz w:val="18"/>
                <w:szCs w:val="18"/>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F1E7">
            <w:pPr>
              <w:jc w:val="center"/>
              <w:rPr>
                <w:rFonts w:hint="eastAsia" w:ascii="宋体" w:hAnsi="宋体" w:eastAsia="宋体" w:cs="宋体"/>
                <w:i w:val="0"/>
                <w:iCs w:val="0"/>
                <w:color w:val="000000"/>
                <w:sz w:val="18"/>
                <w:szCs w:val="18"/>
                <w:u w:val="none"/>
              </w:rPr>
            </w:pPr>
          </w:p>
        </w:tc>
      </w:tr>
      <w:tr w14:paraId="7AAB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8479">
            <w:pPr>
              <w:jc w:val="center"/>
              <w:rPr>
                <w:rFonts w:hint="eastAsia" w:ascii="宋体" w:hAnsi="宋体" w:eastAsia="宋体" w:cs="宋体"/>
                <w:i w:val="0"/>
                <w:iCs w:val="0"/>
                <w:color w:val="000000"/>
                <w:sz w:val="22"/>
                <w:szCs w:val="22"/>
                <w:u w:val="none"/>
              </w:rPr>
            </w:pPr>
          </w:p>
        </w:tc>
        <w:tc>
          <w:tcPr>
            <w:tcW w:w="14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BA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DBF1">
            <w:pPr>
              <w:jc w:val="center"/>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9D34">
            <w:pPr>
              <w:jc w:val="center"/>
              <w:rPr>
                <w:rFonts w:hint="eastAsia" w:ascii="宋体" w:hAnsi="宋体" w:eastAsia="宋体" w:cs="宋体"/>
                <w:i w:val="0"/>
                <w:iCs w:val="0"/>
                <w:color w:val="000000"/>
                <w:sz w:val="18"/>
                <w:szCs w:val="18"/>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F785">
            <w:pPr>
              <w:jc w:val="center"/>
              <w:rPr>
                <w:rFonts w:hint="eastAsia" w:ascii="宋体" w:hAnsi="宋体" w:eastAsia="宋体" w:cs="宋体"/>
                <w:i w:val="0"/>
                <w:iCs w:val="0"/>
                <w:color w:val="000000"/>
                <w:sz w:val="18"/>
                <w:szCs w:val="18"/>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AB50">
            <w:pPr>
              <w:jc w:val="center"/>
              <w:rPr>
                <w:rFonts w:hint="eastAsia" w:ascii="宋体" w:hAnsi="宋体" w:eastAsia="宋体" w:cs="宋体"/>
                <w:i w:val="0"/>
                <w:iCs w:val="0"/>
                <w:color w:val="000000"/>
                <w:sz w:val="18"/>
                <w:szCs w:val="18"/>
                <w:u w:val="none"/>
              </w:rPr>
            </w:pPr>
          </w:p>
        </w:tc>
      </w:tr>
      <w:tr w14:paraId="747D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8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w:t>
            </w:r>
          </w:p>
        </w:tc>
        <w:tc>
          <w:tcPr>
            <w:tcW w:w="37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D8E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w:t>
            </w:r>
          </w:p>
        </w:tc>
        <w:tc>
          <w:tcPr>
            <w:tcW w:w="9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44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完成情况</w:t>
            </w:r>
          </w:p>
        </w:tc>
      </w:tr>
      <w:tr w14:paraId="3DA6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3"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B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w:t>
            </w:r>
          </w:p>
        </w:tc>
        <w:tc>
          <w:tcPr>
            <w:tcW w:w="37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737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机关日常运转。负责下属养老服务福利中心、社会福利院、救助站、三个一类公益性事业单位管理，紧扣“四城新区”建设目标任务，扎实做好困难群众人员多层次保障、基层治理建设、养老服务、儿童福利等工作。聚焦中心大局，抓实民生工程，结合两项改革“后半篇”文章，积极向上争取项目资金，加快建设社会主义现代化“四城新区”，作出昭化民政更大贡献。</w:t>
            </w:r>
          </w:p>
        </w:tc>
        <w:tc>
          <w:tcPr>
            <w:tcW w:w="9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ED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全面完成</w:t>
            </w:r>
          </w:p>
        </w:tc>
      </w:tr>
      <w:tr w14:paraId="2F12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66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部门整体绩效指标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C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51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54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2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0A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B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22DB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A3833">
            <w:pPr>
              <w:jc w:val="center"/>
              <w:rPr>
                <w:rFonts w:hint="eastAsia" w:ascii="宋体" w:hAnsi="宋体" w:eastAsia="宋体" w:cs="宋体"/>
                <w:i w:val="0"/>
                <w:iCs w:val="0"/>
                <w:color w:val="000000"/>
                <w:sz w:val="18"/>
                <w:szCs w:val="18"/>
                <w:u w:val="none"/>
              </w:rPr>
            </w:pP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02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47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D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8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城乡低保</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1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2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3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3051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16740">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EA365">
            <w:pPr>
              <w:jc w:val="center"/>
              <w:rPr>
                <w:rFonts w:hint="eastAsia" w:ascii="宋体" w:hAnsi="宋体" w:eastAsia="宋体" w:cs="宋体"/>
                <w:i w:val="0"/>
                <w:iCs w:val="0"/>
                <w:color w:val="000000"/>
                <w:sz w:val="20"/>
                <w:szCs w:val="20"/>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2982D">
            <w:pPr>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F9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7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孤儿、事实无人抚养儿童补助人数</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D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B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A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AEA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9E775">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CD323">
            <w:pPr>
              <w:jc w:val="center"/>
              <w:rPr>
                <w:rFonts w:hint="eastAsia" w:ascii="宋体" w:hAnsi="宋体" w:eastAsia="宋体" w:cs="宋体"/>
                <w:i w:val="0"/>
                <w:iCs w:val="0"/>
                <w:color w:val="000000"/>
                <w:sz w:val="20"/>
                <w:szCs w:val="20"/>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14D13">
            <w:pPr>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3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8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精简退职老职工补助人数</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C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8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3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274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0972E">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BC032">
            <w:pPr>
              <w:jc w:val="center"/>
              <w:rPr>
                <w:rFonts w:hint="eastAsia" w:ascii="宋体" w:hAnsi="宋体" w:eastAsia="宋体" w:cs="宋体"/>
                <w:i w:val="0"/>
                <w:iCs w:val="0"/>
                <w:color w:val="000000"/>
                <w:sz w:val="20"/>
                <w:szCs w:val="20"/>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CDEC7">
            <w:pPr>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6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C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困难残疾人、重度残疾人、三四级智力精神残疾人补助人数</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1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1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6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8DA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4226E">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E37D2">
            <w:pPr>
              <w:jc w:val="center"/>
              <w:rPr>
                <w:rFonts w:hint="eastAsia" w:ascii="宋体" w:hAnsi="宋体" w:eastAsia="宋体" w:cs="宋体"/>
                <w:i w:val="0"/>
                <w:iCs w:val="0"/>
                <w:color w:val="000000"/>
                <w:sz w:val="20"/>
                <w:szCs w:val="20"/>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76349">
            <w:pPr>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E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指标5：</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17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9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0B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4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0035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E5957">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6646F">
            <w:pPr>
              <w:jc w:val="center"/>
              <w:rPr>
                <w:rFonts w:hint="eastAsia" w:ascii="宋体" w:hAnsi="宋体" w:eastAsia="宋体" w:cs="宋体"/>
                <w:i w:val="0"/>
                <w:iCs w:val="0"/>
                <w:color w:val="000000"/>
                <w:sz w:val="20"/>
                <w:szCs w:val="20"/>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216C8">
            <w:pPr>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8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指标6：</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A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流浪乞讨人员补助人数</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2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3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3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C7F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8352">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A83E9">
            <w:pPr>
              <w:jc w:val="center"/>
              <w:rPr>
                <w:rFonts w:hint="eastAsia" w:ascii="宋体" w:hAnsi="宋体" w:eastAsia="宋体" w:cs="宋体"/>
                <w:i w:val="0"/>
                <w:iCs w:val="0"/>
                <w:color w:val="000000"/>
                <w:sz w:val="20"/>
                <w:szCs w:val="20"/>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D8E17">
            <w:pPr>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E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指标7：</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B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绿色惠民殡葬、殡葬救助人数</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5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7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0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229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91EDE">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7077F">
            <w:pPr>
              <w:jc w:val="center"/>
              <w:rPr>
                <w:rFonts w:hint="eastAsia" w:ascii="宋体" w:hAnsi="宋体" w:eastAsia="宋体" w:cs="宋体"/>
                <w:i w:val="0"/>
                <w:iCs w:val="0"/>
                <w:color w:val="000000"/>
                <w:sz w:val="20"/>
                <w:szCs w:val="20"/>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9BB77">
            <w:pPr>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3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指标8：</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8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麻风人员补助人数</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7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3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1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AE1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9F06">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22BB0">
            <w:pPr>
              <w:jc w:val="center"/>
              <w:rPr>
                <w:rFonts w:hint="eastAsia" w:ascii="宋体" w:hAnsi="宋体" w:eastAsia="宋体" w:cs="宋体"/>
                <w:i w:val="0"/>
                <w:iCs w:val="0"/>
                <w:color w:val="000000"/>
                <w:sz w:val="20"/>
                <w:szCs w:val="20"/>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9326B">
            <w:pPr>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3A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指标9：</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E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农村特困供养人员及农村特困供养人员医疗救助救助人数</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D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7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1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102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44033">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C2F1E">
            <w:pPr>
              <w:jc w:val="center"/>
              <w:rPr>
                <w:rFonts w:hint="eastAsia" w:ascii="宋体" w:hAnsi="宋体" w:eastAsia="宋体" w:cs="宋体"/>
                <w:i w:val="0"/>
                <w:iCs w:val="0"/>
                <w:color w:val="000000"/>
                <w:sz w:val="20"/>
                <w:szCs w:val="20"/>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0B213">
            <w:pPr>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2C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指标10：</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4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襄渝铁路民工补助人数</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4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D8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F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C70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EEC66">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ABAAC">
            <w:pPr>
              <w:jc w:val="center"/>
              <w:rPr>
                <w:rFonts w:hint="eastAsia" w:ascii="宋体" w:hAnsi="宋体" w:eastAsia="宋体" w:cs="宋体"/>
                <w:i w:val="0"/>
                <w:iCs w:val="0"/>
                <w:color w:val="000000"/>
                <w:sz w:val="20"/>
                <w:szCs w:val="20"/>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E2D56">
            <w:pPr>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4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指标11：</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2B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严重精神病患者监护人补助人数</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C1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7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C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0FB4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744D2">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22C5C">
            <w:pPr>
              <w:jc w:val="center"/>
              <w:rPr>
                <w:rFonts w:hint="eastAsia" w:ascii="宋体" w:hAnsi="宋体" w:eastAsia="宋体" w:cs="宋体"/>
                <w:i w:val="0"/>
                <w:iCs w:val="0"/>
                <w:color w:val="000000"/>
                <w:sz w:val="20"/>
                <w:szCs w:val="20"/>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C1A0D">
            <w:pPr>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F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指标12：</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A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因公致残人员补助人数</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A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2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5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3BA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1997D">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F88A2">
            <w:pPr>
              <w:jc w:val="center"/>
              <w:rPr>
                <w:rFonts w:hint="eastAsia" w:ascii="宋体" w:hAnsi="宋体" w:eastAsia="宋体" w:cs="宋体"/>
                <w:i w:val="0"/>
                <w:iCs w:val="0"/>
                <w:color w:val="000000"/>
                <w:sz w:val="20"/>
                <w:szCs w:val="20"/>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738FB">
            <w:pPr>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F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指标13：</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D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在职人员人数</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A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C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C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2F5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51C08">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FBBE2">
            <w:pPr>
              <w:jc w:val="center"/>
              <w:rPr>
                <w:rFonts w:hint="eastAsia" w:ascii="宋体" w:hAnsi="宋体" w:eastAsia="宋体" w:cs="宋体"/>
                <w:i w:val="0"/>
                <w:iCs w:val="0"/>
                <w:color w:val="000000"/>
                <w:sz w:val="20"/>
                <w:szCs w:val="20"/>
                <w:u w:val="none"/>
              </w:rPr>
            </w:pP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BA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D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B1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基层治理、婚姻登记、养老与未成年人保护、困难群众救助、老促会、老年人协会、乡镇行政区划和村级建制调整改革“后半篇”文章专项工作经费保障率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3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1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9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3AE7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ACF7D">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A05C">
            <w:pPr>
              <w:jc w:val="center"/>
              <w:rPr>
                <w:rFonts w:hint="eastAsia" w:ascii="宋体" w:hAnsi="宋体" w:eastAsia="宋体" w:cs="宋体"/>
                <w:i w:val="0"/>
                <w:iCs w:val="0"/>
                <w:color w:val="000000"/>
                <w:sz w:val="20"/>
                <w:szCs w:val="20"/>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0A30D">
            <w:pPr>
              <w:jc w:val="center"/>
              <w:rPr>
                <w:rFonts w:hint="eastAsia" w:ascii="宋体" w:hAnsi="宋体" w:eastAsia="宋体" w:cs="宋体"/>
                <w:i w:val="0"/>
                <w:iCs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F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0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民生补助政策执行率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8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4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6F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E82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27E30">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CE7A">
            <w:pPr>
              <w:jc w:val="center"/>
              <w:rPr>
                <w:rFonts w:hint="eastAsia" w:ascii="宋体" w:hAnsi="宋体" w:eastAsia="宋体" w:cs="宋体"/>
                <w:i w:val="0"/>
                <w:iCs w:val="0"/>
                <w:color w:val="000000"/>
                <w:sz w:val="20"/>
                <w:szCs w:val="20"/>
                <w:u w:val="none"/>
              </w:rPr>
            </w:pP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87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F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0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各项业务完成的时间、效率情况</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4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B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8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7EF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ED502">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00C5B">
            <w:pPr>
              <w:jc w:val="center"/>
              <w:rPr>
                <w:rFonts w:hint="eastAsia" w:ascii="宋体" w:hAnsi="宋体" w:eastAsia="宋体" w:cs="宋体"/>
                <w:i w:val="0"/>
                <w:iCs w:val="0"/>
                <w:color w:val="000000"/>
                <w:sz w:val="20"/>
                <w:szCs w:val="20"/>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1F9E2">
            <w:pPr>
              <w:jc w:val="center"/>
              <w:rPr>
                <w:rFonts w:hint="eastAsia" w:ascii="宋体" w:hAnsi="宋体" w:eastAsia="宋体" w:cs="宋体"/>
                <w:i w:val="0"/>
                <w:iCs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BC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CA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民政项目资金发放及时率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8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3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8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AFD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F5A13">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6CC31">
            <w:pPr>
              <w:jc w:val="center"/>
              <w:rPr>
                <w:rFonts w:hint="eastAsia" w:ascii="宋体" w:hAnsi="宋体" w:eastAsia="宋体" w:cs="宋体"/>
                <w:i w:val="0"/>
                <w:iCs w:val="0"/>
                <w:color w:val="000000"/>
                <w:sz w:val="20"/>
                <w:szCs w:val="20"/>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C05E1">
            <w:pPr>
              <w:jc w:val="center"/>
              <w:rPr>
                <w:rFonts w:hint="eastAsia" w:ascii="宋体" w:hAnsi="宋体" w:eastAsia="宋体" w:cs="宋体"/>
                <w:i w:val="0"/>
                <w:iCs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E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D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重点项目督查督办、政策研究、深化改革等专项经费控制额</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B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58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318万元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7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340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A0E2F">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71F8A">
            <w:pPr>
              <w:jc w:val="center"/>
              <w:rPr>
                <w:rFonts w:hint="eastAsia" w:ascii="宋体" w:hAnsi="宋体" w:eastAsia="宋体" w:cs="宋体"/>
                <w:i w:val="0"/>
                <w:iCs w:val="0"/>
                <w:color w:val="000000"/>
                <w:sz w:val="20"/>
                <w:szCs w:val="20"/>
                <w:u w:val="none"/>
              </w:rPr>
            </w:pP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02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D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7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民政工作经费</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B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8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54万元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0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512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C8AD1">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AC9BD">
            <w:pPr>
              <w:jc w:val="center"/>
              <w:rPr>
                <w:rFonts w:hint="eastAsia" w:ascii="宋体" w:hAnsi="宋体" w:eastAsia="宋体" w:cs="宋体"/>
                <w:i w:val="0"/>
                <w:iCs w:val="0"/>
                <w:color w:val="000000"/>
                <w:sz w:val="20"/>
                <w:szCs w:val="20"/>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A2BD4">
            <w:pPr>
              <w:jc w:val="center"/>
              <w:rPr>
                <w:rFonts w:hint="eastAsia" w:ascii="宋体" w:hAnsi="宋体" w:eastAsia="宋体" w:cs="宋体"/>
                <w:i w:val="0"/>
                <w:iCs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3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8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民生项目资金</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0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≤5160万元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6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9160万元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A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7E4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04F95">
            <w:pPr>
              <w:jc w:val="center"/>
              <w:rPr>
                <w:rFonts w:hint="eastAsia" w:ascii="宋体" w:hAnsi="宋体" w:eastAsia="宋体" w:cs="宋体"/>
                <w:i w:val="0"/>
                <w:iCs w:val="0"/>
                <w:color w:val="000000"/>
                <w:sz w:val="18"/>
                <w:szCs w:val="18"/>
                <w:u w:val="none"/>
              </w:rPr>
            </w:pP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0C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7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CA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0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7B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困难群众农村低保、农村特困供养人员、农村救助等补助人员生活是否得到改善</w:t>
            </w:r>
          </w:p>
        </w:tc>
        <w:tc>
          <w:tcPr>
            <w:tcW w:w="6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61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87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CB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3E6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0D20F">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30760">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0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4CF15">
            <w:pPr>
              <w:jc w:val="center"/>
              <w:rPr>
                <w:rFonts w:hint="eastAsia" w:ascii="宋体" w:hAnsi="宋体" w:eastAsia="宋体" w:cs="宋体"/>
                <w:i w:val="0"/>
                <w:iCs w:val="0"/>
                <w:color w:val="000000"/>
                <w:sz w:val="18"/>
                <w:szCs w:val="18"/>
                <w:u w:val="none"/>
              </w:rPr>
            </w:pPr>
          </w:p>
        </w:tc>
        <w:tc>
          <w:tcPr>
            <w:tcW w:w="10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03F74">
            <w:pPr>
              <w:jc w:val="center"/>
              <w:rPr>
                <w:rFonts w:hint="eastAsia" w:ascii="宋体" w:hAnsi="宋体" w:eastAsia="宋体" w:cs="宋体"/>
                <w:i w:val="0"/>
                <w:iCs w:val="0"/>
                <w:color w:val="000000"/>
                <w:sz w:val="18"/>
                <w:szCs w:val="18"/>
                <w:u w:val="none"/>
              </w:rPr>
            </w:pPr>
          </w:p>
        </w:tc>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16D1A">
            <w:pPr>
              <w:jc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EF3BD">
            <w:pPr>
              <w:jc w:val="center"/>
              <w:rPr>
                <w:rFonts w:hint="eastAsia" w:ascii="宋体" w:hAnsi="宋体" w:eastAsia="宋体" w:cs="宋体"/>
                <w:i w:val="0"/>
                <w:iCs w:val="0"/>
                <w:color w:val="000000"/>
                <w:sz w:val="18"/>
                <w:szCs w:val="18"/>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08BF9">
            <w:pPr>
              <w:jc w:val="center"/>
              <w:rPr>
                <w:rFonts w:hint="eastAsia" w:ascii="宋体" w:hAnsi="宋体" w:eastAsia="宋体" w:cs="宋体"/>
                <w:i w:val="0"/>
                <w:iCs w:val="0"/>
                <w:color w:val="000000"/>
                <w:sz w:val="18"/>
                <w:szCs w:val="18"/>
                <w:u w:val="none"/>
              </w:rPr>
            </w:pPr>
          </w:p>
        </w:tc>
      </w:tr>
      <w:tr w14:paraId="3D1A4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F93B5">
            <w:pPr>
              <w:jc w:val="center"/>
              <w:rPr>
                <w:rFonts w:hint="eastAsia" w:ascii="宋体" w:hAnsi="宋体" w:eastAsia="宋体" w:cs="宋体"/>
                <w:i w:val="0"/>
                <w:iCs w:val="0"/>
                <w:color w:val="000000"/>
                <w:sz w:val="18"/>
                <w:szCs w:val="18"/>
                <w:u w:val="none"/>
              </w:rPr>
            </w:pP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B5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81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30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4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流浪乞讨受助人员满意度</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4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8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F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3F9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1DA97">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7AC4">
            <w:pPr>
              <w:jc w:val="center"/>
              <w:rPr>
                <w:rFonts w:hint="eastAsia" w:ascii="宋体" w:hAnsi="宋体" w:eastAsia="宋体" w:cs="宋体"/>
                <w:i w:val="0"/>
                <w:iCs w:val="0"/>
                <w:color w:val="000000"/>
                <w:sz w:val="18"/>
                <w:szCs w:val="18"/>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D830B">
            <w:pPr>
              <w:jc w:val="center"/>
              <w:rPr>
                <w:rFonts w:hint="eastAsia" w:ascii="宋体" w:hAnsi="宋体" w:eastAsia="宋体" w:cs="宋体"/>
                <w:i w:val="0"/>
                <w:iCs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1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1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孤儿、事实无人抚养儿童受助人员满意度</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E0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4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1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931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21EEB">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46E88">
            <w:pPr>
              <w:jc w:val="center"/>
              <w:rPr>
                <w:rFonts w:hint="eastAsia" w:ascii="宋体" w:hAnsi="宋体" w:eastAsia="宋体" w:cs="宋体"/>
                <w:i w:val="0"/>
                <w:iCs w:val="0"/>
                <w:color w:val="000000"/>
                <w:sz w:val="18"/>
                <w:szCs w:val="18"/>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BEECF">
            <w:pPr>
              <w:jc w:val="center"/>
              <w:rPr>
                <w:rFonts w:hint="eastAsia" w:ascii="宋体" w:hAnsi="宋体" w:eastAsia="宋体" w:cs="宋体"/>
                <w:i w:val="0"/>
                <w:iCs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6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1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困难残疾、重度残疾、三四级智力精神残疾受助人员满意度</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E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0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C9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F53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98C6C">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F86CB">
            <w:pPr>
              <w:jc w:val="center"/>
              <w:rPr>
                <w:rFonts w:hint="eastAsia" w:ascii="宋体" w:hAnsi="宋体" w:eastAsia="宋体" w:cs="宋体"/>
                <w:i w:val="0"/>
                <w:iCs w:val="0"/>
                <w:color w:val="000000"/>
                <w:sz w:val="18"/>
                <w:szCs w:val="18"/>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06427">
            <w:pPr>
              <w:jc w:val="center"/>
              <w:rPr>
                <w:rFonts w:hint="eastAsia" w:ascii="宋体" w:hAnsi="宋体" w:eastAsia="宋体" w:cs="宋体"/>
                <w:i w:val="0"/>
                <w:iCs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A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E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临时救助受助人员满意度</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3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33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1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8F9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FAA4E">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AF322">
            <w:pPr>
              <w:jc w:val="center"/>
              <w:rPr>
                <w:rFonts w:hint="eastAsia" w:ascii="宋体" w:hAnsi="宋体" w:eastAsia="宋体" w:cs="宋体"/>
                <w:i w:val="0"/>
                <w:iCs w:val="0"/>
                <w:color w:val="000000"/>
                <w:sz w:val="18"/>
                <w:szCs w:val="18"/>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AD334">
            <w:pPr>
              <w:jc w:val="center"/>
              <w:rPr>
                <w:rFonts w:hint="eastAsia" w:ascii="宋体" w:hAnsi="宋体" w:eastAsia="宋体" w:cs="宋体"/>
                <w:i w:val="0"/>
                <w:iCs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A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指标5：</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0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绿色惠民殡葬、殡葬救助受助人员满意度</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1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0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C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F93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CB922">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40143">
            <w:pPr>
              <w:jc w:val="center"/>
              <w:rPr>
                <w:rFonts w:hint="eastAsia" w:ascii="宋体" w:hAnsi="宋体" w:eastAsia="宋体" w:cs="宋体"/>
                <w:i w:val="0"/>
                <w:iCs w:val="0"/>
                <w:color w:val="000000"/>
                <w:sz w:val="18"/>
                <w:szCs w:val="18"/>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02900">
            <w:pPr>
              <w:jc w:val="center"/>
              <w:rPr>
                <w:rFonts w:hint="eastAsia" w:ascii="宋体" w:hAnsi="宋体" w:eastAsia="宋体" w:cs="宋体"/>
                <w:i w:val="0"/>
                <w:iCs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C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指标6：</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1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麻风病人受助人员满意度</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D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4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E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188A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5794A">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B89BA">
            <w:pPr>
              <w:jc w:val="center"/>
              <w:rPr>
                <w:rFonts w:hint="eastAsia" w:ascii="宋体" w:hAnsi="宋体" w:eastAsia="宋体" w:cs="宋体"/>
                <w:i w:val="0"/>
                <w:iCs w:val="0"/>
                <w:color w:val="000000"/>
                <w:sz w:val="18"/>
                <w:szCs w:val="18"/>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02328">
            <w:pPr>
              <w:jc w:val="center"/>
              <w:rPr>
                <w:rFonts w:hint="eastAsia" w:ascii="宋体" w:hAnsi="宋体" w:eastAsia="宋体" w:cs="宋体"/>
                <w:i w:val="0"/>
                <w:iCs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8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指标7：</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5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农村低保受助对象满意度</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EB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E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4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F11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27C02">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32048">
            <w:pPr>
              <w:jc w:val="center"/>
              <w:rPr>
                <w:rFonts w:hint="eastAsia" w:ascii="宋体" w:hAnsi="宋体" w:eastAsia="宋体" w:cs="宋体"/>
                <w:i w:val="0"/>
                <w:iCs w:val="0"/>
                <w:color w:val="000000"/>
                <w:sz w:val="18"/>
                <w:szCs w:val="18"/>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A0CE0">
            <w:pPr>
              <w:jc w:val="center"/>
              <w:rPr>
                <w:rFonts w:hint="eastAsia" w:ascii="宋体" w:hAnsi="宋体" w:eastAsia="宋体" w:cs="宋体"/>
                <w:i w:val="0"/>
                <w:iCs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C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指标8：</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6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农村特困供养人员及农村特困供养人员医疗救助受助人员满意度</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0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42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8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07B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82296">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FB234">
            <w:pPr>
              <w:jc w:val="center"/>
              <w:rPr>
                <w:rFonts w:hint="eastAsia" w:ascii="宋体" w:hAnsi="宋体" w:eastAsia="宋体" w:cs="宋体"/>
                <w:i w:val="0"/>
                <w:iCs w:val="0"/>
                <w:color w:val="000000"/>
                <w:sz w:val="18"/>
                <w:szCs w:val="18"/>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F4EA1">
            <w:pPr>
              <w:jc w:val="center"/>
              <w:rPr>
                <w:rFonts w:hint="eastAsia" w:ascii="宋体" w:hAnsi="宋体" w:eastAsia="宋体" w:cs="宋体"/>
                <w:i w:val="0"/>
                <w:iCs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C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指标9：</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69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襄渝铁路民工受助人员满意度</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D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8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6F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DC6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3BCC">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27385">
            <w:pPr>
              <w:jc w:val="center"/>
              <w:rPr>
                <w:rFonts w:hint="eastAsia" w:ascii="宋体" w:hAnsi="宋体" w:eastAsia="宋体" w:cs="宋体"/>
                <w:i w:val="0"/>
                <w:iCs w:val="0"/>
                <w:color w:val="000000"/>
                <w:sz w:val="18"/>
                <w:szCs w:val="18"/>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58C5A">
            <w:pPr>
              <w:jc w:val="center"/>
              <w:rPr>
                <w:rFonts w:hint="eastAsia" w:ascii="宋体" w:hAnsi="宋体" w:eastAsia="宋体" w:cs="宋体"/>
                <w:i w:val="0"/>
                <w:iCs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A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指标10：</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8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严重精神病患者监护人受助人员满意度</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3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E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8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743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16720">
            <w:pPr>
              <w:jc w:val="center"/>
              <w:rPr>
                <w:rFonts w:hint="eastAsia" w:ascii="宋体" w:hAnsi="宋体" w:eastAsia="宋体" w:cs="宋体"/>
                <w:i w:val="0"/>
                <w:iCs w:val="0"/>
                <w:color w:val="000000"/>
                <w:sz w:val="18"/>
                <w:szCs w:val="18"/>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1045C">
            <w:pPr>
              <w:jc w:val="center"/>
              <w:rPr>
                <w:rFonts w:hint="eastAsia" w:ascii="宋体" w:hAnsi="宋体" w:eastAsia="宋体" w:cs="宋体"/>
                <w:i w:val="0"/>
                <w:iCs w:val="0"/>
                <w:color w:val="000000"/>
                <w:sz w:val="18"/>
                <w:szCs w:val="18"/>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A7042">
            <w:pPr>
              <w:jc w:val="center"/>
              <w:rPr>
                <w:rFonts w:hint="eastAsia" w:ascii="宋体" w:hAnsi="宋体" w:eastAsia="宋体" w:cs="宋体"/>
                <w:i w:val="0"/>
                <w:iCs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0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指标11：</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0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因公致残受助人员满意度</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C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5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4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bl>
    <w:p w14:paraId="48B18FFD">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3BDD5FC0">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16AD9710">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41A375FF">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6176E480">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20B7FA2B">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5CC8C4B7">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17D1FFC3">
      <w:pPr>
        <w:pStyle w:val="6"/>
        <w:rPr>
          <w:rFonts w:hint="eastAsia" w:ascii="仿宋_GB2312" w:hAnsi="仿宋_GB2312" w:eastAsia="仿宋_GB2312"/>
          <w:color w:val="0070C0"/>
          <w:kern w:val="2"/>
          <w:sz w:val="32"/>
          <w:szCs w:val="24"/>
        </w:rPr>
      </w:pPr>
      <w:r>
        <w:rPr>
          <w:rFonts w:hint="eastAsia" w:ascii="Times New Roman" w:hAnsi="Times New Roman"/>
          <w:sz w:val="32"/>
          <w:szCs w:val="32"/>
          <w:lang w:val="en-US" w:eastAsia="zh-CN"/>
        </w:rPr>
        <w:t>附表2</w:t>
      </w:r>
      <w:r>
        <w:rPr>
          <w:rFonts w:hint="eastAsia" w:ascii="Times New Roman"/>
          <w:sz w:val="32"/>
          <w:szCs w:val="32"/>
          <w:lang w:val="en-US" w:eastAsia="zh-CN"/>
        </w:rPr>
        <w:t>：</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5"/>
        <w:gridCol w:w="924"/>
        <w:gridCol w:w="1223"/>
        <w:gridCol w:w="396"/>
        <w:gridCol w:w="860"/>
        <w:gridCol w:w="756"/>
        <w:gridCol w:w="756"/>
        <w:gridCol w:w="486"/>
        <w:gridCol w:w="576"/>
        <w:gridCol w:w="1413"/>
      </w:tblGrid>
      <w:tr w14:paraId="0CC1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E229D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殡葬救助项目支出绩效自评表（2024年度）</w:t>
            </w:r>
          </w:p>
        </w:tc>
      </w:tr>
      <w:tr w14:paraId="66BD4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4E2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2F1E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51081122T000005238130-殡葬救助</w:t>
            </w:r>
          </w:p>
        </w:tc>
      </w:tr>
      <w:tr w14:paraId="06270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A6A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2378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广元市昭化区民政局部门</w:t>
            </w:r>
          </w:p>
        </w:tc>
        <w:tc>
          <w:tcPr>
            <w:tcW w:w="381" w:type="pct"/>
            <w:tcBorders>
              <w:top w:val="nil"/>
              <w:left w:val="nil"/>
              <w:bottom w:val="nil"/>
              <w:right w:val="nil"/>
            </w:tcBorders>
            <w:shd w:val="clear" w:color="auto" w:fill="auto"/>
            <w:vAlign w:val="center"/>
          </w:tcPr>
          <w:p w14:paraId="7A48123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BE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w:t>
            </w:r>
          </w:p>
        </w:tc>
      </w:tr>
      <w:tr w14:paraId="6887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6D0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5BB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EA7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8C68F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7DD6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43DAB">
            <w:pPr>
              <w:rPr>
                <w:rFonts w:hint="eastAsia" w:ascii="宋体" w:hAnsi="宋体" w:eastAsia="宋体" w:cs="宋体"/>
                <w:i w:val="0"/>
                <w:iCs w:val="0"/>
                <w:color w:val="000000"/>
                <w:sz w:val="18"/>
                <w:szCs w:val="18"/>
                <w:u w:val="none"/>
              </w:rPr>
            </w:pPr>
          </w:p>
        </w:tc>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A549C">
            <w:pPr>
              <w:rPr>
                <w:rFonts w:hint="eastAsia" w:ascii="宋体" w:hAnsi="宋体" w:eastAsia="宋体" w:cs="宋体"/>
                <w:i w:val="0"/>
                <w:iCs w:val="0"/>
                <w:color w:val="000000"/>
                <w:sz w:val="18"/>
                <w:szCs w:val="18"/>
                <w:u w:val="none"/>
              </w:rPr>
            </w:pPr>
          </w:p>
        </w:tc>
        <w:tc>
          <w:tcPr>
            <w:tcW w:w="24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1CA6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内农村五保对象、城乡低保对象、城镇“三无”人员、重点优抚对象死亡后，由当地殡葬部门负责接运遗体、提供冷藏（24小时）、火化、丧服、骨灰盒及寄存、公墓骨灰安葬服务。接运遗体、提供冷藏（24小时）、火化、丧服、骨灰盒及寄存等基本殡葬救助标准不低于800元，公墓骨灰安葬救助标准不高于1500元。根据《民政部关于进一步深化殡葬改革促进殡葬事业科学发展的指导意见》（民发〔2009〕170号）精神，按照“保基本、广覆盖、可持续”原则，建立起从重点对象起步，逐步扩展到向辖区所有居民提供免费基本殡葬服务，将殡葬救助经费纳入同级财政预算。</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2641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辖区内农村五保对象、城乡低保对象、城镇“三无”人员、重点优抚对象死亡后，由当地殡葬部门负责接运遗体、提供冷藏（24小时）、火化、丧服、骨灰盒及寄存、公墓骨灰安葬服务。接运遗体、提供冷藏（24小时）、火化、丧服、骨灰盒及寄存等基本殡葬救助标准不低于800元，公墓骨灰安葬救助标准不高于1500元。根据《民政部关于进一步深化殡葬改革促进殡葬事业科学发展的指导意见》（民发〔2009〕170号）精神，按照“保基本、广覆盖、可持续”原则，建立起从重点对象起步，逐步扩展到向辖区所有居民提供免费基本殡葬服务，将殡葬救助经费纳入同级财政预算。</w:t>
            </w:r>
          </w:p>
        </w:tc>
      </w:tr>
      <w:tr w14:paraId="380B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E143F">
            <w:pP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8F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6A6D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内农村五保对象、城乡低保对象、城镇“三无”人员、重点优抚对象死亡后，由当地殡葬部门负责接运遗体、提供冷藏（24小时）、火化、丧服、骨灰盒及寄存、公墓骨灰安葬服务。接运遗体、提供冷藏（24小时）、火化、丧服、骨灰盒及寄存等基本殡葬救助标准不低于800元，公墓骨灰安葬救助标准不高于1500元。根据《民政部关于进一步深化殡葬改革促进殡葬事业科学发展的指导意见》（民发〔2009〕170号）精神，按照“保基本、广覆盖、可持续”原则，建立起从重点对象起步，逐步扩展到向辖区所有居民提供免费基本殡葬服务，将殡葬救助经费纳入同级财政预算。</w:t>
            </w:r>
          </w:p>
        </w:tc>
      </w:tr>
      <w:tr w14:paraId="4544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9E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C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4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5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48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B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69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5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1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9E05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0ACBD">
            <w:pPr>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E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C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7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7.78</w:t>
            </w:r>
          </w:p>
        </w:tc>
        <w:tc>
          <w:tcPr>
            <w:tcW w:w="10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2F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C5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81.63%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3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0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1949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046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D50DD">
            <w:pPr>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6F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B9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B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7.78</w:t>
            </w:r>
          </w:p>
        </w:tc>
        <w:tc>
          <w:tcPr>
            <w:tcW w:w="10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9C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2D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81.63%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D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B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5B7D5">
            <w:pPr>
              <w:rPr>
                <w:rFonts w:hint="eastAsia" w:ascii="黑体" w:hAnsi="黑体" w:eastAsia="黑体" w:cs="黑体"/>
                <w:i/>
                <w:iCs/>
                <w:color w:val="000000"/>
                <w:sz w:val="18"/>
                <w:szCs w:val="18"/>
                <w:u w:val="none"/>
              </w:rPr>
            </w:pPr>
          </w:p>
        </w:tc>
      </w:tr>
      <w:tr w14:paraId="1561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480A9">
            <w:pPr>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F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E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D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C6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0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D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B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F9118">
            <w:pPr>
              <w:rPr>
                <w:rFonts w:hint="eastAsia" w:ascii="黑体" w:hAnsi="黑体" w:eastAsia="黑体" w:cs="黑体"/>
                <w:i/>
                <w:iCs/>
                <w:color w:val="000000"/>
                <w:sz w:val="18"/>
                <w:szCs w:val="18"/>
                <w:u w:val="none"/>
              </w:rPr>
            </w:pPr>
          </w:p>
        </w:tc>
      </w:tr>
      <w:tr w14:paraId="62B6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B3307">
            <w:pPr>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B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0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C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E8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5E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F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B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D4648">
            <w:pPr>
              <w:rPr>
                <w:rFonts w:hint="eastAsia" w:ascii="黑体" w:hAnsi="黑体" w:eastAsia="黑体" w:cs="黑体"/>
                <w:i/>
                <w:iCs/>
                <w:color w:val="000000"/>
                <w:sz w:val="18"/>
                <w:szCs w:val="18"/>
                <w:u w:val="none"/>
              </w:rPr>
            </w:pPr>
          </w:p>
        </w:tc>
      </w:tr>
      <w:tr w14:paraId="27C8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63DCF">
            <w:pPr>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6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C6F3">
            <w:pPr>
              <w:jc w:val="center"/>
              <w:rPr>
                <w:rFonts w:hint="eastAsia" w:ascii="微软雅黑" w:hAnsi="微软雅黑" w:eastAsia="微软雅黑" w:cs="微软雅黑"/>
                <w:i/>
                <w:iCs/>
                <w:color w:val="000000"/>
                <w:sz w:val="16"/>
                <w:szCs w:val="16"/>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3D96">
            <w:pPr>
              <w:jc w:val="center"/>
              <w:rPr>
                <w:rFonts w:hint="eastAsia" w:ascii="微软雅黑" w:hAnsi="微软雅黑" w:eastAsia="微软雅黑" w:cs="微软雅黑"/>
                <w:i/>
                <w:iCs/>
                <w:color w:val="000000"/>
                <w:sz w:val="16"/>
                <w:szCs w:val="16"/>
                <w:u w:val="none"/>
              </w:rPr>
            </w:pPr>
          </w:p>
        </w:tc>
        <w:tc>
          <w:tcPr>
            <w:tcW w:w="10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A78F4">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E171">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A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6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FBF1E">
            <w:pPr>
              <w:rPr>
                <w:rFonts w:hint="eastAsia" w:ascii="黑体" w:hAnsi="黑体" w:eastAsia="黑体" w:cs="黑体"/>
                <w:i/>
                <w:iCs/>
                <w:color w:val="000000"/>
                <w:sz w:val="18"/>
                <w:szCs w:val="18"/>
                <w:u w:val="none"/>
              </w:rPr>
            </w:pPr>
          </w:p>
        </w:tc>
      </w:tr>
      <w:tr w14:paraId="4121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1F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7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B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3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9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C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C1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C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9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21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0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99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0E522">
            <w:pPr>
              <w:jc w:val="center"/>
              <w:rPr>
                <w:rFonts w:hint="eastAsia" w:ascii="宋体" w:hAnsi="宋体" w:eastAsia="宋体" w:cs="宋体"/>
                <w:i w:val="0"/>
                <w:iCs w:val="0"/>
                <w:color w:val="000000"/>
                <w:sz w:val="18"/>
                <w:szCs w:val="18"/>
                <w:u w:val="none"/>
              </w:rPr>
            </w:pPr>
          </w:p>
        </w:tc>
        <w:tc>
          <w:tcPr>
            <w:tcW w:w="7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6A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E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9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全年殡葬救助人数</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7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8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2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1F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4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8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12CF">
            <w:pPr>
              <w:jc w:val="center"/>
              <w:rPr>
                <w:rFonts w:hint="eastAsia" w:ascii="微软雅黑" w:hAnsi="微软雅黑" w:eastAsia="微软雅黑" w:cs="微软雅黑"/>
                <w:i/>
                <w:iCs/>
                <w:color w:val="000000"/>
                <w:sz w:val="16"/>
                <w:szCs w:val="16"/>
                <w:u w:val="none"/>
              </w:rPr>
            </w:pPr>
          </w:p>
        </w:tc>
      </w:tr>
      <w:tr w14:paraId="1BDE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63792">
            <w:pPr>
              <w:jc w:val="center"/>
              <w:rPr>
                <w:rFonts w:hint="eastAsia" w:ascii="宋体" w:hAnsi="宋体" w:eastAsia="宋体" w:cs="宋体"/>
                <w:i w:val="0"/>
                <w:iCs w:val="0"/>
                <w:color w:val="000000"/>
                <w:sz w:val="18"/>
                <w:szCs w:val="18"/>
                <w:u w:val="none"/>
              </w:rPr>
            </w:pPr>
          </w:p>
        </w:tc>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3CCD1">
            <w:pPr>
              <w:jc w:val="center"/>
              <w:rPr>
                <w:rFonts w:hint="eastAsia" w:ascii="宋体" w:hAnsi="宋体" w:eastAsia="宋体" w:cs="宋体"/>
                <w:i w:val="0"/>
                <w:iCs w:val="0"/>
                <w:color w:val="000000"/>
                <w:sz w:val="18"/>
                <w:szCs w:val="18"/>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8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1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补助发放足额率</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6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7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B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8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9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6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3963">
            <w:pPr>
              <w:jc w:val="center"/>
              <w:rPr>
                <w:rFonts w:hint="eastAsia" w:ascii="微软雅黑" w:hAnsi="微软雅黑" w:eastAsia="微软雅黑" w:cs="微软雅黑"/>
                <w:i/>
                <w:iCs/>
                <w:color w:val="000000"/>
                <w:sz w:val="16"/>
                <w:szCs w:val="16"/>
                <w:u w:val="none"/>
              </w:rPr>
            </w:pPr>
          </w:p>
        </w:tc>
      </w:tr>
      <w:tr w14:paraId="0527C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867B2">
            <w:pPr>
              <w:jc w:val="center"/>
              <w:rPr>
                <w:rFonts w:hint="eastAsia" w:ascii="宋体" w:hAnsi="宋体" w:eastAsia="宋体" w:cs="宋体"/>
                <w:i w:val="0"/>
                <w:iCs w:val="0"/>
                <w:color w:val="000000"/>
                <w:sz w:val="18"/>
                <w:szCs w:val="18"/>
                <w:u w:val="none"/>
              </w:rPr>
            </w:pPr>
          </w:p>
        </w:tc>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A5D90">
            <w:pPr>
              <w:jc w:val="center"/>
              <w:rPr>
                <w:rFonts w:hint="eastAsia" w:ascii="宋体" w:hAnsi="宋体" w:eastAsia="宋体" w:cs="宋体"/>
                <w:i w:val="0"/>
                <w:iCs w:val="0"/>
                <w:color w:val="000000"/>
                <w:sz w:val="18"/>
                <w:szCs w:val="18"/>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D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9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资金下拨及时率</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C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B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8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3F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8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0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5D50C">
            <w:pPr>
              <w:jc w:val="center"/>
              <w:rPr>
                <w:rFonts w:hint="eastAsia" w:ascii="微软雅黑" w:hAnsi="微软雅黑" w:eastAsia="微软雅黑" w:cs="微软雅黑"/>
                <w:i/>
                <w:iCs/>
                <w:color w:val="000000"/>
                <w:sz w:val="16"/>
                <w:szCs w:val="16"/>
                <w:u w:val="none"/>
              </w:rPr>
            </w:pPr>
          </w:p>
        </w:tc>
      </w:tr>
      <w:tr w14:paraId="39CF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BE549">
            <w:pPr>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8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9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1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困难殡葬补助政策知晓率</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8E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7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7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F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B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E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9388">
            <w:pPr>
              <w:jc w:val="center"/>
              <w:rPr>
                <w:rFonts w:hint="eastAsia" w:ascii="微软雅黑" w:hAnsi="微软雅黑" w:eastAsia="微软雅黑" w:cs="微软雅黑"/>
                <w:i/>
                <w:iCs/>
                <w:color w:val="000000"/>
                <w:sz w:val="16"/>
                <w:szCs w:val="16"/>
                <w:u w:val="none"/>
              </w:rPr>
            </w:pPr>
          </w:p>
        </w:tc>
      </w:tr>
      <w:tr w14:paraId="0D89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4BE8B">
            <w:pPr>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C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0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5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殡葬补助家属满意度</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1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3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0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DC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A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1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15DE">
            <w:pPr>
              <w:jc w:val="center"/>
              <w:rPr>
                <w:rFonts w:hint="eastAsia" w:ascii="微软雅黑" w:hAnsi="微软雅黑" w:eastAsia="微软雅黑" w:cs="微软雅黑"/>
                <w:i/>
                <w:iCs/>
                <w:color w:val="000000"/>
                <w:sz w:val="16"/>
                <w:szCs w:val="16"/>
                <w:u w:val="none"/>
              </w:rPr>
            </w:pPr>
          </w:p>
        </w:tc>
      </w:tr>
      <w:tr w14:paraId="30B2B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FCE97">
            <w:pPr>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0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88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D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救助标准</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4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6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4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D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2A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D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4F46">
            <w:pPr>
              <w:jc w:val="center"/>
              <w:rPr>
                <w:rFonts w:hint="eastAsia" w:ascii="微软雅黑" w:hAnsi="微软雅黑" w:eastAsia="微软雅黑" w:cs="微软雅黑"/>
                <w:i/>
                <w:iCs/>
                <w:color w:val="000000"/>
                <w:sz w:val="16"/>
                <w:szCs w:val="16"/>
                <w:u w:val="none"/>
              </w:rPr>
            </w:pPr>
          </w:p>
        </w:tc>
      </w:tr>
      <w:tr w14:paraId="1903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38F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5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7A8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98.1</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E3ED">
            <w:pPr>
              <w:rPr>
                <w:rFonts w:hint="eastAsia" w:ascii="宋体" w:hAnsi="宋体" w:eastAsia="宋体" w:cs="宋体"/>
                <w:i w:val="0"/>
                <w:iCs w:val="0"/>
                <w:color w:val="000000"/>
                <w:sz w:val="18"/>
                <w:szCs w:val="18"/>
                <w:u w:val="none"/>
              </w:rPr>
            </w:pPr>
          </w:p>
        </w:tc>
      </w:tr>
      <w:tr w14:paraId="7A75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7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071A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殡葬救助项目因政策知晓率不足导致未100%救助，自评得分98.1分</w:t>
            </w:r>
          </w:p>
        </w:tc>
      </w:tr>
      <w:tr w14:paraId="2BB8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A9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327D6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殡葬救助项目因政策知晓率不足导致未100%救助，自评得分98.1分</w:t>
            </w:r>
          </w:p>
        </w:tc>
      </w:tr>
    </w:tbl>
    <w:p w14:paraId="1D0D0E27">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4DA13669">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239357DD">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3110178C">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298B8FED">
      <w:pPr>
        <w:pStyle w:val="6"/>
        <w:rPr>
          <w:rFonts w:hint="eastAsia" w:ascii="仿宋_GB2312" w:hAnsi="仿宋_GB2312" w:eastAsia="仿宋_GB2312"/>
          <w:color w:val="0070C0"/>
          <w:kern w:val="2"/>
          <w:sz w:val="32"/>
          <w:szCs w:val="24"/>
        </w:rPr>
      </w:pPr>
      <w:r>
        <w:rPr>
          <w:rFonts w:hint="eastAsia" w:ascii="Times New Roman" w:hAnsi="Times New Roman"/>
          <w:sz w:val="32"/>
          <w:szCs w:val="32"/>
          <w:lang w:val="en-US" w:eastAsia="zh-CN"/>
        </w:rPr>
        <w:t>附表3</w:t>
      </w:r>
      <w:r>
        <w:rPr>
          <w:rFonts w:hint="eastAsia" w:ascii="Times New Roman"/>
          <w:sz w:val="32"/>
          <w:szCs w:val="32"/>
          <w:lang w:val="en-US" w:eastAsia="zh-CN"/>
        </w:rPr>
        <w:t>：</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66"/>
        <w:gridCol w:w="988"/>
        <w:gridCol w:w="1302"/>
        <w:gridCol w:w="396"/>
        <w:gridCol w:w="926"/>
        <w:gridCol w:w="396"/>
        <w:gridCol w:w="846"/>
        <w:gridCol w:w="486"/>
        <w:gridCol w:w="486"/>
        <w:gridCol w:w="1493"/>
      </w:tblGrid>
      <w:tr w14:paraId="27B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F6C57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王家敬老院项目支出绩效自评表（2024年度）</w:t>
            </w:r>
          </w:p>
        </w:tc>
      </w:tr>
      <w:tr w14:paraId="34AD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9D4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1D82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51081122T000005364277-王家敬老院</w:t>
            </w:r>
          </w:p>
        </w:tc>
      </w:tr>
      <w:tr w14:paraId="53E6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DAF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58B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广元市昭化区民政局部门</w:t>
            </w:r>
          </w:p>
        </w:tc>
        <w:tc>
          <w:tcPr>
            <w:tcW w:w="386" w:type="pct"/>
            <w:tcBorders>
              <w:top w:val="nil"/>
              <w:left w:val="nil"/>
              <w:bottom w:val="nil"/>
              <w:right w:val="nil"/>
            </w:tcBorders>
            <w:shd w:val="clear" w:color="auto" w:fill="auto"/>
            <w:vAlign w:val="center"/>
          </w:tcPr>
          <w:p w14:paraId="3FDC3B2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48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w:t>
            </w:r>
          </w:p>
        </w:tc>
      </w:tr>
      <w:tr w14:paraId="2514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FFD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AA5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C39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73BFB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D1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4504C">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3B591">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2EB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王家敬老院：建筑总面积3600平方米，共设置120张床位，建设室外活动场地硬化、绿化及配电室、衣物晾晒室等附属工程。</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5DE8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王家敬老院：建筑总面积3600平方米，共设置120张床位，建设室外活动场地硬化、绿化及配电室、衣物晾晒室等附属工程。</w:t>
            </w:r>
          </w:p>
        </w:tc>
      </w:tr>
      <w:tr w14:paraId="41D2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C7335">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C3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2115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王家敬老院：建筑总面积3600平方米，共设置120张床位，建设室外活动场地硬化、绿化及配电室、衣物晾晒室等附属工程。</w:t>
            </w:r>
          </w:p>
        </w:tc>
      </w:tr>
      <w:tr w14:paraId="4698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61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E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0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9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65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9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4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B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8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F0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70621">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7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1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6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57.83</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F7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57.83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07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6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3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B95D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60A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6BBE0">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CD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8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6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57.83</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99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57.83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17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4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F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E142B">
            <w:pPr>
              <w:rPr>
                <w:rFonts w:hint="eastAsia" w:ascii="黑体" w:hAnsi="黑体" w:eastAsia="黑体" w:cs="黑体"/>
                <w:i/>
                <w:iCs/>
                <w:color w:val="000000"/>
                <w:sz w:val="18"/>
                <w:szCs w:val="18"/>
                <w:u w:val="none"/>
              </w:rPr>
            </w:pPr>
          </w:p>
        </w:tc>
      </w:tr>
      <w:tr w14:paraId="0DC7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6A893">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5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6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7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FB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DF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0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D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73E5D">
            <w:pPr>
              <w:rPr>
                <w:rFonts w:hint="eastAsia" w:ascii="黑体" w:hAnsi="黑体" w:eastAsia="黑体" w:cs="黑体"/>
                <w:i/>
                <w:iCs/>
                <w:color w:val="000000"/>
                <w:sz w:val="18"/>
                <w:szCs w:val="18"/>
                <w:u w:val="none"/>
              </w:rPr>
            </w:pPr>
          </w:p>
        </w:tc>
      </w:tr>
      <w:tr w14:paraId="72A4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B284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6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E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0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C5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E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8A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9D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3A590">
            <w:pPr>
              <w:rPr>
                <w:rFonts w:hint="eastAsia" w:ascii="黑体" w:hAnsi="黑体" w:eastAsia="黑体" w:cs="黑体"/>
                <w:i/>
                <w:iCs/>
                <w:color w:val="000000"/>
                <w:sz w:val="18"/>
                <w:szCs w:val="18"/>
                <w:u w:val="none"/>
              </w:rPr>
            </w:pPr>
          </w:p>
        </w:tc>
      </w:tr>
      <w:tr w14:paraId="6E36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CB76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E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E1C3">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4B18">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42A2A">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0918">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F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8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1D68B">
            <w:pPr>
              <w:rPr>
                <w:rFonts w:hint="eastAsia" w:ascii="黑体" w:hAnsi="黑体" w:eastAsia="黑体" w:cs="黑体"/>
                <w:i/>
                <w:iCs/>
                <w:color w:val="000000"/>
                <w:sz w:val="18"/>
                <w:szCs w:val="18"/>
                <w:u w:val="none"/>
              </w:rPr>
            </w:pPr>
          </w:p>
        </w:tc>
      </w:tr>
      <w:tr w14:paraId="2FB7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E1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F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E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C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8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75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F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81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B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B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57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915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AADF3">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4C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B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8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养老建设项目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5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F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6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9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6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0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6FBFC">
            <w:pPr>
              <w:jc w:val="center"/>
              <w:rPr>
                <w:rFonts w:hint="eastAsia" w:ascii="微软雅黑" w:hAnsi="微软雅黑" w:eastAsia="微软雅黑" w:cs="微软雅黑"/>
                <w:i/>
                <w:iCs/>
                <w:color w:val="000000"/>
                <w:sz w:val="16"/>
                <w:szCs w:val="16"/>
                <w:u w:val="none"/>
              </w:rPr>
            </w:pPr>
          </w:p>
        </w:tc>
      </w:tr>
      <w:tr w14:paraId="2B47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903FD">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0942E">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43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B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完成预收合格率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2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C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6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3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F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8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C0A3B">
            <w:pPr>
              <w:jc w:val="center"/>
              <w:rPr>
                <w:rFonts w:hint="eastAsia" w:ascii="微软雅黑" w:hAnsi="微软雅黑" w:eastAsia="微软雅黑" w:cs="微软雅黑"/>
                <w:i/>
                <w:iCs/>
                <w:color w:val="000000"/>
                <w:sz w:val="16"/>
                <w:szCs w:val="16"/>
                <w:u w:val="none"/>
              </w:rPr>
            </w:pPr>
          </w:p>
        </w:tc>
      </w:tr>
      <w:tr w14:paraId="3A226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37CC4">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CC464">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3CE9D">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2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项目资金使用合格率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3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B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A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C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5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66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3C7A2">
            <w:pPr>
              <w:jc w:val="center"/>
              <w:rPr>
                <w:rFonts w:hint="eastAsia" w:ascii="微软雅黑" w:hAnsi="微软雅黑" w:eastAsia="微软雅黑" w:cs="微软雅黑"/>
                <w:i/>
                <w:iCs/>
                <w:color w:val="000000"/>
                <w:sz w:val="16"/>
                <w:szCs w:val="16"/>
                <w:u w:val="none"/>
              </w:rPr>
            </w:pPr>
          </w:p>
        </w:tc>
      </w:tr>
      <w:tr w14:paraId="7F54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7D5BF">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F8E04">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BA84E">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A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养老院服务保障</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B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3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D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7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0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1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4A8E">
            <w:pPr>
              <w:jc w:val="center"/>
              <w:rPr>
                <w:rFonts w:hint="eastAsia" w:ascii="微软雅黑" w:hAnsi="微软雅黑" w:eastAsia="微软雅黑" w:cs="微软雅黑"/>
                <w:i/>
                <w:iCs/>
                <w:color w:val="000000"/>
                <w:sz w:val="16"/>
                <w:szCs w:val="16"/>
                <w:u w:val="none"/>
              </w:rPr>
            </w:pPr>
          </w:p>
        </w:tc>
      </w:tr>
      <w:tr w14:paraId="1381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EC384">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D1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B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9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调查满意率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C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0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F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0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4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62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7C52">
            <w:pPr>
              <w:jc w:val="center"/>
              <w:rPr>
                <w:rFonts w:hint="eastAsia" w:ascii="微软雅黑" w:hAnsi="微软雅黑" w:eastAsia="微软雅黑" w:cs="微软雅黑"/>
                <w:i/>
                <w:iCs/>
                <w:color w:val="000000"/>
                <w:sz w:val="16"/>
                <w:szCs w:val="16"/>
                <w:u w:val="none"/>
              </w:rPr>
            </w:pPr>
          </w:p>
        </w:tc>
      </w:tr>
      <w:tr w14:paraId="54D3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B1553">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0EE1E">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9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A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养老服务体系建设</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6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A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A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A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00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C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EA30">
            <w:pPr>
              <w:jc w:val="center"/>
              <w:rPr>
                <w:rFonts w:hint="eastAsia" w:ascii="微软雅黑" w:hAnsi="微软雅黑" w:eastAsia="微软雅黑" w:cs="微软雅黑"/>
                <w:i/>
                <w:iCs/>
                <w:color w:val="000000"/>
                <w:sz w:val="16"/>
                <w:szCs w:val="16"/>
                <w:u w:val="none"/>
              </w:rPr>
            </w:pPr>
          </w:p>
        </w:tc>
      </w:tr>
      <w:tr w14:paraId="5423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00630">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D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A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B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养老机构服务质量满意度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9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5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C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C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5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8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7272">
            <w:pPr>
              <w:jc w:val="center"/>
              <w:rPr>
                <w:rFonts w:hint="eastAsia" w:ascii="微软雅黑" w:hAnsi="微软雅黑" w:eastAsia="微软雅黑" w:cs="微软雅黑"/>
                <w:i/>
                <w:iCs/>
                <w:color w:val="000000"/>
                <w:sz w:val="16"/>
                <w:szCs w:val="16"/>
                <w:u w:val="none"/>
              </w:rPr>
            </w:pPr>
          </w:p>
        </w:tc>
      </w:tr>
      <w:tr w14:paraId="72DC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B13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F8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43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1827D">
            <w:pPr>
              <w:rPr>
                <w:rFonts w:hint="eastAsia" w:ascii="宋体" w:hAnsi="宋体" w:eastAsia="宋体" w:cs="宋体"/>
                <w:i w:val="0"/>
                <w:iCs w:val="0"/>
                <w:color w:val="000000"/>
                <w:sz w:val="18"/>
                <w:szCs w:val="18"/>
                <w:u w:val="none"/>
              </w:rPr>
            </w:pPr>
          </w:p>
        </w:tc>
      </w:tr>
      <w:tr w14:paraId="4826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0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DD1514">
            <w:pPr>
              <w:rPr>
                <w:rFonts w:hint="eastAsia" w:ascii="微软雅黑" w:hAnsi="微软雅黑" w:eastAsia="微软雅黑" w:cs="微软雅黑"/>
                <w:i/>
                <w:iCs/>
                <w:color w:val="000000"/>
                <w:sz w:val="16"/>
                <w:szCs w:val="16"/>
                <w:u w:val="none"/>
              </w:rPr>
            </w:pPr>
          </w:p>
        </w:tc>
      </w:tr>
    </w:tbl>
    <w:p w14:paraId="031709A7">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28DB9631">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36A0A5C1">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3C9946C5">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38BBA18A">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5617B24A">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19EE26E9">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79D75F78">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43F4169A">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61FBD560">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1B8983DE">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0F28AB87">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5D160FF7">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5ECB15C1">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r>
        <w:rPr>
          <w:rFonts w:hint="eastAsia" w:ascii="仿宋_GB2312" w:hAnsi="仿宋_GB2312" w:eastAsia="仿宋_GB2312" w:cs="仿宋_GB2312"/>
          <w:sz w:val="32"/>
          <w:szCs w:val="32"/>
          <w:lang w:val="en-US" w:eastAsia="zh-CN"/>
        </w:rPr>
        <w:t>附表4</w:t>
      </w:r>
      <w:r>
        <w:rPr>
          <w:rFonts w:hint="eastAsia" w:ascii="Times New Roman" w:hAnsi="Times New Roman"/>
          <w:sz w:val="32"/>
          <w:szCs w:val="32"/>
          <w:lang w:val="en-US" w:eastAsia="zh-CN"/>
        </w:rPr>
        <w:t>：</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66"/>
        <w:gridCol w:w="988"/>
        <w:gridCol w:w="1302"/>
        <w:gridCol w:w="396"/>
        <w:gridCol w:w="926"/>
        <w:gridCol w:w="396"/>
        <w:gridCol w:w="846"/>
        <w:gridCol w:w="486"/>
        <w:gridCol w:w="486"/>
        <w:gridCol w:w="1493"/>
      </w:tblGrid>
      <w:tr w14:paraId="14E6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0B2BB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社区养老服务综合体建设项目支出绩效自评表（2024年度）</w:t>
            </w:r>
          </w:p>
        </w:tc>
      </w:tr>
      <w:tr w14:paraId="35DC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97C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83DD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51081122T000005364334-社区养老服务综合体建设及养老服务定向财力补助</w:t>
            </w:r>
          </w:p>
        </w:tc>
      </w:tr>
      <w:tr w14:paraId="52CDE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B81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64A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广元市昭化区民政局部门</w:t>
            </w:r>
          </w:p>
        </w:tc>
        <w:tc>
          <w:tcPr>
            <w:tcW w:w="386" w:type="pct"/>
            <w:tcBorders>
              <w:top w:val="nil"/>
              <w:left w:val="nil"/>
              <w:bottom w:val="nil"/>
              <w:right w:val="nil"/>
            </w:tcBorders>
            <w:shd w:val="clear" w:color="auto" w:fill="auto"/>
            <w:vAlign w:val="center"/>
          </w:tcPr>
          <w:p w14:paraId="37E6498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77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w:t>
            </w:r>
          </w:p>
        </w:tc>
      </w:tr>
      <w:tr w14:paraId="70F0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F96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F01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25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B1B08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BC14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A4C10">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2230C">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90C0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贯彻落实积极应对人口老龄化国家战略，加快推进基本养老服务体系建设，昭化区结合本地实际，围绕积极构建以居家为基础、社区为依托、机构为补充、医养结合的社会养老服务体系，科学研判项目资金使用方向，进一步增加有效服务供给，提升养老服务质量，不断满足人民群众日益增长的养老服务需求。</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9C4A5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修建元坝镇养老服务综合体建设项目1个</w:t>
            </w:r>
          </w:p>
        </w:tc>
      </w:tr>
      <w:tr w14:paraId="684DC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70746">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7D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02A0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贯彻落实积极应对人口老龄化国家战略，加快推进基本养老服务体系建设，昭化区结合本地实际，围绕积极构建以居家为基础、社区为依托、机构为补充、医养结合的社会养老服务体系，科学研判项目资金使用方向，进一步增加有效服务供给，提升养老服务质量，不断满足人民群众日益增长的养老服务需求。</w:t>
            </w:r>
          </w:p>
        </w:tc>
      </w:tr>
      <w:tr w14:paraId="14A55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A0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01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9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0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D8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6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66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2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C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B958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E1143">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EE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4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6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94.55</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42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E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5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3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9208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386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3574F">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9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1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73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94.55</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81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0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9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C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0D873">
            <w:pPr>
              <w:rPr>
                <w:rFonts w:hint="eastAsia" w:ascii="黑体" w:hAnsi="黑体" w:eastAsia="黑体" w:cs="黑体"/>
                <w:i/>
                <w:iCs/>
                <w:color w:val="000000"/>
                <w:sz w:val="18"/>
                <w:szCs w:val="18"/>
                <w:u w:val="none"/>
              </w:rPr>
            </w:pPr>
          </w:p>
        </w:tc>
      </w:tr>
      <w:tr w14:paraId="7B34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61EFD">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7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1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58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6B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F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5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8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1FF69">
            <w:pPr>
              <w:rPr>
                <w:rFonts w:hint="eastAsia" w:ascii="黑体" w:hAnsi="黑体" w:eastAsia="黑体" w:cs="黑体"/>
                <w:i/>
                <w:iCs/>
                <w:color w:val="000000"/>
                <w:sz w:val="18"/>
                <w:szCs w:val="18"/>
                <w:u w:val="none"/>
              </w:rPr>
            </w:pPr>
          </w:p>
        </w:tc>
      </w:tr>
      <w:tr w14:paraId="0AE87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65FBF">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F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F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A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87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9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B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E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AF35">
            <w:pPr>
              <w:rPr>
                <w:rFonts w:hint="eastAsia" w:ascii="黑体" w:hAnsi="黑体" w:eastAsia="黑体" w:cs="黑体"/>
                <w:i/>
                <w:iCs/>
                <w:color w:val="000000"/>
                <w:sz w:val="18"/>
                <w:szCs w:val="18"/>
                <w:u w:val="none"/>
              </w:rPr>
            </w:pPr>
          </w:p>
        </w:tc>
      </w:tr>
      <w:tr w14:paraId="077A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42A3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F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C091">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9AA3">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6F87C">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CE2C">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4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7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1657E">
            <w:pPr>
              <w:rPr>
                <w:rFonts w:hint="eastAsia" w:ascii="黑体" w:hAnsi="黑体" w:eastAsia="黑体" w:cs="黑体"/>
                <w:i/>
                <w:iCs/>
                <w:color w:val="000000"/>
                <w:sz w:val="18"/>
                <w:szCs w:val="18"/>
                <w:u w:val="none"/>
              </w:rPr>
            </w:pPr>
          </w:p>
        </w:tc>
      </w:tr>
      <w:tr w14:paraId="6478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0A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B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2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C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2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B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3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D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E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4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4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D4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2D648">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9B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C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1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养老建设项目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05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5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1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4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C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C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5589">
            <w:pPr>
              <w:jc w:val="center"/>
              <w:rPr>
                <w:rFonts w:hint="eastAsia" w:ascii="微软雅黑" w:hAnsi="微软雅黑" w:eastAsia="微软雅黑" w:cs="微软雅黑"/>
                <w:i/>
                <w:iCs/>
                <w:color w:val="000000"/>
                <w:sz w:val="16"/>
                <w:szCs w:val="16"/>
                <w:u w:val="none"/>
              </w:rPr>
            </w:pPr>
          </w:p>
        </w:tc>
      </w:tr>
      <w:tr w14:paraId="5C77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B3D9D">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379B">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3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C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完成预收合格率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F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E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5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2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ED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A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F873">
            <w:pPr>
              <w:jc w:val="center"/>
              <w:rPr>
                <w:rFonts w:hint="eastAsia" w:ascii="微软雅黑" w:hAnsi="微软雅黑" w:eastAsia="微软雅黑" w:cs="微软雅黑"/>
                <w:i/>
                <w:iCs/>
                <w:color w:val="000000"/>
                <w:sz w:val="16"/>
                <w:szCs w:val="16"/>
                <w:u w:val="none"/>
              </w:rPr>
            </w:pPr>
          </w:p>
        </w:tc>
      </w:tr>
      <w:tr w14:paraId="38DD1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AF049">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A398">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F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A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按时完工率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3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2B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0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D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B8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4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3CF8">
            <w:pPr>
              <w:jc w:val="center"/>
              <w:rPr>
                <w:rFonts w:hint="eastAsia" w:ascii="微软雅黑" w:hAnsi="微软雅黑" w:eastAsia="微软雅黑" w:cs="微软雅黑"/>
                <w:i/>
                <w:iCs/>
                <w:color w:val="000000"/>
                <w:sz w:val="16"/>
                <w:szCs w:val="16"/>
                <w:u w:val="none"/>
              </w:rPr>
            </w:pPr>
          </w:p>
        </w:tc>
      </w:tr>
      <w:tr w14:paraId="53361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EDEBA">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B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7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C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按时完工率养老机构服务质量满意度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3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2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D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A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8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A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869F">
            <w:pPr>
              <w:jc w:val="center"/>
              <w:rPr>
                <w:rFonts w:hint="eastAsia" w:ascii="微软雅黑" w:hAnsi="微软雅黑" w:eastAsia="微软雅黑" w:cs="微软雅黑"/>
                <w:i/>
                <w:iCs/>
                <w:color w:val="000000"/>
                <w:sz w:val="16"/>
                <w:szCs w:val="16"/>
                <w:u w:val="none"/>
              </w:rPr>
            </w:pPr>
          </w:p>
        </w:tc>
      </w:tr>
      <w:tr w14:paraId="0C69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25F51">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0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2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C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养老机构服务质量满意度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E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9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4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5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D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7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A0B8">
            <w:pPr>
              <w:jc w:val="center"/>
              <w:rPr>
                <w:rFonts w:hint="eastAsia" w:ascii="微软雅黑" w:hAnsi="微软雅黑" w:eastAsia="微软雅黑" w:cs="微软雅黑"/>
                <w:i/>
                <w:iCs/>
                <w:color w:val="000000"/>
                <w:sz w:val="16"/>
                <w:szCs w:val="16"/>
                <w:u w:val="none"/>
              </w:rPr>
            </w:pPr>
          </w:p>
        </w:tc>
      </w:tr>
      <w:tr w14:paraId="413B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590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E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32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B7BA">
            <w:pPr>
              <w:rPr>
                <w:rFonts w:hint="eastAsia" w:ascii="宋体" w:hAnsi="宋体" w:eastAsia="宋体" w:cs="宋体"/>
                <w:i w:val="0"/>
                <w:iCs w:val="0"/>
                <w:color w:val="000000"/>
                <w:sz w:val="18"/>
                <w:szCs w:val="18"/>
                <w:u w:val="none"/>
              </w:rPr>
            </w:pPr>
          </w:p>
        </w:tc>
      </w:tr>
      <w:tr w14:paraId="0E1B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6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9F92D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养老服务定向财力为贯彻落实积极应对人口老龄化国家战略，加快推进基本养老服务体系建设，昭化区结合本地实际，围绕积极构建以居家为基础、社区为依托、机构为补充、医养结合的社会养老服务体系，自评得分100分</w:t>
            </w:r>
          </w:p>
        </w:tc>
      </w:tr>
      <w:tr w14:paraId="40C6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1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EC708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844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6C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6256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加强资金监管，按照规定的使用范围使用资金</w:t>
            </w:r>
          </w:p>
        </w:tc>
      </w:tr>
    </w:tbl>
    <w:p w14:paraId="5E800480">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1F001871">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346B4836">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5C612CB9">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03FE901C">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7F2A9609">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4FE6893B">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7E69B14B">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31BA30AE">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0538A668">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0F6D321A">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0AFD9A37">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r>
        <w:rPr>
          <w:rFonts w:hint="eastAsia" w:ascii="仿宋_GB2312" w:hAnsi="仿宋_GB2312" w:eastAsia="仿宋_GB2312" w:cs="仿宋_GB2312"/>
          <w:sz w:val="32"/>
          <w:szCs w:val="32"/>
          <w:lang w:val="en-US" w:eastAsia="zh-CN"/>
        </w:rPr>
        <w:t>附表</w:t>
      </w:r>
      <w:r>
        <w:rPr>
          <w:rFonts w:hint="eastAsia" w:hAnsi="仿宋_GB2312" w:eastAsia="仿宋_GB2312" w:cs="仿宋_GB2312"/>
          <w:sz w:val="32"/>
          <w:szCs w:val="32"/>
          <w:lang w:val="en-US" w:eastAsia="zh-CN"/>
        </w:rPr>
        <w:t>5</w:t>
      </w:r>
      <w:r>
        <w:rPr>
          <w:rFonts w:hint="eastAsia" w:ascii="Times New Roman" w:hAnsi="Times New Roman"/>
          <w:sz w:val="32"/>
          <w:szCs w:val="32"/>
          <w:lang w:val="en-US" w:eastAsia="zh-CN"/>
        </w:rPr>
        <w:t>：</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84"/>
        <w:gridCol w:w="1121"/>
        <w:gridCol w:w="1201"/>
        <w:gridCol w:w="396"/>
        <w:gridCol w:w="942"/>
        <w:gridCol w:w="400"/>
        <w:gridCol w:w="761"/>
        <w:gridCol w:w="486"/>
        <w:gridCol w:w="486"/>
        <w:gridCol w:w="1508"/>
      </w:tblGrid>
      <w:tr w14:paraId="304C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DDE5A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福彩公益金项目支出绩效自评表（2024年度）</w:t>
            </w:r>
          </w:p>
        </w:tc>
      </w:tr>
      <w:tr w14:paraId="2A0B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A4E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30BB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51081122T000005364471-福彩公益金（孤儿助学）</w:t>
            </w:r>
          </w:p>
        </w:tc>
      </w:tr>
      <w:tr w14:paraId="538B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E0D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FDEB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广元市昭化区民政局部门</w:t>
            </w:r>
          </w:p>
        </w:tc>
        <w:tc>
          <w:tcPr>
            <w:tcW w:w="417" w:type="pct"/>
            <w:tcBorders>
              <w:top w:val="nil"/>
              <w:left w:val="nil"/>
              <w:bottom w:val="nil"/>
              <w:right w:val="nil"/>
            </w:tcBorders>
            <w:shd w:val="clear" w:color="auto" w:fill="auto"/>
            <w:vAlign w:val="center"/>
          </w:tcPr>
          <w:p w14:paraId="5E1FB99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00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w:t>
            </w:r>
          </w:p>
        </w:tc>
      </w:tr>
      <w:tr w14:paraId="56BA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138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FEF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CC2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6113A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FF0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5F1CC">
            <w:pPr>
              <w:rPr>
                <w:rFonts w:hint="eastAsia" w:ascii="宋体" w:hAnsi="宋体" w:eastAsia="宋体" w:cs="宋体"/>
                <w:i w:val="0"/>
                <w:iCs w:val="0"/>
                <w:color w:val="000000"/>
                <w:sz w:val="18"/>
                <w:szCs w:val="18"/>
                <w:u w:val="none"/>
              </w:rPr>
            </w:pPr>
          </w:p>
        </w:tc>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A53CF">
            <w:pPr>
              <w:rPr>
                <w:rFonts w:hint="eastAsia" w:ascii="宋体" w:hAnsi="宋体" w:eastAsia="宋体" w:cs="宋体"/>
                <w:i w:val="0"/>
                <w:iCs w:val="0"/>
                <w:color w:val="000000"/>
                <w:sz w:val="18"/>
                <w:szCs w:val="18"/>
                <w:u w:val="none"/>
              </w:rPr>
            </w:pPr>
          </w:p>
        </w:tc>
        <w:tc>
          <w:tcPr>
            <w:tcW w:w="22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D852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按照儿童福利事业发展，为贫困大学生提供助学金，解决他们的困难。确保贫困大学生的基本权益。</w:t>
            </w:r>
          </w:p>
        </w:tc>
        <w:tc>
          <w:tcPr>
            <w:tcW w:w="17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40E4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按照儿童福利事业发展，为贫困大学生提供助学金，解决他们的困难。确保贫困大学生的基本权益。</w:t>
            </w:r>
          </w:p>
        </w:tc>
      </w:tr>
      <w:tr w14:paraId="0D06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91E70">
            <w:pP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68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982B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按照儿童福利事业发展，为贫困大学生提供助学金，解决他们的困难。确保贫困大学生的基本权益。</w:t>
            </w:r>
          </w:p>
        </w:tc>
      </w:tr>
      <w:tr w14:paraId="444F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FC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8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F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3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94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1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A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B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0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382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43F82">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F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9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B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E1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02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0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F1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FC33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781A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77FE1">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5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B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D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18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2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7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E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3A377">
            <w:pPr>
              <w:rPr>
                <w:rFonts w:hint="eastAsia" w:ascii="黑体" w:hAnsi="黑体" w:eastAsia="黑体" w:cs="黑体"/>
                <w:i/>
                <w:iCs/>
                <w:color w:val="000000"/>
                <w:sz w:val="18"/>
                <w:szCs w:val="18"/>
                <w:u w:val="none"/>
              </w:rPr>
            </w:pPr>
          </w:p>
        </w:tc>
      </w:tr>
      <w:tr w14:paraId="20E6F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7E9DF">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0A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E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D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DD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E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D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C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0CBA">
            <w:pPr>
              <w:rPr>
                <w:rFonts w:hint="eastAsia" w:ascii="黑体" w:hAnsi="黑体" w:eastAsia="黑体" w:cs="黑体"/>
                <w:i/>
                <w:iCs/>
                <w:color w:val="000000"/>
                <w:sz w:val="18"/>
                <w:szCs w:val="18"/>
                <w:u w:val="none"/>
              </w:rPr>
            </w:pPr>
          </w:p>
        </w:tc>
      </w:tr>
      <w:tr w14:paraId="114E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D15B9">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4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1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24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B68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5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2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8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B445B">
            <w:pPr>
              <w:rPr>
                <w:rFonts w:hint="eastAsia" w:ascii="黑体" w:hAnsi="黑体" w:eastAsia="黑体" w:cs="黑体"/>
                <w:i/>
                <w:iCs/>
                <w:color w:val="000000"/>
                <w:sz w:val="18"/>
                <w:szCs w:val="18"/>
                <w:u w:val="none"/>
              </w:rPr>
            </w:pPr>
          </w:p>
        </w:tc>
      </w:tr>
      <w:tr w14:paraId="0C04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5090B">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1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A2E6">
            <w:pPr>
              <w:jc w:val="center"/>
              <w:rPr>
                <w:rFonts w:hint="eastAsia" w:ascii="微软雅黑" w:hAnsi="微软雅黑" w:eastAsia="微软雅黑" w:cs="微软雅黑"/>
                <w:i/>
                <w:iCs/>
                <w:color w:val="000000"/>
                <w:sz w:val="16"/>
                <w:szCs w:val="16"/>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03FB">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F52A2">
            <w:pPr>
              <w:jc w:val="center"/>
              <w:rPr>
                <w:rFonts w:hint="eastAsia" w:ascii="微软雅黑" w:hAnsi="微软雅黑" w:eastAsia="微软雅黑" w:cs="微软雅黑"/>
                <w:i/>
                <w:iCs/>
                <w:color w:val="000000"/>
                <w:sz w:val="16"/>
                <w:szCs w:val="16"/>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561E">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B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1B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DD970">
            <w:pPr>
              <w:rPr>
                <w:rFonts w:hint="eastAsia" w:ascii="黑体" w:hAnsi="黑体" w:eastAsia="黑体" w:cs="黑体"/>
                <w:i/>
                <w:iCs/>
                <w:color w:val="000000"/>
                <w:sz w:val="18"/>
                <w:szCs w:val="18"/>
                <w:u w:val="none"/>
              </w:rPr>
            </w:pPr>
          </w:p>
        </w:tc>
      </w:tr>
      <w:tr w14:paraId="466C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BD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9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3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7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5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B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E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8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B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C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B3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955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11AB6">
            <w:pPr>
              <w:jc w:val="center"/>
              <w:rPr>
                <w:rFonts w:hint="eastAsia" w:ascii="宋体" w:hAnsi="宋体" w:eastAsia="宋体" w:cs="宋体"/>
                <w:i w:val="0"/>
                <w:iCs w:val="0"/>
                <w:color w:val="000000"/>
                <w:sz w:val="18"/>
                <w:szCs w:val="18"/>
                <w:u w:val="none"/>
              </w:rPr>
            </w:pPr>
          </w:p>
        </w:tc>
        <w:tc>
          <w:tcPr>
            <w:tcW w:w="6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4B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B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8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孤儿助学人数</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9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D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0D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5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8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F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E285">
            <w:pPr>
              <w:jc w:val="center"/>
              <w:rPr>
                <w:rFonts w:hint="eastAsia" w:ascii="微软雅黑" w:hAnsi="微软雅黑" w:eastAsia="微软雅黑" w:cs="微软雅黑"/>
                <w:i/>
                <w:iCs/>
                <w:color w:val="000000"/>
                <w:sz w:val="16"/>
                <w:szCs w:val="16"/>
                <w:u w:val="none"/>
              </w:rPr>
            </w:pPr>
          </w:p>
        </w:tc>
      </w:tr>
      <w:tr w14:paraId="4295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208EB">
            <w:pPr>
              <w:jc w:val="center"/>
              <w:rPr>
                <w:rFonts w:hint="eastAsia" w:ascii="宋体" w:hAnsi="宋体" w:eastAsia="宋体" w:cs="宋体"/>
                <w:i w:val="0"/>
                <w:iCs w:val="0"/>
                <w:color w:val="000000"/>
                <w:sz w:val="18"/>
                <w:szCs w:val="18"/>
                <w:u w:val="none"/>
              </w:rPr>
            </w:pPr>
          </w:p>
        </w:tc>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0BFEF">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5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0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孤儿助学标准</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DF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4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4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9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0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8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BD76">
            <w:pPr>
              <w:jc w:val="center"/>
              <w:rPr>
                <w:rFonts w:hint="eastAsia" w:ascii="微软雅黑" w:hAnsi="微软雅黑" w:eastAsia="微软雅黑" w:cs="微软雅黑"/>
                <w:i/>
                <w:iCs/>
                <w:color w:val="000000"/>
                <w:sz w:val="16"/>
                <w:szCs w:val="16"/>
                <w:u w:val="none"/>
              </w:rPr>
            </w:pPr>
          </w:p>
        </w:tc>
      </w:tr>
      <w:tr w14:paraId="3DC0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6F8E3">
            <w:pPr>
              <w:jc w:val="center"/>
              <w:rPr>
                <w:rFonts w:hint="eastAsia" w:ascii="宋体" w:hAnsi="宋体" w:eastAsia="宋体" w:cs="宋体"/>
                <w:i w:val="0"/>
                <w:iCs w:val="0"/>
                <w:color w:val="000000"/>
                <w:sz w:val="18"/>
                <w:szCs w:val="18"/>
                <w:u w:val="none"/>
              </w:rPr>
            </w:pPr>
          </w:p>
        </w:tc>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88B8D">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6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3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发放及时率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5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4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89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4D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2F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F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B8FF2">
            <w:pPr>
              <w:jc w:val="center"/>
              <w:rPr>
                <w:rFonts w:hint="eastAsia" w:ascii="微软雅黑" w:hAnsi="微软雅黑" w:eastAsia="微软雅黑" w:cs="微软雅黑"/>
                <w:i/>
                <w:iCs/>
                <w:color w:val="000000"/>
                <w:sz w:val="16"/>
                <w:szCs w:val="16"/>
                <w:u w:val="none"/>
              </w:rPr>
            </w:pPr>
          </w:p>
        </w:tc>
      </w:tr>
      <w:tr w14:paraId="4C5B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0FA8D">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B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2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6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提高大学生生活水平</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7F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1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2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A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9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E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551E">
            <w:pPr>
              <w:jc w:val="center"/>
              <w:rPr>
                <w:rFonts w:hint="eastAsia" w:ascii="微软雅黑" w:hAnsi="微软雅黑" w:eastAsia="微软雅黑" w:cs="微软雅黑"/>
                <w:i/>
                <w:iCs/>
                <w:color w:val="000000"/>
                <w:sz w:val="16"/>
                <w:szCs w:val="16"/>
                <w:u w:val="none"/>
              </w:rPr>
            </w:pPr>
          </w:p>
        </w:tc>
      </w:tr>
      <w:tr w14:paraId="6653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ABF27">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4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B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C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D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F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0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5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D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6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843D">
            <w:pPr>
              <w:jc w:val="center"/>
              <w:rPr>
                <w:rFonts w:hint="eastAsia" w:ascii="微软雅黑" w:hAnsi="微软雅黑" w:eastAsia="微软雅黑" w:cs="微软雅黑"/>
                <w:i/>
                <w:iCs/>
                <w:color w:val="000000"/>
                <w:sz w:val="16"/>
                <w:szCs w:val="16"/>
                <w:u w:val="none"/>
              </w:rPr>
            </w:pPr>
          </w:p>
        </w:tc>
      </w:tr>
      <w:tr w14:paraId="3EFA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2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75C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C4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A2F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B8D0">
            <w:pPr>
              <w:rPr>
                <w:rFonts w:hint="eastAsia" w:ascii="宋体" w:hAnsi="宋体" w:eastAsia="宋体" w:cs="宋体"/>
                <w:i w:val="0"/>
                <w:iCs w:val="0"/>
                <w:color w:val="000000"/>
                <w:sz w:val="18"/>
                <w:szCs w:val="18"/>
                <w:u w:val="none"/>
              </w:rPr>
            </w:pPr>
          </w:p>
        </w:tc>
      </w:tr>
      <w:tr w14:paraId="4A4F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E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E108A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为贫困大学生提供助学金，解决他们的困难。确保贫困大学生的基本权益，项目自实施以来反向较好，自评得分100分。</w:t>
            </w:r>
          </w:p>
        </w:tc>
      </w:tr>
      <w:tr w14:paraId="1B11B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B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96BBC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14:paraId="080C84F2">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3B8604C6">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0FCB3AAA">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5B206C1E">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2D5ABCE6">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02ABA6A6">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5835A9A1">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20DB4B6C">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50BC9AA7">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68B23C98">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2B7CB2A8">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4A101C84">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264CEED3">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1607D6E8">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Times New Roman" w:hAnsi="Times New Roman"/>
          <w:sz w:val="32"/>
          <w:szCs w:val="32"/>
          <w:lang w:val="en-US" w:eastAsia="zh-CN"/>
        </w:rPr>
      </w:pPr>
    </w:p>
    <w:p w14:paraId="4A0A2060">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lang w:val="en-US" w:eastAsia="zh-CN"/>
        </w:rPr>
      </w:pPr>
      <w:r>
        <w:rPr>
          <w:rFonts w:hint="eastAsia" w:ascii="仿宋_GB2312" w:hAnsi="仿宋_GB2312" w:eastAsia="仿宋_GB2312" w:cs="仿宋_GB2312"/>
          <w:sz w:val="32"/>
          <w:szCs w:val="32"/>
          <w:lang w:val="en-US" w:eastAsia="zh-CN"/>
        </w:rPr>
        <w:t>附表</w:t>
      </w:r>
      <w:r>
        <w:rPr>
          <w:rFonts w:hint="eastAsia" w:hAnsi="仿宋_GB2312" w:eastAsia="仿宋_GB2312" w:cs="仿宋_GB2312"/>
          <w:sz w:val="32"/>
          <w:szCs w:val="32"/>
          <w:lang w:val="en-US" w:eastAsia="zh-CN"/>
        </w:rPr>
        <w:t>6</w:t>
      </w:r>
      <w:r>
        <w:rPr>
          <w:rFonts w:hint="eastAsia" w:ascii="Times New Roman" w:hAnsi="Times New Roman"/>
          <w:sz w:val="32"/>
          <w:szCs w:val="32"/>
          <w:lang w:val="en-US" w:eastAsia="zh-CN"/>
        </w:rPr>
        <w:t>：</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66"/>
        <w:gridCol w:w="990"/>
        <w:gridCol w:w="1300"/>
        <w:gridCol w:w="396"/>
        <w:gridCol w:w="929"/>
        <w:gridCol w:w="396"/>
        <w:gridCol w:w="756"/>
        <w:gridCol w:w="486"/>
        <w:gridCol w:w="576"/>
        <w:gridCol w:w="1490"/>
      </w:tblGrid>
      <w:tr w14:paraId="6F38B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1FCBA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困难残疾人生活补贴项目支出绩效自评表（2024年度）</w:t>
            </w:r>
          </w:p>
        </w:tc>
      </w:tr>
      <w:tr w14:paraId="76C6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494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E086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51081122T000006935274-困难残疾人生活补贴</w:t>
            </w:r>
          </w:p>
        </w:tc>
      </w:tr>
      <w:tr w14:paraId="2E9F9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EC4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CEF3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广元市昭化区民政局部门</w:t>
            </w:r>
          </w:p>
        </w:tc>
        <w:tc>
          <w:tcPr>
            <w:tcW w:w="384" w:type="pct"/>
            <w:tcBorders>
              <w:top w:val="nil"/>
              <w:left w:val="nil"/>
              <w:bottom w:val="nil"/>
              <w:right w:val="nil"/>
            </w:tcBorders>
            <w:shd w:val="clear" w:color="auto" w:fill="auto"/>
            <w:vAlign w:val="center"/>
          </w:tcPr>
          <w:p w14:paraId="2CC8EAF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83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w:t>
            </w:r>
          </w:p>
        </w:tc>
      </w:tr>
      <w:tr w14:paraId="0C57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190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6A6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D38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B8811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E5CD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5F62F">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0995E">
            <w:pPr>
              <w:rPr>
                <w:rFonts w:hint="eastAsia" w:ascii="宋体" w:hAnsi="宋体" w:eastAsia="宋体" w:cs="宋体"/>
                <w:i w:val="0"/>
                <w:iCs w:val="0"/>
                <w:color w:val="000000"/>
                <w:sz w:val="18"/>
                <w:szCs w:val="18"/>
                <w:u w:val="none"/>
              </w:rPr>
            </w:pPr>
          </w:p>
        </w:tc>
        <w:tc>
          <w:tcPr>
            <w:tcW w:w="23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597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对低保中持有第二代残疾证的残疾人，实现应补尽补，给予生活补贴，保障低保户残疾人的基本生活。全年困难残疾人生活补助人数达4500人以上，提升困难残疾人基本生活水平率达95%以上。</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6B75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对低保中持有第二代残疾证的残疾人，实现应补尽补，给予生活补贴，保障低保户残疾人的基本生活。全年困难残疾人生活补助人数达4500人以上，提升困难残疾人基本生活水平率达95%以上。</w:t>
            </w:r>
          </w:p>
        </w:tc>
      </w:tr>
      <w:tr w14:paraId="716B5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C8121">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E5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0CFA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对低保中持有第二代残疾证的残疾人，实现应补尽补，给予生活补贴，保障低保户残疾人的基本生活。全年困难残疾人生活补助人数达4500人以上，提升困难残疾人基本生活水平率达95%以上。</w:t>
            </w:r>
          </w:p>
        </w:tc>
      </w:tr>
      <w:tr w14:paraId="0574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BE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5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7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2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3E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F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9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31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E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5B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EE037">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6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D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6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380.40</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89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318.70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57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83.78%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5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6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w:t>
            </w:r>
          </w:p>
        </w:tc>
        <w:tc>
          <w:tcPr>
            <w:tcW w:w="8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97E6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9F8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375D1">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2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E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E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380.40</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FD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318.70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7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83.78%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4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2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F0EB0">
            <w:pPr>
              <w:rPr>
                <w:rFonts w:hint="eastAsia" w:ascii="黑体" w:hAnsi="黑体" w:eastAsia="黑体" w:cs="黑体"/>
                <w:i/>
                <w:iCs/>
                <w:color w:val="000000"/>
                <w:sz w:val="18"/>
                <w:szCs w:val="18"/>
                <w:u w:val="none"/>
              </w:rPr>
            </w:pPr>
          </w:p>
        </w:tc>
      </w:tr>
      <w:tr w14:paraId="1802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03575">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6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3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D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52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E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9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F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D0EA7">
            <w:pPr>
              <w:rPr>
                <w:rFonts w:hint="eastAsia" w:ascii="黑体" w:hAnsi="黑体" w:eastAsia="黑体" w:cs="黑体"/>
                <w:i/>
                <w:iCs/>
                <w:color w:val="000000"/>
                <w:sz w:val="18"/>
                <w:szCs w:val="18"/>
                <w:u w:val="none"/>
              </w:rPr>
            </w:pPr>
          </w:p>
        </w:tc>
      </w:tr>
      <w:tr w14:paraId="556C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CBA89">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A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4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C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BA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9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8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3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96627">
            <w:pPr>
              <w:rPr>
                <w:rFonts w:hint="eastAsia" w:ascii="黑体" w:hAnsi="黑体" w:eastAsia="黑体" w:cs="黑体"/>
                <w:i/>
                <w:iCs/>
                <w:color w:val="000000"/>
                <w:sz w:val="18"/>
                <w:szCs w:val="18"/>
                <w:u w:val="none"/>
              </w:rPr>
            </w:pPr>
          </w:p>
        </w:tc>
      </w:tr>
      <w:tr w14:paraId="6EA5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69EEF">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F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39DC">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B2967">
            <w:pPr>
              <w:jc w:val="center"/>
              <w:rPr>
                <w:rFonts w:hint="eastAsia" w:ascii="微软雅黑" w:hAnsi="微软雅黑" w:eastAsia="微软雅黑" w:cs="微软雅黑"/>
                <w:i/>
                <w:iCs/>
                <w:color w:val="000000"/>
                <w:sz w:val="16"/>
                <w:szCs w:val="16"/>
                <w:u w:val="none"/>
              </w:rPr>
            </w:pP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C85E9">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A565">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C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D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2EF98">
            <w:pPr>
              <w:rPr>
                <w:rFonts w:hint="eastAsia" w:ascii="黑体" w:hAnsi="黑体" w:eastAsia="黑体" w:cs="黑体"/>
                <w:i/>
                <w:iCs/>
                <w:color w:val="000000"/>
                <w:sz w:val="18"/>
                <w:szCs w:val="18"/>
                <w:u w:val="none"/>
              </w:rPr>
            </w:pPr>
          </w:p>
        </w:tc>
      </w:tr>
      <w:tr w14:paraId="69E97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D9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7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A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0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5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7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4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9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5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4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F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8B6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CC2F1">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E3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A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C9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全年困难残疾人生活补助人数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F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5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0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0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1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2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3C17">
            <w:pPr>
              <w:jc w:val="center"/>
              <w:rPr>
                <w:rFonts w:hint="eastAsia" w:ascii="微软雅黑" w:hAnsi="微软雅黑" w:eastAsia="微软雅黑" w:cs="微软雅黑"/>
                <w:i/>
                <w:iCs/>
                <w:color w:val="000000"/>
                <w:sz w:val="16"/>
                <w:szCs w:val="16"/>
                <w:u w:val="none"/>
              </w:rPr>
            </w:pPr>
          </w:p>
        </w:tc>
      </w:tr>
      <w:tr w14:paraId="3F1F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8ECB1">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86B68">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F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91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政策执行率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7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F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2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8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0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BD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3D9C">
            <w:pPr>
              <w:jc w:val="center"/>
              <w:rPr>
                <w:rFonts w:hint="eastAsia" w:ascii="微软雅黑" w:hAnsi="微软雅黑" w:eastAsia="微软雅黑" w:cs="微软雅黑"/>
                <w:i/>
                <w:iCs/>
                <w:color w:val="000000"/>
                <w:sz w:val="16"/>
                <w:szCs w:val="16"/>
                <w:u w:val="none"/>
              </w:rPr>
            </w:pPr>
          </w:p>
        </w:tc>
      </w:tr>
      <w:tr w14:paraId="6DE9C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52675">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D2F21">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76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A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发放及时率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9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1B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2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6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F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3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9F19">
            <w:pPr>
              <w:jc w:val="center"/>
              <w:rPr>
                <w:rFonts w:hint="eastAsia" w:ascii="微软雅黑" w:hAnsi="微软雅黑" w:eastAsia="微软雅黑" w:cs="微软雅黑"/>
                <w:i/>
                <w:iCs/>
                <w:color w:val="000000"/>
                <w:sz w:val="16"/>
                <w:szCs w:val="16"/>
                <w:u w:val="none"/>
              </w:rPr>
            </w:pPr>
          </w:p>
        </w:tc>
      </w:tr>
      <w:tr w14:paraId="299E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CCC71">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7C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7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3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提高困难残疾人基本生活质量</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D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4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7D17">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4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6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3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A234">
            <w:pPr>
              <w:jc w:val="center"/>
              <w:rPr>
                <w:rFonts w:hint="eastAsia" w:ascii="微软雅黑" w:hAnsi="微软雅黑" w:eastAsia="微软雅黑" w:cs="微软雅黑"/>
                <w:i/>
                <w:iCs/>
                <w:color w:val="000000"/>
                <w:sz w:val="16"/>
                <w:szCs w:val="16"/>
                <w:u w:val="none"/>
              </w:rPr>
            </w:pPr>
          </w:p>
        </w:tc>
      </w:tr>
      <w:tr w14:paraId="6D1E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F8E47">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06A0C">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9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9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困难残疾人生活补贴制度有利于维护社会稳定秩序</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9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2A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23D3">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B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C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1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2F52">
            <w:pPr>
              <w:jc w:val="center"/>
              <w:rPr>
                <w:rFonts w:hint="eastAsia" w:ascii="微软雅黑" w:hAnsi="微软雅黑" w:eastAsia="微软雅黑" w:cs="微软雅黑"/>
                <w:i/>
                <w:iCs/>
                <w:color w:val="000000"/>
                <w:sz w:val="16"/>
                <w:szCs w:val="16"/>
                <w:u w:val="none"/>
              </w:rPr>
            </w:pPr>
          </w:p>
        </w:tc>
      </w:tr>
      <w:tr w14:paraId="61D5B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BD56F">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B9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F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B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发放困难残疾人生活补贴受助对象满意度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F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8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B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E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E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4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6515">
            <w:pPr>
              <w:jc w:val="center"/>
              <w:rPr>
                <w:rFonts w:hint="eastAsia" w:ascii="微软雅黑" w:hAnsi="微软雅黑" w:eastAsia="微软雅黑" w:cs="微软雅黑"/>
                <w:i/>
                <w:iCs/>
                <w:color w:val="000000"/>
                <w:sz w:val="16"/>
                <w:szCs w:val="16"/>
                <w:u w:val="none"/>
              </w:rPr>
            </w:pPr>
          </w:p>
        </w:tc>
      </w:tr>
      <w:tr w14:paraId="52CEE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1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5D4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D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C2A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98.3</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7B9F">
            <w:pPr>
              <w:rPr>
                <w:rFonts w:hint="eastAsia" w:ascii="宋体" w:hAnsi="宋体" w:eastAsia="宋体" w:cs="宋体"/>
                <w:i w:val="0"/>
                <w:iCs w:val="0"/>
                <w:color w:val="000000"/>
                <w:sz w:val="18"/>
                <w:szCs w:val="18"/>
                <w:u w:val="none"/>
              </w:rPr>
            </w:pPr>
          </w:p>
        </w:tc>
      </w:tr>
      <w:tr w14:paraId="4B3C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D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07A3D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该项目的实施有效保障低保户残疾人的基本生活，自评得分98.3分</w:t>
            </w:r>
          </w:p>
        </w:tc>
      </w:tr>
      <w:tr w14:paraId="2D8FE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E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230E9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14:paraId="638BC00D">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3A3E2FF0">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6F766F83">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24AE0B9D">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590B2CAE">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1CE76425">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54CB627F">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0EA4AA75">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02460C1B">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4DFB5B05">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09CF300F">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default" w:ascii="仿宋_GB2312" w:hAnsi="仿宋_GB2312" w:eastAsia="仿宋_GB2312"/>
          <w:color w:val="0070C0"/>
          <w:kern w:val="2"/>
          <w:sz w:val="32"/>
          <w:szCs w:val="24"/>
          <w:lang w:val="en-US"/>
        </w:rPr>
      </w:pPr>
      <w:r>
        <w:rPr>
          <w:rFonts w:hint="eastAsia" w:ascii="仿宋_GB2312" w:hAnsi="仿宋_GB2312" w:eastAsia="仿宋_GB2312" w:cs="仿宋_GB2312"/>
          <w:sz w:val="32"/>
          <w:szCs w:val="32"/>
          <w:lang w:val="en-US" w:eastAsia="zh-CN"/>
        </w:rPr>
        <w:t>附表</w:t>
      </w:r>
      <w:r>
        <w:rPr>
          <w:rFonts w:hint="eastAsia" w:hAnsi="仿宋_GB2312" w:eastAsia="仿宋_GB2312" w:cs="仿宋_GB2312"/>
          <w:sz w:val="32"/>
          <w:szCs w:val="32"/>
          <w:lang w:val="en-US" w:eastAsia="zh-CN"/>
        </w:rPr>
        <w:t>7：</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66"/>
        <w:gridCol w:w="1171"/>
        <w:gridCol w:w="1111"/>
        <w:gridCol w:w="396"/>
        <w:gridCol w:w="922"/>
        <w:gridCol w:w="404"/>
        <w:gridCol w:w="857"/>
        <w:gridCol w:w="486"/>
        <w:gridCol w:w="486"/>
        <w:gridCol w:w="1486"/>
      </w:tblGrid>
      <w:tr w14:paraId="130D6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B6C68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精减退职职工救济项目支出绩效自评表（2024年度）</w:t>
            </w:r>
          </w:p>
        </w:tc>
      </w:tr>
      <w:tr w14:paraId="4094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21E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0980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51081122T000007066756-精减退职职工救济和起义投诚人员生活补助</w:t>
            </w:r>
          </w:p>
        </w:tc>
      </w:tr>
      <w:tr w14:paraId="4131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564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D777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广元市昭化区民政局部门</w:t>
            </w:r>
          </w:p>
        </w:tc>
        <w:tc>
          <w:tcPr>
            <w:tcW w:w="470" w:type="pct"/>
            <w:tcBorders>
              <w:top w:val="nil"/>
              <w:left w:val="nil"/>
              <w:bottom w:val="nil"/>
              <w:right w:val="nil"/>
            </w:tcBorders>
            <w:shd w:val="clear" w:color="auto" w:fill="auto"/>
            <w:vAlign w:val="center"/>
          </w:tcPr>
          <w:p w14:paraId="5C6515E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2B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w:t>
            </w:r>
          </w:p>
        </w:tc>
      </w:tr>
      <w:tr w14:paraId="18EE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570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BFD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5A6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CA44B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C2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23166">
            <w:pP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F12A7">
            <w:pPr>
              <w:rPr>
                <w:rFonts w:hint="eastAsia" w:ascii="宋体" w:hAnsi="宋体" w:eastAsia="宋体" w:cs="宋体"/>
                <w:i w:val="0"/>
                <w:iCs w:val="0"/>
                <w:color w:val="000000"/>
                <w:sz w:val="18"/>
                <w:szCs w:val="18"/>
                <w:u w:val="none"/>
              </w:rPr>
            </w:pPr>
          </w:p>
        </w:tc>
        <w:tc>
          <w:tcPr>
            <w:tcW w:w="22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B4CE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按照400元/人/月发放精简退职生活补助，保障精简退职困难职工的基本生活。</w:t>
            </w:r>
          </w:p>
        </w:tc>
        <w:tc>
          <w:tcPr>
            <w:tcW w:w="1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AFAD6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按照400元/人/月发放精简退职生活补助，保障精简退职困难职工的基本生活。</w:t>
            </w:r>
          </w:p>
        </w:tc>
      </w:tr>
      <w:tr w14:paraId="5B1A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999FC">
            <w:pP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35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2A66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按照400元/人/月发放精简退职生活补助，保障精简退职困难职工的基本生活。</w:t>
            </w:r>
          </w:p>
        </w:tc>
      </w:tr>
      <w:tr w14:paraId="6B0B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74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3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1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1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0C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0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8B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9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11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A2B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1BB35">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8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0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E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9F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9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2A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DB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FA09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4E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C51A">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C5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E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4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BF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2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3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7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C098C">
            <w:pPr>
              <w:rPr>
                <w:rFonts w:hint="eastAsia" w:ascii="黑体" w:hAnsi="黑体" w:eastAsia="黑体" w:cs="黑体"/>
                <w:i/>
                <w:iCs/>
                <w:color w:val="000000"/>
                <w:sz w:val="18"/>
                <w:szCs w:val="18"/>
                <w:u w:val="none"/>
              </w:rPr>
            </w:pPr>
          </w:p>
        </w:tc>
      </w:tr>
      <w:tr w14:paraId="4D28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C908E">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B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D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8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C7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C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1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4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8ECD5">
            <w:pPr>
              <w:rPr>
                <w:rFonts w:hint="eastAsia" w:ascii="黑体" w:hAnsi="黑体" w:eastAsia="黑体" w:cs="黑体"/>
                <w:i/>
                <w:iCs/>
                <w:color w:val="000000"/>
                <w:sz w:val="18"/>
                <w:szCs w:val="18"/>
                <w:u w:val="none"/>
              </w:rPr>
            </w:pPr>
          </w:p>
        </w:tc>
      </w:tr>
      <w:tr w14:paraId="77A4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2810B">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B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B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2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87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6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6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F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0A88">
            <w:pPr>
              <w:rPr>
                <w:rFonts w:hint="eastAsia" w:ascii="黑体" w:hAnsi="黑体" w:eastAsia="黑体" w:cs="黑体"/>
                <w:i/>
                <w:iCs/>
                <w:color w:val="000000"/>
                <w:sz w:val="18"/>
                <w:szCs w:val="18"/>
                <w:u w:val="none"/>
              </w:rPr>
            </w:pPr>
          </w:p>
        </w:tc>
      </w:tr>
      <w:tr w14:paraId="6253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B1611">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3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5893">
            <w:pPr>
              <w:jc w:val="center"/>
              <w:rPr>
                <w:rFonts w:hint="eastAsia" w:ascii="微软雅黑" w:hAnsi="微软雅黑" w:eastAsia="微软雅黑" w:cs="微软雅黑"/>
                <w:i/>
                <w:iCs/>
                <w:color w:val="000000"/>
                <w:sz w:val="16"/>
                <w:szCs w:val="16"/>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FBBC">
            <w:pPr>
              <w:jc w:val="center"/>
              <w:rPr>
                <w:rFonts w:hint="eastAsia" w:ascii="微软雅黑" w:hAnsi="微软雅黑" w:eastAsia="微软雅黑" w:cs="微软雅黑"/>
                <w:i/>
                <w:iCs/>
                <w:color w:val="000000"/>
                <w:sz w:val="16"/>
                <w:szCs w:val="16"/>
                <w:u w:val="none"/>
              </w:rPr>
            </w:pP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2A1A0">
            <w:pPr>
              <w:jc w:val="center"/>
              <w:rPr>
                <w:rFonts w:hint="eastAsia" w:ascii="微软雅黑" w:hAnsi="微软雅黑" w:eastAsia="微软雅黑" w:cs="微软雅黑"/>
                <w:i/>
                <w:iCs/>
                <w:color w:val="000000"/>
                <w:sz w:val="16"/>
                <w:szCs w:val="16"/>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EF87">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5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A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B4E9F">
            <w:pPr>
              <w:rPr>
                <w:rFonts w:hint="eastAsia" w:ascii="黑体" w:hAnsi="黑体" w:eastAsia="黑体" w:cs="黑体"/>
                <w:i/>
                <w:iCs/>
                <w:color w:val="000000"/>
                <w:sz w:val="18"/>
                <w:szCs w:val="18"/>
                <w:u w:val="none"/>
              </w:rPr>
            </w:pPr>
          </w:p>
        </w:tc>
      </w:tr>
      <w:tr w14:paraId="759B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26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E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9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C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6A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D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A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7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9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D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4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2A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621BA">
            <w:pPr>
              <w:jc w:val="center"/>
              <w:rPr>
                <w:rFonts w:hint="eastAsia" w:ascii="宋体" w:hAnsi="宋体" w:eastAsia="宋体" w:cs="宋体"/>
                <w:i w:val="0"/>
                <w:iCs w:val="0"/>
                <w:color w:val="000000"/>
                <w:sz w:val="18"/>
                <w:szCs w:val="18"/>
                <w:u w:val="none"/>
              </w:rPr>
            </w:pP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8C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0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1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25人数</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F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75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14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5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5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1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2F81">
            <w:pPr>
              <w:jc w:val="center"/>
              <w:rPr>
                <w:rFonts w:hint="eastAsia" w:ascii="微软雅黑" w:hAnsi="微软雅黑" w:eastAsia="微软雅黑" w:cs="微软雅黑"/>
                <w:i/>
                <w:iCs/>
                <w:color w:val="000000"/>
                <w:sz w:val="16"/>
                <w:szCs w:val="16"/>
                <w:u w:val="none"/>
              </w:rPr>
            </w:pPr>
          </w:p>
        </w:tc>
      </w:tr>
      <w:tr w14:paraId="577B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A5FAE">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1F5C5">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F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4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6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7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A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1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4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E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E8EA">
            <w:pPr>
              <w:jc w:val="center"/>
              <w:rPr>
                <w:rFonts w:hint="eastAsia" w:ascii="微软雅黑" w:hAnsi="微软雅黑" w:eastAsia="微软雅黑" w:cs="微软雅黑"/>
                <w:i/>
                <w:iCs/>
                <w:color w:val="000000"/>
                <w:sz w:val="16"/>
                <w:szCs w:val="16"/>
                <w:u w:val="none"/>
              </w:rPr>
            </w:pPr>
          </w:p>
        </w:tc>
      </w:tr>
      <w:tr w14:paraId="7F97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5E893">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860C1">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9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9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1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D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F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6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8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9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03A7">
            <w:pPr>
              <w:jc w:val="center"/>
              <w:rPr>
                <w:rFonts w:hint="eastAsia" w:ascii="微软雅黑" w:hAnsi="微软雅黑" w:eastAsia="微软雅黑" w:cs="微软雅黑"/>
                <w:i/>
                <w:iCs/>
                <w:color w:val="000000"/>
                <w:sz w:val="16"/>
                <w:szCs w:val="16"/>
                <w:u w:val="none"/>
              </w:rPr>
            </w:pPr>
          </w:p>
        </w:tc>
      </w:tr>
      <w:tr w14:paraId="0953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5949E">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5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C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2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维护社会和谐稳定</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2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2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C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D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7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0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2D74">
            <w:pPr>
              <w:jc w:val="center"/>
              <w:rPr>
                <w:rFonts w:hint="eastAsia" w:ascii="微软雅黑" w:hAnsi="微软雅黑" w:eastAsia="微软雅黑" w:cs="微软雅黑"/>
                <w:i/>
                <w:iCs/>
                <w:color w:val="000000"/>
                <w:sz w:val="16"/>
                <w:szCs w:val="16"/>
                <w:u w:val="none"/>
              </w:rPr>
            </w:pPr>
          </w:p>
        </w:tc>
      </w:tr>
      <w:tr w14:paraId="5414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8C43B">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8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A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9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A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F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C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B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C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2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63ED">
            <w:pPr>
              <w:jc w:val="center"/>
              <w:rPr>
                <w:rFonts w:hint="eastAsia" w:ascii="微软雅黑" w:hAnsi="微软雅黑" w:eastAsia="微软雅黑" w:cs="微软雅黑"/>
                <w:i/>
                <w:iCs/>
                <w:color w:val="000000"/>
                <w:sz w:val="16"/>
                <w:szCs w:val="16"/>
                <w:u w:val="none"/>
              </w:rPr>
            </w:pPr>
          </w:p>
        </w:tc>
      </w:tr>
      <w:tr w14:paraId="2560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364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307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4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28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5244">
            <w:pPr>
              <w:rPr>
                <w:rFonts w:hint="eastAsia" w:ascii="宋体" w:hAnsi="宋体" w:eastAsia="宋体" w:cs="宋体"/>
                <w:i w:val="0"/>
                <w:iCs w:val="0"/>
                <w:color w:val="000000"/>
                <w:sz w:val="18"/>
                <w:szCs w:val="18"/>
                <w:u w:val="none"/>
              </w:rPr>
            </w:pPr>
          </w:p>
        </w:tc>
      </w:tr>
      <w:tr w14:paraId="598B4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C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54C06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保障精简退职困难职工的基本生活。得分100分</w:t>
            </w:r>
          </w:p>
        </w:tc>
      </w:tr>
    </w:tbl>
    <w:p w14:paraId="2EE2D62C">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7FB40B4D">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38730AA7">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11A5C70E">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32DBA4BA">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3F69B9CC">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51F6B343">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13631012">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6291FB7B">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668A4ADB">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2C2376D2">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383F4003">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56F2BDB7">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0B6EB6AA">
      <w:pPr>
        <w:pStyle w:val="8"/>
        <w:keepNext w:val="0"/>
        <w:keepLines w:val="0"/>
        <w:pageBreakBefore w:val="0"/>
        <w:widowControl w:val="0"/>
        <w:numPr>
          <w:ilvl w:val="0"/>
          <w:numId w:val="0"/>
        </w:numPr>
        <w:kinsoku/>
        <w:wordWrap/>
        <w:overflowPunct w:val="0"/>
        <w:topLinePunct/>
        <w:autoSpaceDE w:val="0"/>
        <w:autoSpaceDN w:val="0"/>
        <w:bidi w:val="0"/>
        <w:spacing w:line="560" w:lineRule="exact"/>
        <w:ind w:firstLine="640" w:firstLineChars="200"/>
        <w:textAlignment w:val="auto"/>
        <w:rPr>
          <w:rFonts w:hint="eastAsia" w:ascii="仿宋_GB2312" w:hAnsi="仿宋_GB2312" w:eastAsia="仿宋_GB2312"/>
          <w:color w:val="0070C0"/>
          <w:kern w:val="2"/>
          <w:sz w:val="32"/>
          <w:szCs w:val="24"/>
        </w:rPr>
      </w:pPr>
    </w:p>
    <w:p w14:paraId="32317FB5">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33C5C848">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04BFF015">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default" w:ascii="仿宋_GB2312" w:hAnsi="仿宋_GB2312" w:eastAsia="仿宋_GB2312"/>
          <w:color w:val="0070C0"/>
          <w:kern w:val="2"/>
          <w:sz w:val="32"/>
          <w:szCs w:val="24"/>
          <w:lang w:val="en-US"/>
        </w:rPr>
      </w:pPr>
      <w:r>
        <w:rPr>
          <w:rFonts w:hint="eastAsia" w:ascii="仿宋_GB2312" w:hAnsi="仿宋_GB2312" w:eastAsia="仿宋_GB2312" w:cs="仿宋_GB2312"/>
          <w:sz w:val="32"/>
          <w:szCs w:val="32"/>
          <w:lang w:val="en-US" w:eastAsia="zh-CN"/>
        </w:rPr>
        <w:t>附表</w:t>
      </w:r>
      <w:r>
        <w:rPr>
          <w:rFonts w:hint="eastAsia" w:hAnsi="仿宋_GB2312" w:eastAsia="仿宋_GB2312" w:cs="仿宋_GB2312"/>
          <w:sz w:val="32"/>
          <w:szCs w:val="32"/>
          <w:lang w:val="en-US" w:eastAsia="zh-CN"/>
        </w:rPr>
        <w:t>8：</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3"/>
        <w:gridCol w:w="923"/>
        <w:gridCol w:w="1225"/>
        <w:gridCol w:w="396"/>
        <w:gridCol w:w="858"/>
        <w:gridCol w:w="756"/>
        <w:gridCol w:w="846"/>
        <w:gridCol w:w="486"/>
        <w:gridCol w:w="486"/>
        <w:gridCol w:w="1416"/>
      </w:tblGrid>
      <w:tr w14:paraId="3E312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468E1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绿色惠民殡葬补助项目支出绩效自评表（2024年度）</w:t>
            </w:r>
          </w:p>
        </w:tc>
      </w:tr>
      <w:tr w14:paraId="07D02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68D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367D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51081122T000007066986-绿色惠民殡葬补助</w:t>
            </w:r>
          </w:p>
        </w:tc>
      </w:tr>
      <w:tr w14:paraId="2F96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E6F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EFD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广元市昭化区民政局部门</w:t>
            </w:r>
          </w:p>
        </w:tc>
        <w:tc>
          <w:tcPr>
            <w:tcW w:w="383" w:type="pct"/>
            <w:tcBorders>
              <w:top w:val="nil"/>
              <w:left w:val="nil"/>
              <w:bottom w:val="nil"/>
              <w:right w:val="nil"/>
            </w:tcBorders>
            <w:shd w:val="clear" w:color="auto" w:fill="auto"/>
            <w:vAlign w:val="center"/>
          </w:tcPr>
          <w:p w14:paraId="73BF8BF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3A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w:t>
            </w:r>
          </w:p>
        </w:tc>
      </w:tr>
      <w:tr w14:paraId="79B9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841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61C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CAF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55FC0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45A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8F60E">
            <w:pPr>
              <w:rPr>
                <w:rFonts w:hint="eastAsia" w:ascii="宋体" w:hAnsi="宋体" w:eastAsia="宋体" w:cs="宋体"/>
                <w:i w:val="0"/>
                <w:iCs w:val="0"/>
                <w:color w:val="000000"/>
                <w:sz w:val="18"/>
                <w:szCs w:val="18"/>
                <w:u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67A39">
            <w:pPr>
              <w:rPr>
                <w:rFonts w:hint="eastAsia" w:ascii="宋体" w:hAnsi="宋体" w:eastAsia="宋体" w:cs="宋体"/>
                <w:i w:val="0"/>
                <w:iCs w:val="0"/>
                <w:color w:val="000000"/>
                <w:sz w:val="18"/>
                <w:szCs w:val="18"/>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7AB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辖区内农村五保对象、城乡低保对象、城镇“三无”人员、重点优抚对象死亡后，由当地殡葬部门负责接运遗体、提供冷藏（24小时）、火化、丧服、骨灰盒及寄存、公墓骨灰安葬服务。接运遗体、提供冷藏（24小时）、火化、丧服、骨灰盒及寄存等基本殡葬救助标准不低于800元，公墓骨灰安葬救助标准不高于1500元。根据《民政部关于进一步深化殡葬改革促进殡葬事业科学发展的指导意见》（民发〔2009〕170号）精神，按照“保基本、广覆盖、可持续”原则，建立起从重点对象起步，逐步扩展到向辖区所有居民提供免费基本殡葬服务，将殡葬救助经费纳入同级财政预算。</w:t>
            </w:r>
          </w:p>
        </w:tc>
        <w:tc>
          <w:tcPr>
            <w:tcW w:w="16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2AF57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辖区内农村五保对象、城乡低保对象、城镇“三无”人员、重点优抚对象死亡后，由当地殡葬部门负责接运遗体、提供冷藏（24小时）、火化、丧服、骨灰盒及寄存、公墓骨灰安葬服务。接运遗体、提供冷藏（24小时）、火化、丧服、骨灰盒及寄存等基本殡葬救助标准不低于800元，公墓骨灰安葬救助标准不高于1500元。根据《民政部关于进一步深化殡葬改革促进殡葬事业科学发展的指导意见》（民发〔2009〕170号）精神，按照“保基本、广覆盖、可持续”原则，建立起从重点对象起步，逐步扩展到向辖区所有居民提供免费基本殡葬服务，将殡葬救助经费纳入同级财政预算。</w:t>
            </w:r>
          </w:p>
        </w:tc>
      </w:tr>
      <w:tr w14:paraId="7A9A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4D083">
            <w:pP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B9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B12B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辖区内农村五保对象、城乡低保对象、城镇“三无”人员、重点优抚对象死亡后，由当地殡葬部门负责接运遗体、提供冷藏（24小时）、火化、丧服、骨灰盒及寄存、公墓骨灰安葬服务。接运遗体、提供冷藏（24小时）、火化、丧服、骨灰盒及寄存等基本殡葬救助标准不低于800元，公墓骨灰安葬救助标准不高于1500元。根据《民政部关于进一步深化殡葬改革促进殡葬事业科学发展的指导意见》（民发〔2009〕170号）精神，按照“保基本、广覆盖、可持续”原则，建立起从重点对象起步，逐步扩展到向辖区所有居民提供免费基本殡葬服务，将殡葬救助经费纳入同级财政预算。</w:t>
            </w:r>
          </w:p>
        </w:tc>
      </w:tr>
      <w:tr w14:paraId="680D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10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0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8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3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EB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5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C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A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8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6D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EE25A">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FA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35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9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28.63</w:t>
            </w:r>
          </w:p>
        </w:tc>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CE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7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8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B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C407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7F8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FD8F4">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0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1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B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28.63</w:t>
            </w:r>
          </w:p>
        </w:tc>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2E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E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1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D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A25A5">
            <w:pPr>
              <w:rPr>
                <w:rFonts w:hint="eastAsia" w:ascii="黑体" w:hAnsi="黑体" w:eastAsia="黑体" w:cs="黑体"/>
                <w:i/>
                <w:iCs/>
                <w:color w:val="000000"/>
                <w:sz w:val="18"/>
                <w:szCs w:val="18"/>
                <w:u w:val="none"/>
              </w:rPr>
            </w:pPr>
          </w:p>
        </w:tc>
      </w:tr>
      <w:tr w14:paraId="19CDA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635C2">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A4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8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6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81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D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F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1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31E42">
            <w:pPr>
              <w:rPr>
                <w:rFonts w:hint="eastAsia" w:ascii="黑体" w:hAnsi="黑体" w:eastAsia="黑体" w:cs="黑体"/>
                <w:i/>
                <w:iCs/>
                <w:color w:val="000000"/>
                <w:sz w:val="18"/>
                <w:szCs w:val="18"/>
                <w:u w:val="none"/>
              </w:rPr>
            </w:pPr>
          </w:p>
        </w:tc>
      </w:tr>
      <w:tr w14:paraId="641E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3AEB3">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A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4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F8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4F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3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0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1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36D71">
            <w:pPr>
              <w:rPr>
                <w:rFonts w:hint="eastAsia" w:ascii="黑体" w:hAnsi="黑体" w:eastAsia="黑体" w:cs="黑体"/>
                <w:i/>
                <w:iCs/>
                <w:color w:val="000000"/>
                <w:sz w:val="18"/>
                <w:szCs w:val="18"/>
                <w:u w:val="none"/>
              </w:rPr>
            </w:pPr>
          </w:p>
        </w:tc>
      </w:tr>
      <w:tr w14:paraId="5311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4C0A8">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5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B469">
            <w:pPr>
              <w:jc w:val="center"/>
              <w:rPr>
                <w:rFonts w:hint="eastAsia" w:ascii="微软雅黑" w:hAnsi="微软雅黑" w:eastAsia="微软雅黑" w:cs="微软雅黑"/>
                <w:i/>
                <w:iCs/>
                <w:color w:val="000000"/>
                <w:sz w:val="16"/>
                <w:szCs w:val="16"/>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235C">
            <w:pPr>
              <w:jc w:val="center"/>
              <w:rPr>
                <w:rFonts w:hint="eastAsia" w:ascii="微软雅黑" w:hAnsi="微软雅黑" w:eastAsia="微软雅黑" w:cs="微软雅黑"/>
                <w:i/>
                <w:iCs/>
                <w:color w:val="000000"/>
                <w:sz w:val="16"/>
                <w:szCs w:val="16"/>
                <w:u w:val="none"/>
              </w:rPr>
            </w:pPr>
          </w:p>
        </w:tc>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C4F59">
            <w:pPr>
              <w:jc w:val="center"/>
              <w:rPr>
                <w:rFonts w:hint="eastAsia" w:ascii="微软雅黑" w:hAnsi="微软雅黑" w:eastAsia="微软雅黑" w:cs="微软雅黑"/>
                <w:i/>
                <w:iCs/>
                <w:color w:val="000000"/>
                <w:sz w:val="16"/>
                <w:szCs w:val="16"/>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64D4">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A8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1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2FF22">
            <w:pPr>
              <w:rPr>
                <w:rFonts w:hint="eastAsia" w:ascii="黑体" w:hAnsi="黑体" w:eastAsia="黑体" w:cs="黑体"/>
                <w:i/>
                <w:iCs/>
                <w:color w:val="000000"/>
                <w:sz w:val="18"/>
                <w:szCs w:val="18"/>
                <w:u w:val="none"/>
              </w:rPr>
            </w:pPr>
          </w:p>
        </w:tc>
      </w:tr>
      <w:tr w14:paraId="647F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30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3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3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2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3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3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9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5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8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D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3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4476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EFC9F">
            <w:pPr>
              <w:jc w:val="center"/>
              <w:rPr>
                <w:rFonts w:hint="eastAsia" w:ascii="宋体" w:hAnsi="宋体" w:eastAsia="宋体" w:cs="宋体"/>
                <w:i w:val="0"/>
                <w:iCs w:val="0"/>
                <w:color w:val="000000"/>
                <w:sz w:val="18"/>
                <w:szCs w:val="18"/>
                <w:u w:val="none"/>
              </w:rPr>
            </w:pP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8A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7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3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补助人数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0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6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3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1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3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5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BA89">
            <w:pPr>
              <w:jc w:val="center"/>
              <w:rPr>
                <w:rFonts w:hint="eastAsia" w:ascii="微软雅黑" w:hAnsi="微软雅黑" w:eastAsia="微软雅黑" w:cs="微软雅黑"/>
                <w:i/>
                <w:iCs/>
                <w:color w:val="000000"/>
                <w:sz w:val="16"/>
                <w:szCs w:val="16"/>
                <w:u w:val="none"/>
              </w:rPr>
            </w:pPr>
          </w:p>
        </w:tc>
      </w:tr>
      <w:tr w14:paraId="0303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08A99">
            <w:pPr>
              <w:jc w:val="center"/>
              <w:rPr>
                <w:rFonts w:hint="eastAsia" w:ascii="宋体" w:hAnsi="宋体" w:eastAsia="宋体" w:cs="宋体"/>
                <w:i w:val="0"/>
                <w:iCs w:val="0"/>
                <w:color w:val="000000"/>
                <w:sz w:val="18"/>
                <w:szCs w:val="18"/>
                <w:u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64D39">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E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2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补助发放足额率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8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B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1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5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2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15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0C31">
            <w:pPr>
              <w:jc w:val="center"/>
              <w:rPr>
                <w:rFonts w:hint="eastAsia" w:ascii="微软雅黑" w:hAnsi="微软雅黑" w:eastAsia="微软雅黑" w:cs="微软雅黑"/>
                <w:i/>
                <w:iCs/>
                <w:color w:val="000000"/>
                <w:sz w:val="16"/>
                <w:szCs w:val="16"/>
                <w:u w:val="none"/>
              </w:rPr>
            </w:pPr>
          </w:p>
        </w:tc>
      </w:tr>
      <w:tr w14:paraId="77692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E71F">
            <w:pPr>
              <w:jc w:val="center"/>
              <w:rPr>
                <w:rFonts w:hint="eastAsia" w:ascii="宋体" w:hAnsi="宋体" w:eastAsia="宋体" w:cs="宋体"/>
                <w:i w:val="0"/>
                <w:iCs w:val="0"/>
                <w:color w:val="000000"/>
                <w:sz w:val="18"/>
                <w:szCs w:val="18"/>
                <w:u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476AB">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0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0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资金下拨及时率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C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1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C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E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AF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7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E607">
            <w:pPr>
              <w:jc w:val="center"/>
              <w:rPr>
                <w:rFonts w:hint="eastAsia" w:ascii="微软雅黑" w:hAnsi="微软雅黑" w:eastAsia="微软雅黑" w:cs="微软雅黑"/>
                <w:i/>
                <w:iCs/>
                <w:color w:val="000000"/>
                <w:sz w:val="16"/>
                <w:szCs w:val="16"/>
                <w:u w:val="none"/>
              </w:rPr>
            </w:pPr>
          </w:p>
        </w:tc>
      </w:tr>
      <w:tr w14:paraId="2177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FBA51">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7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E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0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困难殡葬补助政策知晓率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9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1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4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6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E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D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866F">
            <w:pPr>
              <w:jc w:val="center"/>
              <w:rPr>
                <w:rFonts w:hint="eastAsia" w:ascii="微软雅黑" w:hAnsi="微软雅黑" w:eastAsia="微软雅黑" w:cs="微软雅黑"/>
                <w:i/>
                <w:iCs/>
                <w:color w:val="000000"/>
                <w:sz w:val="16"/>
                <w:szCs w:val="16"/>
                <w:u w:val="none"/>
              </w:rPr>
            </w:pPr>
          </w:p>
        </w:tc>
      </w:tr>
      <w:tr w14:paraId="449C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FD2B1">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F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F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0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殡葬救助受助群众满意度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3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5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2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6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3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0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6A76">
            <w:pPr>
              <w:jc w:val="center"/>
              <w:rPr>
                <w:rFonts w:hint="eastAsia" w:ascii="微软雅黑" w:hAnsi="微软雅黑" w:eastAsia="微软雅黑" w:cs="微软雅黑"/>
                <w:i/>
                <w:iCs/>
                <w:color w:val="000000"/>
                <w:sz w:val="16"/>
                <w:szCs w:val="16"/>
                <w:u w:val="none"/>
              </w:rPr>
            </w:pPr>
          </w:p>
        </w:tc>
      </w:tr>
      <w:tr w14:paraId="20BF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2230A">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52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8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4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困难殡葬补助标准</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2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91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1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6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F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4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9E04">
            <w:pPr>
              <w:jc w:val="center"/>
              <w:rPr>
                <w:rFonts w:hint="eastAsia" w:ascii="微软雅黑" w:hAnsi="微软雅黑" w:eastAsia="微软雅黑" w:cs="微软雅黑"/>
                <w:i/>
                <w:iCs/>
                <w:color w:val="000000"/>
                <w:sz w:val="16"/>
                <w:szCs w:val="16"/>
                <w:u w:val="none"/>
              </w:rPr>
            </w:pPr>
          </w:p>
        </w:tc>
      </w:tr>
      <w:tr w14:paraId="38BA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6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493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4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BC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9D04">
            <w:pPr>
              <w:rPr>
                <w:rFonts w:hint="eastAsia" w:ascii="宋体" w:hAnsi="宋体" w:eastAsia="宋体" w:cs="宋体"/>
                <w:i w:val="0"/>
                <w:iCs w:val="0"/>
                <w:color w:val="000000"/>
                <w:sz w:val="18"/>
                <w:szCs w:val="18"/>
                <w:u w:val="none"/>
              </w:rPr>
            </w:pPr>
          </w:p>
        </w:tc>
      </w:tr>
      <w:tr w14:paraId="7F572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02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A400B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自评得分100分</w:t>
            </w:r>
          </w:p>
        </w:tc>
      </w:tr>
      <w:tr w14:paraId="4A359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7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0D5E1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项目在推进基本殡葬服务普惠性、均等化方面取得了一定成效，部分符合条件的逝者家庭得到了补贴，减轻了办丧负担。但也存在资金不足、补贴发放不及时、政策协同不够紧密等问题。</w:t>
            </w:r>
          </w:p>
        </w:tc>
      </w:tr>
      <w:tr w14:paraId="0F5B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A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E5A76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提高政策知晓率</w:t>
            </w:r>
          </w:p>
        </w:tc>
      </w:tr>
    </w:tbl>
    <w:p w14:paraId="70FA7A72">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77771B63">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73A10D4B">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62ABB40A">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default" w:ascii="仿宋_GB2312" w:hAnsi="仿宋_GB2312" w:eastAsia="仿宋_GB2312"/>
          <w:color w:val="0070C0"/>
          <w:kern w:val="2"/>
          <w:sz w:val="32"/>
          <w:szCs w:val="24"/>
          <w:lang w:val="en-US"/>
        </w:rPr>
      </w:pPr>
      <w:r>
        <w:rPr>
          <w:rFonts w:hint="eastAsia" w:ascii="仿宋_GB2312" w:hAnsi="仿宋_GB2312" w:eastAsia="仿宋_GB2312" w:cs="仿宋_GB2312"/>
          <w:sz w:val="32"/>
          <w:szCs w:val="32"/>
          <w:lang w:val="en-US" w:eastAsia="zh-CN"/>
        </w:rPr>
        <w:t>附表</w:t>
      </w:r>
      <w:r>
        <w:rPr>
          <w:rFonts w:hint="eastAsia" w:hAnsi="仿宋_GB2312" w:eastAsia="仿宋_GB2312" w:cs="仿宋_GB2312"/>
          <w:sz w:val="32"/>
          <w:szCs w:val="32"/>
          <w:lang w:val="en-US" w:eastAsia="zh-CN"/>
        </w:rPr>
        <w:t>9：</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1167"/>
        <w:gridCol w:w="986"/>
        <w:gridCol w:w="1299"/>
        <w:gridCol w:w="395"/>
        <w:gridCol w:w="895"/>
        <w:gridCol w:w="733"/>
        <w:gridCol w:w="767"/>
        <w:gridCol w:w="533"/>
        <w:gridCol w:w="519"/>
        <w:gridCol w:w="1193"/>
      </w:tblGrid>
      <w:tr w14:paraId="1644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896B9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社会救助救济补助项目支出绩效自评表（2024年度）</w:t>
            </w:r>
          </w:p>
        </w:tc>
      </w:tr>
      <w:tr w14:paraId="3E33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F29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56AA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51081123T000008801946-社会救助救济补助</w:t>
            </w:r>
          </w:p>
        </w:tc>
      </w:tr>
      <w:tr w14:paraId="2253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7FA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D4DF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广元市昭化区民政局部门</w:t>
            </w:r>
          </w:p>
        </w:tc>
        <w:tc>
          <w:tcPr>
            <w:tcW w:w="827" w:type="pct"/>
            <w:gridSpan w:val="2"/>
            <w:tcBorders>
              <w:top w:val="nil"/>
              <w:left w:val="nil"/>
              <w:bottom w:val="nil"/>
              <w:right w:val="nil"/>
            </w:tcBorders>
            <w:shd w:val="clear" w:color="auto" w:fill="auto"/>
            <w:vAlign w:val="center"/>
          </w:tcPr>
          <w:p w14:paraId="418C6CE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13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w:t>
            </w:r>
          </w:p>
        </w:tc>
      </w:tr>
      <w:tr w14:paraId="5B67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0EC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8C5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FD5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E093F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87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FF0F0">
            <w:pP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AED6">
            <w:pPr>
              <w:rPr>
                <w:rFonts w:hint="eastAsia" w:ascii="宋体" w:hAnsi="宋体" w:eastAsia="宋体" w:cs="宋体"/>
                <w:i w:val="0"/>
                <w:iCs w:val="0"/>
                <w:color w:val="000000"/>
                <w:sz w:val="18"/>
                <w:szCs w:val="18"/>
                <w:u w:val="none"/>
              </w:rPr>
            </w:pPr>
          </w:p>
        </w:tc>
        <w:tc>
          <w:tcPr>
            <w:tcW w:w="19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D330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麻风人员按照散居的每人每月260元，集中的每人每月600元，卫计局审批每月每人520元保障基本生活，现有麻风人员49人，月总资金需求1.71万元，预算年度总资金20.52万元。2.按照200/人/月向监护人发放补助，保障严重精神病患者得到有效监护。全年奖补对象人数原则上不超过50人。3.按照现有人数138人，现执行标准100元/人/月发放因公致残生活补助，保障因公致残人员的基本生活。4.按照现有人数18人，现执行标准400元/人/月发放精简退职生活补助。5.按照现有人数3人，月总资金需求6013元，预算年度总资金7.22万元。发放襄渝铁路民工生活补助。6. 根据区政府相关文件精神，延续2023年政策，代缴区定困难对象的医疗保险。</w:t>
            </w:r>
          </w:p>
        </w:tc>
        <w:tc>
          <w:tcPr>
            <w:tcW w:w="20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FA7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4BC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A3ACA">
            <w:pP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B4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701D1D">
            <w:pPr>
              <w:rPr>
                <w:rFonts w:hint="eastAsia" w:ascii="宋体" w:hAnsi="宋体" w:eastAsia="宋体" w:cs="宋体"/>
                <w:i w:val="0"/>
                <w:iCs w:val="0"/>
                <w:color w:val="000000"/>
                <w:sz w:val="18"/>
                <w:szCs w:val="18"/>
                <w:u w:val="none"/>
              </w:rPr>
            </w:pPr>
          </w:p>
        </w:tc>
      </w:tr>
      <w:tr w14:paraId="5F8D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E0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C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F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E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66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F6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F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D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4F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154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E0F1E">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9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0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77.72</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E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64.33</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F5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64.33</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29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5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B4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57A0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C06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21EA5">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2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3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77.72</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4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64.33</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B3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64.33</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8F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AA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3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F026A">
            <w:pPr>
              <w:rPr>
                <w:rFonts w:hint="eastAsia" w:ascii="黑体" w:hAnsi="黑体" w:eastAsia="黑体" w:cs="黑体"/>
                <w:i/>
                <w:iCs/>
                <w:color w:val="000000"/>
                <w:sz w:val="18"/>
                <w:szCs w:val="18"/>
                <w:u w:val="none"/>
              </w:rPr>
            </w:pPr>
          </w:p>
        </w:tc>
      </w:tr>
      <w:tr w14:paraId="0911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9F3B5">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5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B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4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D8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45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1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F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163AC">
            <w:pPr>
              <w:rPr>
                <w:rFonts w:hint="eastAsia" w:ascii="黑体" w:hAnsi="黑体" w:eastAsia="黑体" w:cs="黑体"/>
                <w:i/>
                <w:iCs/>
                <w:color w:val="000000"/>
                <w:sz w:val="18"/>
                <w:szCs w:val="18"/>
                <w:u w:val="none"/>
              </w:rPr>
            </w:pPr>
          </w:p>
        </w:tc>
      </w:tr>
      <w:tr w14:paraId="475D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FB29E">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7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8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C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38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5F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F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C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652E7">
            <w:pPr>
              <w:rPr>
                <w:rFonts w:hint="eastAsia" w:ascii="黑体" w:hAnsi="黑体" w:eastAsia="黑体" w:cs="黑体"/>
                <w:i/>
                <w:iCs/>
                <w:color w:val="000000"/>
                <w:sz w:val="18"/>
                <w:szCs w:val="18"/>
                <w:u w:val="none"/>
              </w:rPr>
            </w:pPr>
          </w:p>
        </w:tc>
      </w:tr>
      <w:tr w14:paraId="0B25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427F8">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C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6752">
            <w:pPr>
              <w:jc w:val="center"/>
              <w:rPr>
                <w:rFonts w:hint="eastAsia" w:ascii="微软雅黑" w:hAnsi="微软雅黑" w:eastAsia="微软雅黑" w:cs="微软雅黑"/>
                <w:i/>
                <w:iCs/>
                <w:color w:val="000000"/>
                <w:sz w:val="16"/>
                <w:szCs w:val="16"/>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4769">
            <w:pPr>
              <w:jc w:val="center"/>
              <w:rPr>
                <w:rFonts w:hint="eastAsia" w:ascii="微软雅黑" w:hAnsi="微软雅黑" w:eastAsia="微软雅黑" w:cs="微软雅黑"/>
                <w:i/>
                <w:iCs/>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169C9">
            <w:pPr>
              <w:jc w:val="center"/>
              <w:rPr>
                <w:rFonts w:hint="eastAsia" w:ascii="微软雅黑" w:hAnsi="微软雅黑" w:eastAsia="微软雅黑" w:cs="微软雅黑"/>
                <w:i/>
                <w:iCs/>
                <w:color w:val="000000"/>
                <w:sz w:val="16"/>
                <w:szCs w:val="16"/>
                <w:u w:val="none"/>
              </w:rPr>
            </w:pP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4BAB9">
            <w:pPr>
              <w:jc w:val="center"/>
              <w:rPr>
                <w:rFonts w:hint="eastAsia" w:ascii="微软雅黑" w:hAnsi="微软雅黑" w:eastAsia="微软雅黑" w:cs="微软雅黑"/>
                <w:i/>
                <w:iCs/>
                <w:color w:val="000000"/>
                <w:sz w:val="16"/>
                <w:szCs w:val="16"/>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09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8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887ED">
            <w:pPr>
              <w:rPr>
                <w:rFonts w:hint="eastAsia" w:ascii="黑体" w:hAnsi="黑体" w:eastAsia="黑体" w:cs="黑体"/>
                <w:i/>
                <w:iCs/>
                <w:color w:val="000000"/>
                <w:sz w:val="18"/>
                <w:szCs w:val="18"/>
                <w:u w:val="none"/>
              </w:rPr>
            </w:pPr>
          </w:p>
        </w:tc>
      </w:tr>
      <w:tr w14:paraId="4909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13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F6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4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8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2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8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5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7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F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B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3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105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E1CDA">
            <w:pPr>
              <w:jc w:val="center"/>
              <w:rPr>
                <w:rFonts w:hint="eastAsia" w:ascii="宋体" w:hAnsi="宋体" w:eastAsia="宋体" w:cs="宋体"/>
                <w:i w:val="0"/>
                <w:iCs w:val="0"/>
                <w:color w:val="000000"/>
                <w:sz w:val="18"/>
                <w:szCs w:val="18"/>
                <w:u w:val="none"/>
              </w:rPr>
            </w:pP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73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17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9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代缴区定困难群众医疗保险人数</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7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6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D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F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5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C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24D9">
            <w:pPr>
              <w:jc w:val="center"/>
              <w:rPr>
                <w:rFonts w:hint="eastAsia" w:ascii="微软雅黑" w:hAnsi="微软雅黑" w:eastAsia="微软雅黑" w:cs="微软雅黑"/>
                <w:i/>
                <w:iCs/>
                <w:color w:val="000000"/>
                <w:sz w:val="16"/>
                <w:szCs w:val="16"/>
                <w:u w:val="none"/>
              </w:rPr>
            </w:pPr>
          </w:p>
        </w:tc>
      </w:tr>
      <w:tr w14:paraId="3535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AE5F0">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6D6E7">
            <w:pPr>
              <w:jc w:val="center"/>
              <w:rPr>
                <w:rFonts w:hint="eastAsia" w:ascii="宋体" w:hAnsi="宋体" w:eastAsia="宋体" w:cs="宋体"/>
                <w:i w:val="0"/>
                <w:iCs w:val="0"/>
                <w:color w:val="000000"/>
                <w:sz w:val="18"/>
                <w:szCs w:val="18"/>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E58A1">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6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精简退职老职工生活补助人数</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E3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5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1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7E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3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12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D2F4">
            <w:pPr>
              <w:jc w:val="center"/>
              <w:rPr>
                <w:rFonts w:hint="eastAsia" w:ascii="微软雅黑" w:hAnsi="微软雅黑" w:eastAsia="微软雅黑" w:cs="微软雅黑"/>
                <w:i/>
                <w:iCs/>
                <w:color w:val="000000"/>
                <w:sz w:val="16"/>
                <w:szCs w:val="16"/>
                <w:u w:val="none"/>
              </w:rPr>
            </w:pPr>
          </w:p>
        </w:tc>
      </w:tr>
      <w:tr w14:paraId="76D1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8DF67">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A7C35">
            <w:pPr>
              <w:jc w:val="center"/>
              <w:rPr>
                <w:rFonts w:hint="eastAsia" w:ascii="宋体" w:hAnsi="宋体" w:eastAsia="宋体" w:cs="宋体"/>
                <w:i w:val="0"/>
                <w:iCs w:val="0"/>
                <w:color w:val="000000"/>
                <w:sz w:val="18"/>
                <w:szCs w:val="18"/>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D6797">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8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麻风人员生活补助人数</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1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D4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9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55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F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8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88D6">
            <w:pPr>
              <w:jc w:val="center"/>
              <w:rPr>
                <w:rFonts w:hint="eastAsia" w:ascii="微软雅黑" w:hAnsi="微软雅黑" w:eastAsia="微软雅黑" w:cs="微软雅黑"/>
                <w:i/>
                <w:iCs/>
                <w:color w:val="000000"/>
                <w:sz w:val="16"/>
                <w:szCs w:val="16"/>
                <w:u w:val="none"/>
              </w:rPr>
            </w:pPr>
          </w:p>
        </w:tc>
      </w:tr>
      <w:tr w14:paraId="0437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61B09">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A42B4">
            <w:pPr>
              <w:jc w:val="center"/>
              <w:rPr>
                <w:rFonts w:hint="eastAsia" w:ascii="宋体" w:hAnsi="宋体" w:eastAsia="宋体" w:cs="宋体"/>
                <w:i w:val="0"/>
                <w:iCs w:val="0"/>
                <w:color w:val="000000"/>
                <w:sz w:val="18"/>
                <w:szCs w:val="18"/>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3CA2B">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9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严重精神病患者监护人补助人数</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9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4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0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0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E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A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7A433">
            <w:pPr>
              <w:jc w:val="center"/>
              <w:rPr>
                <w:rFonts w:hint="eastAsia" w:ascii="微软雅黑" w:hAnsi="微软雅黑" w:eastAsia="微软雅黑" w:cs="微软雅黑"/>
                <w:i/>
                <w:iCs/>
                <w:color w:val="000000"/>
                <w:sz w:val="16"/>
                <w:szCs w:val="16"/>
                <w:u w:val="none"/>
              </w:rPr>
            </w:pPr>
          </w:p>
        </w:tc>
      </w:tr>
      <w:tr w14:paraId="47AA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DA7BE">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C456B">
            <w:pPr>
              <w:jc w:val="center"/>
              <w:rPr>
                <w:rFonts w:hint="eastAsia" w:ascii="宋体" w:hAnsi="宋体" w:eastAsia="宋体" w:cs="宋体"/>
                <w:i w:val="0"/>
                <w:iCs w:val="0"/>
                <w:color w:val="000000"/>
                <w:sz w:val="18"/>
                <w:szCs w:val="18"/>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2AD12">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6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因公致残人员生活补助人数</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8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9E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9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2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5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DA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E440">
            <w:pPr>
              <w:jc w:val="center"/>
              <w:rPr>
                <w:rFonts w:hint="eastAsia" w:ascii="微软雅黑" w:hAnsi="微软雅黑" w:eastAsia="微软雅黑" w:cs="微软雅黑"/>
                <w:i/>
                <w:iCs/>
                <w:color w:val="000000"/>
                <w:sz w:val="16"/>
                <w:szCs w:val="16"/>
                <w:u w:val="none"/>
              </w:rPr>
            </w:pPr>
          </w:p>
        </w:tc>
      </w:tr>
      <w:tr w14:paraId="013A1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9EE21">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5F34B">
            <w:pPr>
              <w:jc w:val="center"/>
              <w:rPr>
                <w:rFonts w:hint="eastAsia" w:ascii="宋体" w:hAnsi="宋体" w:eastAsia="宋体" w:cs="宋体"/>
                <w:i w:val="0"/>
                <w:iCs w:val="0"/>
                <w:color w:val="000000"/>
                <w:sz w:val="18"/>
                <w:szCs w:val="18"/>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AAD17">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8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襄渝铁路民工生活补助人数</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D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F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1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A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A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7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8F97">
            <w:pPr>
              <w:jc w:val="center"/>
              <w:rPr>
                <w:rFonts w:hint="eastAsia" w:ascii="微软雅黑" w:hAnsi="微软雅黑" w:eastAsia="微软雅黑" w:cs="微软雅黑"/>
                <w:i/>
                <w:iCs/>
                <w:color w:val="000000"/>
                <w:sz w:val="16"/>
                <w:szCs w:val="16"/>
                <w:u w:val="none"/>
              </w:rPr>
            </w:pPr>
          </w:p>
        </w:tc>
      </w:tr>
      <w:tr w14:paraId="1A2A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7BAE1">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41F2B">
            <w:pPr>
              <w:jc w:val="center"/>
              <w:rPr>
                <w:rFonts w:hint="eastAsia" w:ascii="宋体" w:hAnsi="宋体" w:eastAsia="宋体" w:cs="宋体"/>
                <w:i w:val="0"/>
                <w:iCs w:val="0"/>
                <w:color w:val="000000"/>
                <w:sz w:val="18"/>
                <w:szCs w:val="18"/>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18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F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经费使用合格率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6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5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4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8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7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3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3BED">
            <w:pPr>
              <w:jc w:val="center"/>
              <w:rPr>
                <w:rFonts w:hint="eastAsia" w:ascii="微软雅黑" w:hAnsi="微软雅黑" w:eastAsia="微软雅黑" w:cs="微软雅黑"/>
                <w:i/>
                <w:iCs/>
                <w:color w:val="000000"/>
                <w:sz w:val="16"/>
                <w:szCs w:val="16"/>
                <w:u w:val="none"/>
              </w:rPr>
            </w:pPr>
          </w:p>
        </w:tc>
      </w:tr>
      <w:tr w14:paraId="7489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FF524">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9D96">
            <w:pPr>
              <w:jc w:val="center"/>
              <w:rPr>
                <w:rFonts w:hint="eastAsia" w:ascii="宋体" w:hAnsi="宋体" w:eastAsia="宋体" w:cs="宋体"/>
                <w:i w:val="0"/>
                <w:iCs w:val="0"/>
                <w:color w:val="000000"/>
                <w:sz w:val="18"/>
                <w:szCs w:val="18"/>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AC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0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资金拨付及时率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C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7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C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8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1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C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F05F">
            <w:pPr>
              <w:jc w:val="center"/>
              <w:rPr>
                <w:rFonts w:hint="eastAsia" w:ascii="微软雅黑" w:hAnsi="微软雅黑" w:eastAsia="微软雅黑" w:cs="微软雅黑"/>
                <w:i/>
                <w:iCs/>
                <w:color w:val="000000"/>
                <w:sz w:val="16"/>
                <w:szCs w:val="16"/>
                <w:u w:val="none"/>
              </w:rPr>
            </w:pPr>
          </w:p>
        </w:tc>
      </w:tr>
      <w:tr w14:paraId="6661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FEF11">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1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6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1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有效改善受助人员基本生活</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F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3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43B6">
            <w:pPr>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B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1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8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AEF1">
            <w:pPr>
              <w:jc w:val="center"/>
              <w:rPr>
                <w:rFonts w:hint="eastAsia" w:ascii="微软雅黑" w:hAnsi="微软雅黑" w:eastAsia="微软雅黑" w:cs="微软雅黑"/>
                <w:i/>
                <w:iCs/>
                <w:color w:val="000000"/>
                <w:sz w:val="16"/>
                <w:szCs w:val="16"/>
                <w:u w:val="none"/>
              </w:rPr>
            </w:pPr>
          </w:p>
        </w:tc>
      </w:tr>
      <w:tr w14:paraId="117B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BF71F">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5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3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A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社会救助补助人员表满意度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9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F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0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8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5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E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8301">
            <w:pPr>
              <w:jc w:val="center"/>
              <w:rPr>
                <w:rFonts w:hint="eastAsia" w:ascii="微软雅黑" w:hAnsi="微软雅黑" w:eastAsia="微软雅黑" w:cs="微软雅黑"/>
                <w:i/>
                <w:iCs/>
                <w:color w:val="000000"/>
                <w:sz w:val="16"/>
                <w:szCs w:val="16"/>
                <w:u w:val="none"/>
              </w:rPr>
            </w:pPr>
          </w:p>
        </w:tc>
      </w:tr>
      <w:tr w14:paraId="6E5DE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5098F">
            <w:pPr>
              <w:jc w:val="center"/>
              <w:rPr>
                <w:rFonts w:hint="eastAsia" w:ascii="宋体" w:hAnsi="宋体" w:eastAsia="宋体" w:cs="宋体"/>
                <w:i w:val="0"/>
                <w:iCs w:val="0"/>
                <w:color w:val="000000"/>
                <w:sz w:val="18"/>
                <w:szCs w:val="18"/>
                <w:u w:val="none"/>
              </w:rPr>
            </w:pP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34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7F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7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因公致残人员生活补助资金</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72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1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E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7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B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C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D5BE">
            <w:pPr>
              <w:jc w:val="center"/>
              <w:rPr>
                <w:rFonts w:hint="eastAsia" w:ascii="微软雅黑" w:hAnsi="微软雅黑" w:eastAsia="微软雅黑" w:cs="微软雅黑"/>
                <w:i/>
                <w:iCs/>
                <w:color w:val="000000"/>
                <w:sz w:val="16"/>
                <w:szCs w:val="16"/>
                <w:u w:val="none"/>
              </w:rPr>
            </w:pPr>
          </w:p>
        </w:tc>
      </w:tr>
      <w:tr w14:paraId="5F5B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33CE6">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05481">
            <w:pPr>
              <w:jc w:val="center"/>
              <w:rPr>
                <w:rFonts w:hint="eastAsia" w:ascii="宋体" w:hAnsi="宋体" w:eastAsia="宋体" w:cs="宋体"/>
                <w:i w:val="0"/>
                <w:iCs w:val="0"/>
                <w:color w:val="000000"/>
                <w:sz w:val="18"/>
                <w:szCs w:val="18"/>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9122D">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6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襄渝铁路民工生活补助资金</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7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A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0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F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70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F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E9BF">
            <w:pPr>
              <w:jc w:val="center"/>
              <w:rPr>
                <w:rFonts w:hint="eastAsia" w:ascii="微软雅黑" w:hAnsi="微软雅黑" w:eastAsia="微软雅黑" w:cs="微软雅黑"/>
                <w:i/>
                <w:iCs/>
                <w:color w:val="000000"/>
                <w:sz w:val="16"/>
                <w:szCs w:val="16"/>
                <w:u w:val="none"/>
              </w:rPr>
            </w:pPr>
          </w:p>
        </w:tc>
      </w:tr>
      <w:tr w14:paraId="1EA5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48683">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627C1">
            <w:pPr>
              <w:jc w:val="center"/>
              <w:rPr>
                <w:rFonts w:hint="eastAsia" w:ascii="宋体" w:hAnsi="宋体" w:eastAsia="宋体" w:cs="宋体"/>
                <w:i w:val="0"/>
                <w:iCs w:val="0"/>
                <w:color w:val="000000"/>
                <w:sz w:val="18"/>
                <w:szCs w:val="18"/>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EDED0">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5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代缴区定困难群众医疗保险资金</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3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6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3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CC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E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9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E421">
            <w:pPr>
              <w:jc w:val="center"/>
              <w:rPr>
                <w:rFonts w:hint="eastAsia" w:ascii="微软雅黑" w:hAnsi="微软雅黑" w:eastAsia="微软雅黑" w:cs="微软雅黑"/>
                <w:i/>
                <w:iCs/>
                <w:color w:val="000000"/>
                <w:sz w:val="16"/>
                <w:szCs w:val="16"/>
                <w:u w:val="none"/>
              </w:rPr>
            </w:pPr>
          </w:p>
        </w:tc>
      </w:tr>
      <w:tr w14:paraId="19B6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42F15">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3EE48">
            <w:pPr>
              <w:jc w:val="center"/>
              <w:rPr>
                <w:rFonts w:hint="eastAsia" w:ascii="宋体" w:hAnsi="宋体" w:eastAsia="宋体" w:cs="宋体"/>
                <w:i w:val="0"/>
                <w:iCs w:val="0"/>
                <w:color w:val="000000"/>
                <w:sz w:val="18"/>
                <w:szCs w:val="18"/>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AA3F2">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3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麻风病人补助资金</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4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F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2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0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B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6F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0CF7">
            <w:pPr>
              <w:jc w:val="center"/>
              <w:rPr>
                <w:rFonts w:hint="eastAsia" w:ascii="微软雅黑" w:hAnsi="微软雅黑" w:eastAsia="微软雅黑" w:cs="微软雅黑"/>
                <w:i/>
                <w:iCs/>
                <w:color w:val="000000"/>
                <w:sz w:val="16"/>
                <w:szCs w:val="16"/>
                <w:u w:val="none"/>
              </w:rPr>
            </w:pPr>
          </w:p>
        </w:tc>
      </w:tr>
      <w:tr w14:paraId="4CEE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76C07">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B396F">
            <w:pPr>
              <w:jc w:val="center"/>
              <w:rPr>
                <w:rFonts w:hint="eastAsia" w:ascii="宋体" w:hAnsi="宋体" w:eastAsia="宋体" w:cs="宋体"/>
                <w:i w:val="0"/>
                <w:iCs w:val="0"/>
                <w:color w:val="000000"/>
                <w:sz w:val="18"/>
                <w:szCs w:val="18"/>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F7E3">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E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精简退职老职工生活补助资金</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7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0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E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3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F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E4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3A8D">
            <w:pPr>
              <w:jc w:val="center"/>
              <w:rPr>
                <w:rFonts w:hint="eastAsia" w:ascii="微软雅黑" w:hAnsi="微软雅黑" w:eastAsia="微软雅黑" w:cs="微软雅黑"/>
                <w:i/>
                <w:iCs/>
                <w:color w:val="000000"/>
                <w:sz w:val="16"/>
                <w:szCs w:val="16"/>
                <w:u w:val="none"/>
              </w:rPr>
            </w:pPr>
          </w:p>
        </w:tc>
      </w:tr>
      <w:tr w14:paraId="2C67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6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F6B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0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1D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5EA92">
            <w:pPr>
              <w:rPr>
                <w:rFonts w:hint="eastAsia" w:ascii="宋体" w:hAnsi="宋体" w:eastAsia="宋体" w:cs="宋体"/>
                <w:i w:val="0"/>
                <w:iCs w:val="0"/>
                <w:color w:val="000000"/>
                <w:sz w:val="18"/>
                <w:szCs w:val="18"/>
                <w:u w:val="none"/>
              </w:rPr>
            </w:pPr>
          </w:p>
        </w:tc>
      </w:tr>
      <w:tr w14:paraId="4C29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E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87B7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100分</w:t>
            </w:r>
          </w:p>
        </w:tc>
      </w:tr>
    </w:tbl>
    <w:p w14:paraId="643746A3">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1BB79B00">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23A457F9">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77D52656">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7A2CFF49">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4347CEAF">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596758AD">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19421292">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528A0661">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2857D1AE">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0FEEF17E">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2912929D">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21194465">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default" w:ascii="仿宋_GB2312" w:hAnsi="仿宋_GB2312" w:eastAsia="仿宋_GB2312"/>
          <w:color w:val="0070C0"/>
          <w:kern w:val="2"/>
          <w:sz w:val="32"/>
          <w:szCs w:val="24"/>
          <w:lang w:val="en-US"/>
        </w:rPr>
      </w:pPr>
      <w:r>
        <w:rPr>
          <w:rFonts w:hint="eastAsia" w:ascii="仿宋_GB2312" w:hAnsi="仿宋_GB2312" w:eastAsia="仿宋_GB2312" w:cs="仿宋_GB2312"/>
          <w:sz w:val="32"/>
          <w:szCs w:val="32"/>
          <w:lang w:val="en-US" w:eastAsia="zh-CN"/>
        </w:rPr>
        <w:t>附表</w:t>
      </w:r>
      <w:r>
        <w:rPr>
          <w:rFonts w:hint="eastAsia" w:hAnsi="仿宋_GB2312" w:eastAsia="仿宋_GB2312" w:cs="仿宋_GB2312"/>
          <w:sz w:val="32"/>
          <w:szCs w:val="32"/>
          <w:lang w:val="en-US" w:eastAsia="zh-CN"/>
        </w:rPr>
        <w:t>10：</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65"/>
        <w:gridCol w:w="987"/>
        <w:gridCol w:w="1302"/>
        <w:gridCol w:w="396"/>
        <w:gridCol w:w="927"/>
        <w:gridCol w:w="396"/>
        <w:gridCol w:w="846"/>
        <w:gridCol w:w="486"/>
        <w:gridCol w:w="486"/>
        <w:gridCol w:w="1494"/>
      </w:tblGrid>
      <w:tr w14:paraId="54B8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35559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特困供养人员医疗救助项目支出绩效自评表（2024年度）</w:t>
            </w:r>
          </w:p>
        </w:tc>
      </w:tr>
      <w:tr w14:paraId="68C29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DEC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D62B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51081123T000008966104-特困供养人员医疗救助</w:t>
            </w:r>
          </w:p>
        </w:tc>
      </w:tr>
      <w:tr w14:paraId="5A61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CC9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F940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广元市昭化区民政局部门</w:t>
            </w:r>
          </w:p>
        </w:tc>
        <w:tc>
          <w:tcPr>
            <w:tcW w:w="386" w:type="pct"/>
            <w:tcBorders>
              <w:top w:val="nil"/>
              <w:left w:val="nil"/>
              <w:bottom w:val="nil"/>
              <w:right w:val="nil"/>
            </w:tcBorders>
            <w:shd w:val="clear" w:color="auto" w:fill="auto"/>
            <w:vAlign w:val="center"/>
          </w:tcPr>
          <w:p w14:paraId="2C3BFB6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66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w:t>
            </w:r>
          </w:p>
        </w:tc>
      </w:tr>
      <w:tr w14:paraId="080DF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C97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507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EC9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44626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EA6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47FF3">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E31CB">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F1C1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100%的比例予以救助，年度最高救助限额500元，确因病情需要，经区医保局研究审批后可适当提高救助额度，年度救助额度原则上不超过2000元；住院医疗救助。特困供养人员、孤儿按100%的比例予以救助，年度最高救助限额10000元。救助对象人数不低于200人。</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45C06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100%的比例予以救助，年度最高救助限额500元，确因病情需要，经区医保局研究审批后可适当提高救助额度，年度救助额度原则上不超过2000元；住院医疗救助。特困供养人员、孤儿按100%的比例予以救助，年度最高救助限额10000元。救助对象人数不低于200人。</w:t>
            </w:r>
          </w:p>
        </w:tc>
      </w:tr>
      <w:tr w14:paraId="454E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9EAA4">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29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29D2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100%的比例予以救助，年度最高救助限额500元，确因病情需要，经区医保局研究审批后可适当提高救助额度，年度救助额度原则上不超过2000元；住院医疗救助。特困供养人员、孤儿按100%的比例予以救助，年度最高救助限额10000元。救助对象人数不低于200人。</w:t>
            </w:r>
          </w:p>
        </w:tc>
      </w:tr>
      <w:tr w14:paraId="691F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8E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B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BC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A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A6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4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E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9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9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6EA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CD7C9">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B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25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4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33.09</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0C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4E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9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3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D115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6F0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DB630">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E6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6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1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33.09</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96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6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1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8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7F76E">
            <w:pPr>
              <w:rPr>
                <w:rFonts w:hint="eastAsia" w:ascii="黑体" w:hAnsi="黑体" w:eastAsia="黑体" w:cs="黑体"/>
                <w:i/>
                <w:iCs/>
                <w:color w:val="000000"/>
                <w:sz w:val="18"/>
                <w:szCs w:val="18"/>
                <w:u w:val="none"/>
              </w:rPr>
            </w:pPr>
          </w:p>
        </w:tc>
      </w:tr>
      <w:tr w14:paraId="7ACD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30DA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6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6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4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10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A5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B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9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572B">
            <w:pPr>
              <w:rPr>
                <w:rFonts w:hint="eastAsia" w:ascii="黑体" w:hAnsi="黑体" w:eastAsia="黑体" w:cs="黑体"/>
                <w:i/>
                <w:iCs/>
                <w:color w:val="000000"/>
                <w:sz w:val="18"/>
                <w:szCs w:val="18"/>
                <w:u w:val="none"/>
              </w:rPr>
            </w:pPr>
          </w:p>
        </w:tc>
      </w:tr>
      <w:tr w14:paraId="5074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813B4">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9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C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FD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13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5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D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5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6DF6A">
            <w:pPr>
              <w:rPr>
                <w:rFonts w:hint="eastAsia" w:ascii="黑体" w:hAnsi="黑体" w:eastAsia="黑体" w:cs="黑体"/>
                <w:i/>
                <w:iCs/>
                <w:color w:val="000000"/>
                <w:sz w:val="18"/>
                <w:szCs w:val="18"/>
                <w:u w:val="none"/>
              </w:rPr>
            </w:pPr>
          </w:p>
        </w:tc>
      </w:tr>
      <w:tr w14:paraId="7583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CC38B">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C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76C3">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BDBF0">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F28AD6">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A273">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2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5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B952B">
            <w:pPr>
              <w:rPr>
                <w:rFonts w:hint="eastAsia" w:ascii="黑体" w:hAnsi="黑体" w:eastAsia="黑体" w:cs="黑体"/>
                <w:i/>
                <w:iCs/>
                <w:color w:val="000000"/>
                <w:sz w:val="18"/>
                <w:szCs w:val="18"/>
                <w:u w:val="none"/>
              </w:rPr>
            </w:pPr>
          </w:p>
        </w:tc>
      </w:tr>
      <w:tr w14:paraId="3A48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D9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C2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4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7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B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4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9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D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3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6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6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68A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2FF6B">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8D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A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6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特困供养人员医疗救助人数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D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9A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B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7E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1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0B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E365">
            <w:pPr>
              <w:jc w:val="center"/>
              <w:rPr>
                <w:rFonts w:hint="eastAsia" w:ascii="微软雅黑" w:hAnsi="微软雅黑" w:eastAsia="微软雅黑" w:cs="微软雅黑"/>
                <w:i/>
                <w:iCs/>
                <w:color w:val="000000"/>
                <w:sz w:val="16"/>
                <w:szCs w:val="16"/>
                <w:u w:val="none"/>
              </w:rPr>
            </w:pPr>
          </w:p>
        </w:tc>
      </w:tr>
      <w:tr w14:paraId="5E19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D701F">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79D54">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C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0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特困救助对象认定准确率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A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A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5C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4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F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D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6EAF">
            <w:pPr>
              <w:jc w:val="center"/>
              <w:rPr>
                <w:rFonts w:hint="eastAsia" w:ascii="微软雅黑" w:hAnsi="微软雅黑" w:eastAsia="微软雅黑" w:cs="微软雅黑"/>
                <w:i/>
                <w:iCs/>
                <w:color w:val="000000"/>
                <w:sz w:val="16"/>
                <w:szCs w:val="16"/>
                <w:u w:val="none"/>
              </w:rPr>
            </w:pPr>
          </w:p>
        </w:tc>
      </w:tr>
      <w:tr w14:paraId="39CBE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25372">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35145">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3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0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D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D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5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C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C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2D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19D1">
            <w:pPr>
              <w:jc w:val="center"/>
              <w:rPr>
                <w:rFonts w:hint="eastAsia" w:ascii="微软雅黑" w:hAnsi="微软雅黑" w:eastAsia="微软雅黑" w:cs="微软雅黑"/>
                <w:i/>
                <w:iCs/>
                <w:color w:val="000000"/>
                <w:sz w:val="16"/>
                <w:szCs w:val="16"/>
                <w:u w:val="none"/>
              </w:rPr>
            </w:pPr>
          </w:p>
        </w:tc>
      </w:tr>
      <w:tr w14:paraId="23C0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8CED3">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08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A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B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维特困供养人员基本生活保障率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03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8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3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D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1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F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2059">
            <w:pPr>
              <w:jc w:val="center"/>
              <w:rPr>
                <w:rFonts w:hint="eastAsia" w:ascii="微软雅黑" w:hAnsi="微软雅黑" w:eastAsia="微软雅黑" w:cs="微软雅黑"/>
                <w:i/>
                <w:iCs/>
                <w:color w:val="000000"/>
                <w:sz w:val="16"/>
                <w:szCs w:val="16"/>
                <w:u w:val="none"/>
              </w:rPr>
            </w:pPr>
          </w:p>
        </w:tc>
      </w:tr>
      <w:tr w14:paraId="15CD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06949">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B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A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3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特困供养人员满意度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7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CE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B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D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1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C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F740">
            <w:pPr>
              <w:jc w:val="center"/>
              <w:rPr>
                <w:rFonts w:hint="eastAsia" w:ascii="微软雅黑" w:hAnsi="微软雅黑" w:eastAsia="微软雅黑" w:cs="微软雅黑"/>
                <w:i/>
                <w:iCs/>
                <w:color w:val="000000"/>
                <w:sz w:val="16"/>
                <w:szCs w:val="16"/>
                <w:u w:val="none"/>
              </w:rPr>
            </w:pPr>
          </w:p>
        </w:tc>
      </w:tr>
      <w:tr w14:paraId="328A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F0E0B">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F1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2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9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格控制特困救医疗资金</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BB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2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1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0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7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1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365D">
            <w:pPr>
              <w:jc w:val="center"/>
              <w:rPr>
                <w:rFonts w:hint="eastAsia" w:ascii="微软雅黑" w:hAnsi="微软雅黑" w:eastAsia="微软雅黑" w:cs="微软雅黑"/>
                <w:i/>
                <w:iCs/>
                <w:color w:val="000000"/>
                <w:sz w:val="16"/>
                <w:szCs w:val="16"/>
                <w:u w:val="none"/>
              </w:rPr>
            </w:pPr>
          </w:p>
        </w:tc>
      </w:tr>
      <w:tr w14:paraId="3525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2CC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EA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E38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19FE">
            <w:pPr>
              <w:rPr>
                <w:rFonts w:hint="eastAsia" w:ascii="宋体" w:hAnsi="宋体" w:eastAsia="宋体" w:cs="宋体"/>
                <w:i w:val="0"/>
                <w:iCs w:val="0"/>
                <w:color w:val="000000"/>
                <w:sz w:val="18"/>
                <w:szCs w:val="18"/>
                <w:u w:val="none"/>
              </w:rPr>
            </w:pPr>
          </w:p>
        </w:tc>
      </w:tr>
      <w:tr w14:paraId="4D75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1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F2AD9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有效保障了特困人群的医疗，得分100分</w:t>
            </w:r>
          </w:p>
        </w:tc>
      </w:tr>
    </w:tbl>
    <w:p w14:paraId="6650DE0D">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12D4751E">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3C099D7B">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5EB2BE16">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07C08417">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427C94C0">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7C5D646B">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4866A374">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16654048">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25BEFFFB">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1D977214">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248734D8">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default" w:ascii="仿宋_GB2312" w:hAnsi="仿宋_GB2312" w:eastAsia="仿宋_GB2312"/>
          <w:color w:val="0070C0"/>
          <w:kern w:val="2"/>
          <w:sz w:val="32"/>
          <w:szCs w:val="24"/>
          <w:lang w:val="en-US"/>
        </w:rPr>
      </w:pPr>
      <w:r>
        <w:rPr>
          <w:rFonts w:hint="eastAsia" w:ascii="仿宋_GB2312" w:hAnsi="仿宋_GB2312" w:eastAsia="仿宋_GB2312" w:cs="仿宋_GB2312"/>
          <w:sz w:val="32"/>
          <w:szCs w:val="32"/>
          <w:lang w:val="en-US" w:eastAsia="zh-CN"/>
        </w:rPr>
        <w:t>附表</w:t>
      </w:r>
      <w:r>
        <w:rPr>
          <w:rFonts w:hint="eastAsia" w:hAnsi="仿宋_GB2312" w:eastAsia="仿宋_GB2312" w:cs="仿宋_GB2312"/>
          <w:sz w:val="32"/>
          <w:szCs w:val="32"/>
          <w:lang w:val="en-US" w:eastAsia="zh-CN"/>
        </w:rPr>
        <w:t>11：</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29"/>
        <w:gridCol w:w="1052"/>
        <w:gridCol w:w="1365"/>
        <w:gridCol w:w="396"/>
        <w:gridCol w:w="988"/>
        <w:gridCol w:w="396"/>
        <w:gridCol w:w="666"/>
        <w:gridCol w:w="487"/>
        <w:gridCol w:w="397"/>
        <w:gridCol w:w="1509"/>
      </w:tblGrid>
      <w:tr w14:paraId="55345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F00C7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青牛峡社区公共服务设施补短板项目支出绩效自评表（2024年度）</w:t>
            </w:r>
          </w:p>
        </w:tc>
      </w:tr>
      <w:tr w14:paraId="295C0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452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3F50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51081124T000011689559-青牛峡社区公共服务设施补短板</w:t>
            </w:r>
          </w:p>
        </w:tc>
      </w:tr>
      <w:tr w14:paraId="33F4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450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15CB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广元市昭化区民政局部门</w:t>
            </w:r>
          </w:p>
        </w:tc>
        <w:tc>
          <w:tcPr>
            <w:tcW w:w="386" w:type="pct"/>
            <w:tcBorders>
              <w:top w:val="nil"/>
              <w:left w:val="nil"/>
              <w:bottom w:val="nil"/>
              <w:right w:val="nil"/>
            </w:tcBorders>
            <w:shd w:val="clear" w:color="auto" w:fill="auto"/>
            <w:vAlign w:val="center"/>
          </w:tcPr>
          <w:p w14:paraId="7763C60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B0A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w:t>
            </w:r>
          </w:p>
        </w:tc>
      </w:tr>
      <w:tr w14:paraId="5C13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2AE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157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4AE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7A85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4BD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156A8">
            <w:pP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B8D22">
            <w:pPr>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FE25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村级建制调整后，村的合并导致急需完善村党群公共服务中心党员活动室、村卫生室、便民服务站等，以适应村发展需要。</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962B5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村级建制调整后，村的合并导致急需完善村党群公共服务中心党员活动室、村卫生室、便民服务站等，以适应村发展需要。目前项目已经完成</w:t>
            </w:r>
          </w:p>
        </w:tc>
      </w:tr>
      <w:tr w14:paraId="15A7B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D3B5D">
            <w:pP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E6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E4FA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村级建制调整后，村的合并导致急需完善村党群公共服务中心党员活动室、村卫生室、便民服务站等，以适应村发展需要。</w:t>
            </w:r>
          </w:p>
        </w:tc>
      </w:tr>
      <w:tr w14:paraId="64FC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E2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8A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2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4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CE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1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F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2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9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8558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37E13">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E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5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9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9E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2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D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E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5533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1财政资金紧张，导致不能及时拨付预算执行率低。</w:t>
            </w:r>
          </w:p>
        </w:tc>
      </w:tr>
      <w:tr w14:paraId="6A3CB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912E6">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3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F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8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D4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7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A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6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4C15C">
            <w:pPr>
              <w:rPr>
                <w:rFonts w:hint="eastAsia" w:ascii="黑体" w:hAnsi="黑体" w:eastAsia="黑体" w:cs="黑体"/>
                <w:i/>
                <w:iCs/>
                <w:color w:val="000000"/>
                <w:sz w:val="18"/>
                <w:szCs w:val="18"/>
                <w:u w:val="none"/>
              </w:rPr>
            </w:pPr>
          </w:p>
        </w:tc>
      </w:tr>
      <w:tr w14:paraId="67B0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9F15D">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FB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2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F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B7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DB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2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8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D0A34">
            <w:pPr>
              <w:rPr>
                <w:rFonts w:hint="eastAsia" w:ascii="黑体" w:hAnsi="黑体" w:eastAsia="黑体" w:cs="黑体"/>
                <w:i/>
                <w:iCs/>
                <w:color w:val="000000"/>
                <w:sz w:val="18"/>
                <w:szCs w:val="18"/>
                <w:u w:val="none"/>
              </w:rPr>
            </w:pPr>
          </w:p>
        </w:tc>
      </w:tr>
      <w:tr w14:paraId="3685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783E1">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C4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5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0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BB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0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34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B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E3298">
            <w:pPr>
              <w:rPr>
                <w:rFonts w:hint="eastAsia" w:ascii="黑体" w:hAnsi="黑体" w:eastAsia="黑体" w:cs="黑体"/>
                <w:i/>
                <w:iCs/>
                <w:color w:val="000000"/>
                <w:sz w:val="18"/>
                <w:szCs w:val="18"/>
                <w:u w:val="none"/>
              </w:rPr>
            </w:pPr>
          </w:p>
        </w:tc>
      </w:tr>
      <w:tr w14:paraId="3D4D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12BE9">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B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422A">
            <w:pPr>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B56A">
            <w:pPr>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21533">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9AAC">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A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1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4958B">
            <w:pPr>
              <w:rPr>
                <w:rFonts w:hint="eastAsia" w:ascii="黑体" w:hAnsi="黑体" w:eastAsia="黑体" w:cs="黑体"/>
                <w:i/>
                <w:iCs/>
                <w:color w:val="000000"/>
                <w:sz w:val="18"/>
                <w:szCs w:val="18"/>
                <w:u w:val="none"/>
              </w:rPr>
            </w:pPr>
          </w:p>
        </w:tc>
      </w:tr>
      <w:tr w14:paraId="2A0CB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AD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3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6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4B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D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6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6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7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1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2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7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82B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F1FE1">
            <w:pPr>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CB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AC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A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社区服务设施建设项目个数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6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F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7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0C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4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1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1CF0">
            <w:pPr>
              <w:jc w:val="center"/>
              <w:rPr>
                <w:rFonts w:hint="eastAsia" w:ascii="微软雅黑" w:hAnsi="微软雅黑" w:eastAsia="微软雅黑" w:cs="微软雅黑"/>
                <w:i/>
                <w:iCs/>
                <w:color w:val="000000"/>
                <w:sz w:val="16"/>
                <w:szCs w:val="16"/>
                <w:u w:val="none"/>
              </w:rPr>
            </w:pPr>
          </w:p>
        </w:tc>
      </w:tr>
      <w:tr w14:paraId="05EE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C8F54">
            <w:pPr>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A0686">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B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5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社区服务设施工程合格率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E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5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3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A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A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6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171D">
            <w:pPr>
              <w:jc w:val="center"/>
              <w:rPr>
                <w:rFonts w:hint="eastAsia" w:ascii="微软雅黑" w:hAnsi="微软雅黑" w:eastAsia="微软雅黑" w:cs="微软雅黑"/>
                <w:i/>
                <w:iCs/>
                <w:color w:val="000000"/>
                <w:sz w:val="16"/>
                <w:szCs w:val="16"/>
                <w:u w:val="none"/>
              </w:rPr>
            </w:pPr>
          </w:p>
        </w:tc>
      </w:tr>
      <w:tr w14:paraId="1175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ECB96">
            <w:pPr>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45815">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8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C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项目按实施方案如期完成率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C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2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1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F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9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1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70FA">
            <w:pPr>
              <w:jc w:val="center"/>
              <w:rPr>
                <w:rFonts w:hint="eastAsia" w:ascii="微软雅黑" w:hAnsi="微软雅黑" w:eastAsia="微软雅黑" w:cs="微软雅黑"/>
                <w:i/>
                <w:iCs/>
                <w:color w:val="000000"/>
                <w:sz w:val="16"/>
                <w:szCs w:val="16"/>
                <w:u w:val="none"/>
              </w:rPr>
            </w:pPr>
          </w:p>
        </w:tc>
      </w:tr>
      <w:tr w14:paraId="3E52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27FF9">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7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F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8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完善基层社会治理体系是否有效</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3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9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9DE1">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D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4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BF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62F9">
            <w:pPr>
              <w:jc w:val="center"/>
              <w:rPr>
                <w:rFonts w:hint="eastAsia" w:ascii="微软雅黑" w:hAnsi="微软雅黑" w:eastAsia="微软雅黑" w:cs="微软雅黑"/>
                <w:i/>
                <w:iCs/>
                <w:color w:val="000000"/>
                <w:sz w:val="16"/>
                <w:szCs w:val="16"/>
                <w:u w:val="none"/>
              </w:rPr>
            </w:pPr>
          </w:p>
        </w:tc>
      </w:tr>
      <w:tr w14:paraId="133F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31B54">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C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D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4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E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0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9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5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F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7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9975">
            <w:pPr>
              <w:jc w:val="center"/>
              <w:rPr>
                <w:rFonts w:hint="eastAsia" w:ascii="微软雅黑" w:hAnsi="微软雅黑" w:eastAsia="微软雅黑" w:cs="微软雅黑"/>
                <w:i/>
                <w:iCs/>
                <w:color w:val="000000"/>
                <w:sz w:val="16"/>
                <w:szCs w:val="16"/>
                <w:u w:val="none"/>
              </w:rPr>
            </w:pPr>
          </w:p>
        </w:tc>
      </w:tr>
      <w:tr w14:paraId="43C4C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2A069">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6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46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C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A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E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A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C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01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D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4D57">
            <w:pPr>
              <w:jc w:val="center"/>
              <w:rPr>
                <w:rFonts w:hint="eastAsia" w:ascii="微软雅黑" w:hAnsi="微软雅黑" w:eastAsia="微软雅黑" w:cs="微软雅黑"/>
                <w:i/>
                <w:iCs/>
                <w:color w:val="000000"/>
                <w:sz w:val="16"/>
                <w:szCs w:val="16"/>
                <w:u w:val="none"/>
              </w:rPr>
            </w:pPr>
          </w:p>
        </w:tc>
      </w:tr>
      <w:tr w14:paraId="27A7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DEF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C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59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112B">
            <w:pPr>
              <w:rPr>
                <w:rFonts w:hint="eastAsia" w:ascii="宋体" w:hAnsi="宋体" w:eastAsia="宋体" w:cs="宋体"/>
                <w:i w:val="0"/>
                <w:iCs w:val="0"/>
                <w:color w:val="000000"/>
                <w:sz w:val="18"/>
                <w:szCs w:val="18"/>
                <w:u w:val="none"/>
              </w:rPr>
            </w:pPr>
          </w:p>
        </w:tc>
      </w:tr>
      <w:tr w14:paraId="5894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4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D9108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90分</w:t>
            </w:r>
          </w:p>
        </w:tc>
      </w:tr>
      <w:tr w14:paraId="5F36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B9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7600E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财政资金紧张，导致不能及时拨付预算执行率低。</w:t>
            </w:r>
          </w:p>
        </w:tc>
      </w:tr>
      <w:tr w14:paraId="3EFE3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49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67FD3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积极对接财政支付</w:t>
            </w:r>
          </w:p>
        </w:tc>
      </w:tr>
    </w:tbl>
    <w:p w14:paraId="4CC15267">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70CD1094">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4D6811E1">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2F8EE596">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1AA3EB50">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413EED95">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60823162">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416044EE">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56BC7642">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0FE169FC">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53213E37">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rPr>
      </w:pPr>
    </w:p>
    <w:p w14:paraId="36EB010E">
      <w:pPr>
        <w:pStyle w:val="8"/>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仿宋_GB2312" w:hAnsi="仿宋_GB2312" w:eastAsia="仿宋_GB2312"/>
          <w:color w:val="0070C0"/>
          <w:kern w:val="2"/>
          <w:sz w:val="32"/>
          <w:szCs w:val="24"/>
          <w:lang w:val="en-US" w:eastAsia="zh-CN"/>
        </w:rPr>
      </w:pPr>
      <w:r>
        <w:rPr>
          <w:rFonts w:hint="eastAsia" w:hAnsi="仿宋_GB2312" w:eastAsia="仿宋_GB2312"/>
          <w:color w:val="0070C0"/>
          <w:kern w:val="2"/>
          <w:sz w:val="32"/>
          <w:szCs w:val="24"/>
          <w:lang w:val="en-US" w:eastAsia="zh-CN"/>
        </w:rPr>
        <w:t>:</w:t>
      </w:r>
    </w:p>
    <w:p w14:paraId="1760E41F">
      <w:pPr>
        <w:pStyle w:val="6"/>
        <w:keepNext w:val="0"/>
        <w:keepLines w:val="0"/>
        <w:pageBreakBefore w:val="0"/>
        <w:widowControl w:val="0"/>
        <w:kinsoku/>
        <w:wordWrap/>
        <w:overflowPunct w:val="0"/>
        <w:topLinePunct/>
        <w:autoSpaceDE w:val="0"/>
        <w:autoSpaceDN w:val="0"/>
        <w:bidi w:val="0"/>
        <w:textAlignment w:val="auto"/>
        <w:outlineLvl w:val="0"/>
        <w:rPr>
          <w:rFonts w:hint="eastAsia" w:ascii="黑体" w:hAnsi="黑体" w:eastAsia="黑体" w:cs="黑体"/>
          <w:color w:val="auto"/>
          <w:sz w:val="32"/>
          <w:szCs w:val="32"/>
          <w:highlight w:val="none"/>
          <w:lang w:val="en-US" w:eastAsia="zh-CN"/>
        </w:rPr>
      </w:pPr>
      <w:bookmarkStart w:id="66" w:name="_Toc6499"/>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bookmarkEnd w:id="66"/>
    </w:p>
    <w:p w14:paraId="2B29DDD4">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广元市昭化区民政局</w:t>
      </w:r>
    </w:p>
    <w:p w14:paraId="380E96CF">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32"/>
          <w:szCs w:val="32"/>
          <w:lang w:val="en-US" w:eastAsia="zh-CN"/>
        </w:rPr>
      </w:pPr>
      <w:r>
        <w:rPr>
          <w:rFonts w:hint="eastAsia" w:ascii="方正小标宋简体" w:hAnsi="方正小标宋简体" w:eastAsia="方正小标宋简体" w:cs="方正小标宋简体"/>
          <w:spacing w:val="0"/>
          <w:sz w:val="44"/>
          <w:szCs w:val="44"/>
          <w:lang w:val="en-US" w:eastAsia="zh-CN"/>
        </w:rPr>
        <w:t>2024年绿色惠民殡葬项目绩</w:t>
      </w:r>
      <w:r>
        <w:rPr>
          <w:rFonts w:hint="eastAsia" w:ascii="方正小标宋简体" w:hAnsi="方正小标宋简体" w:eastAsia="方正小标宋简体" w:cs="方正小标宋简体"/>
          <w:spacing w:val="0"/>
          <w:sz w:val="44"/>
          <w:szCs w:val="44"/>
        </w:rPr>
        <w:t>效自评报告</w:t>
      </w:r>
    </w:p>
    <w:p w14:paraId="27A3259A">
      <w:pPr>
        <w:keepNext w:val="0"/>
        <w:keepLines w:val="0"/>
        <w:pageBreakBefore w:val="0"/>
        <w:widowControl w:val="0"/>
        <w:numPr>
          <w:ilvl w:val="0"/>
          <w:numId w:val="0"/>
        </w:numPr>
        <w:kinsoku/>
        <w:wordWrap/>
        <w:overflowPunct/>
        <w:topLinePunct w:val="0"/>
        <w:autoSpaceDE/>
        <w:autoSpaceDN/>
        <w:bidi w:val="0"/>
        <w:adjustRightInd/>
        <w:snapToGrid/>
        <w:spacing w:afterAutospacing="0" w:line="42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p>
    <w:p w14:paraId="17075EE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一、项目（政策）概况</w:t>
      </w:r>
    </w:p>
    <w:p w14:paraId="564AD64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zh-CN"/>
        </w:rPr>
      </w:pPr>
      <w:r>
        <w:rPr>
          <w:rFonts w:hint="default" w:ascii="楷体_GB2312" w:hAnsi="楷体_GB2312" w:eastAsia="楷体_GB2312" w:cs="楷体_GB2312"/>
          <w:b w:val="0"/>
          <w:bCs w:val="0"/>
          <w:kern w:val="2"/>
          <w:sz w:val="32"/>
          <w:szCs w:val="32"/>
          <w:highlight w:val="none"/>
          <w:lang w:val="zh-CN" w:eastAsia="zh-CN"/>
        </w:rPr>
        <w:t>（一）设立背景及基本情况。</w:t>
      </w:r>
      <w:r>
        <w:rPr>
          <w:rFonts w:hint="default" w:ascii="Times New Roman" w:hAnsi="Times New Roman" w:eastAsia="仿宋_GB2312" w:cs="Times New Roman"/>
          <w:b w:val="0"/>
          <w:bCs w:val="0"/>
          <w:color w:val="000000"/>
          <w:sz w:val="32"/>
          <w:szCs w:val="32"/>
          <w:highlight w:val="none"/>
          <w:lang w:val="zh-CN"/>
        </w:rPr>
        <w:t>为深化殡葬改革，减轻群众办丧负担，依据《国家基本公共服务体系“十三五”规划》、民政部《关于全面推行惠民殡葬政策的指导意见》（民发〔2012〕211号）、省民政厅等11部门《关于推行节地生态安葬的通知》（川民发〔2016〕126号）等文件精神，广元市昭化区制定了绿色惠民殡葬服务补贴政策。该政策主要内容为对符合条件的逝者家庭提供基本殡葬服务补贴，包括接运遗体、冷藏、火化等项目。区民政局作为项目主管部门，负责政策的实施、审核以及资金发放等管理工作。</w:t>
      </w:r>
    </w:p>
    <w:p w14:paraId="11B25A08">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zh-CN" w:eastAsia="zh-CN" w:bidi="ar-SA"/>
        </w:rPr>
      </w:pPr>
      <w:r>
        <w:rPr>
          <w:rFonts w:hint="default" w:ascii="楷体_GB2312" w:hAnsi="楷体_GB2312" w:eastAsia="楷体_GB2312" w:cs="楷体_GB2312"/>
          <w:b w:val="0"/>
          <w:bCs w:val="0"/>
          <w:kern w:val="2"/>
          <w:sz w:val="32"/>
          <w:szCs w:val="32"/>
          <w:highlight w:val="none"/>
          <w:lang w:val="zh-CN" w:eastAsia="zh-CN" w:bidi="ar-SA"/>
        </w:rPr>
        <w:t>（二）实施目的及支持方向。</w:t>
      </w:r>
      <w:r>
        <w:rPr>
          <w:rFonts w:hint="default" w:ascii="Times New Roman" w:hAnsi="Times New Roman" w:eastAsia="仿宋_GB2312" w:cs="Times New Roman"/>
          <w:b w:val="0"/>
          <w:bCs w:val="0"/>
          <w:color w:val="000000"/>
          <w:kern w:val="2"/>
          <w:sz w:val="32"/>
          <w:szCs w:val="32"/>
          <w:highlight w:val="none"/>
          <w:lang w:val="zh-CN" w:eastAsia="zh-CN" w:bidi="ar-SA"/>
        </w:rPr>
        <w:t>制定了相关资金管理办法，明确资金使用规范。项目实施目的在于推进实现基本殡葬服务的普惠性、均等化，为实行遗体火化的逝者家庭提供政策范围内的基本殡葬服务。主要工作任务包括新申请人员认定、补贴费用发放以及政策宣传等。</w:t>
      </w:r>
    </w:p>
    <w:p w14:paraId="33FBEAFC">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zh-CN" w:eastAsia="zh-CN" w:bidi="ar-SA"/>
        </w:rPr>
      </w:pPr>
      <w:r>
        <w:rPr>
          <w:rFonts w:hint="default" w:ascii="楷体_GB2312" w:hAnsi="楷体_GB2312" w:eastAsia="楷体_GB2312" w:cs="楷体_GB2312"/>
          <w:b w:val="0"/>
          <w:bCs w:val="0"/>
          <w:kern w:val="2"/>
          <w:sz w:val="32"/>
          <w:szCs w:val="32"/>
          <w:highlight w:val="none"/>
          <w:lang w:val="zh-CN" w:eastAsia="zh-CN"/>
        </w:rPr>
        <w:t>（三）预算安排及分配管理。</w:t>
      </w:r>
      <w:r>
        <w:rPr>
          <w:rFonts w:hint="default" w:ascii="Times New Roman" w:hAnsi="Times New Roman" w:eastAsia="仿宋_GB2312" w:cs="Times New Roman"/>
          <w:b w:val="0"/>
          <w:bCs w:val="0"/>
          <w:color w:val="000000"/>
          <w:kern w:val="2"/>
          <w:sz w:val="32"/>
          <w:szCs w:val="32"/>
          <w:highlight w:val="none"/>
          <w:lang w:val="zh-CN" w:eastAsia="zh-CN" w:bidi="ar-SA"/>
        </w:rPr>
        <w:t>2024年该项目申请资金总额35万元，其中申请财政资金27万元。资金分配按照补贴标准执行，即基本殡葬服务补贴每具800元，特殊绿色骨灰安葬方式每具1500元。资金分配主要考虑逝者数量及选择的殡葬方式。截止评价日，部分资金已到位并用于前期补贴发放，但由于火化率增加等因素，存在资金不足情况，可能需要年中追加预算。</w:t>
      </w:r>
    </w:p>
    <w:p w14:paraId="6D443102">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zh-CN" w:eastAsia="zh-CN" w:bidi="ar-SA"/>
        </w:rPr>
      </w:pPr>
      <w:r>
        <w:rPr>
          <w:rFonts w:hint="default" w:ascii="楷体_GB2312" w:hAnsi="楷体_GB2312" w:eastAsia="楷体_GB2312" w:cs="楷体_GB2312"/>
          <w:b w:val="0"/>
          <w:bCs w:val="0"/>
          <w:kern w:val="2"/>
          <w:sz w:val="32"/>
          <w:szCs w:val="32"/>
          <w:highlight w:val="none"/>
          <w:lang w:val="zh-CN" w:eastAsia="zh-CN"/>
        </w:rPr>
        <w:t>（四）项目绩效目标设置。</w:t>
      </w:r>
      <w:r>
        <w:rPr>
          <w:rFonts w:hint="default" w:ascii="Times New Roman" w:hAnsi="Times New Roman" w:eastAsia="仿宋_GB2312" w:cs="Times New Roman"/>
          <w:b w:val="0"/>
          <w:bCs w:val="0"/>
          <w:color w:val="000000"/>
          <w:kern w:val="2"/>
          <w:sz w:val="32"/>
          <w:szCs w:val="32"/>
          <w:highlight w:val="none"/>
          <w:lang w:val="zh-CN" w:eastAsia="zh-CN" w:bidi="ar-SA"/>
        </w:rPr>
        <w:t>项目整体绩效目标为完成2024年度区域内符合政策范围内的逝者家庭基本殡葬服务，推进实现基本殡葬服务的普惠性、均等化，新申请人员认定准确，补贴费用据实据效补助到位，享受人员及社会满意度达98%以上。区域和具体绩效目标围绕补贴人数、资金发放等细化。项目自评工作由区民政局组织开展，通过收集资料、审核数据等方式进行。</w:t>
      </w:r>
    </w:p>
    <w:p w14:paraId="6A74B98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二、评价实施</w:t>
      </w:r>
    </w:p>
    <w:p w14:paraId="7F53BDA9">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zh-CN" w:eastAsia="zh-CN" w:bidi="ar-SA"/>
        </w:rPr>
      </w:pPr>
      <w:r>
        <w:rPr>
          <w:rFonts w:hint="default" w:ascii="楷体_GB2312" w:hAnsi="楷体_GB2312" w:eastAsia="楷体_GB2312" w:cs="楷体_GB2312"/>
          <w:b w:val="0"/>
          <w:bCs w:val="0"/>
          <w:kern w:val="2"/>
          <w:sz w:val="32"/>
          <w:szCs w:val="32"/>
          <w:highlight w:val="none"/>
          <w:lang w:val="zh-CN" w:eastAsia="zh-CN"/>
        </w:rPr>
        <w:t>（一）评价组织。</w:t>
      </w:r>
      <w:r>
        <w:rPr>
          <w:rFonts w:hint="default" w:ascii="Times New Roman" w:hAnsi="Times New Roman" w:eastAsia="仿宋_GB2312" w:cs="Times New Roman"/>
          <w:b w:val="0"/>
          <w:bCs w:val="0"/>
          <w:color w:val="000000"/>
          <w:kern w:val="2"/>
          <w:sz w:val="32"/>
          <w:szCs w:val="32"/>
          <w:highlight w:val="none"/>
          <w:lang w:val="zh-CN" w:eastAsia="zh-CN" w:bidi="ar-SA"/>
        </w:rPr>
        <w:t>单位评价组由区民政局相关业务股室人员、财务人员以及部分镇民政工作人员组成。职责分工为：业务股室人员负责政策执行情况审核，财务人员负责资金管理和使用情况核查，镇民政工作人员协助收集基层数据和反馈情况。</w:t>
      </w:r>
    </w:p>
    <w:p w14:paraId="641D10F1">
      <w:pPr>
        <w:pStyle w:val="6"/>
        <w:keepNext w:val="0"/>
        <w:keepLines w:val="0"/>
        <w:pageBreakBefore w:val="0"/>
        <w:widowControl w:val="0"/>
        <w:kinsoku/>
        <w:wordWrap/>
        <w:overflowPunct/>
        <w:topLinePunct w:val="0"/>
        <w:autoSpaceDE/>
        <w:autoSpaceDN/>
        <w:bidi w:val="0"/>
        <w:adjustRightInd/>
        <w:spacing w:beforeLines="0" w:line="576"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zh-CN" w:eastAsia="zh-CN" w:bidi="ar-SA"/>
        </w:rPr>
      </w:pPr>
      <w:r>
        <w:rPr>
          <w:rFonts w:hint="default" w:ascii="楷体_GB2312" w:hAnsi="楷体_GB2312" w:eastAsia="楷体_GB2312" w:cs="楷体_GB2312"/>
          <w:b w:val="0"/>
          <w:bCs w:val="0"/>
          <w:kern w:val="2"/>
          <w:sz w:val="32"/>
          <w:szCs w:val="32"/>
          <w:highlight w:val="none"/>
          <w:lang w:val="en-US" w:eastAsia="zh-CN" w:bidi="ar-SA"/>
        </w:rPr>
        <w:t>（二）评价目的。</w:t>
      </w:r>
      <w:r>
        <w:rPr>
          <w:rFonts w:hint="default" w:ascii="Times New Roman" w:hAnsi="Times New Roman" w:eastAsia="仿宋_GB2312" w:cs="Times New Roman"/>
          <w:b w:val="0"/>
          <w:bCs w:val="0"/>
          <w:color w:val="000000"/>
          <w:kern w:val="2"/>
          <w:sz w:val="32"/>
          <w:szCs w:val="32"/>
          <w:highlight w:val="none"/>
          <w:lang w:val="en-US" w:eastAsia="zh-CN" w:bidi="ar-SA"/>
        </w:rPr>
        <w:t>通过项目绩效自评，全面了解绿色惠民殡葬项目（政策）的实施效果，评估政策目标的实现程度、资金使用的合规性和有效性，发现存在的问题并提出改进建议，以提高项目管理水平和政策实施效益，更好地满足群众基本殡葬服务需求。</w:t>
      </w:r>
    </w:p>
    <w:p w14:paraId="5327F29B">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zh-CN" w:eastAsia="zh-CN" w:bidi="ar-SA"/>
        </w:rPr>
      </w:pPr>
      <w:r>
        <w:rPr>
          <w:rFonts w:hint="default" w:ascii="楷体_GB2312" w:hAnsi="楷体_GB2312" w:eastAsia="楷体_GB2312" w:cs="楷体_GB2312"/>
          <w:b w:val="0"/>
          <w:bCs w:val="0"/>
          <w:kern w:val="2"/>
          <w:sz w:val="32"/>
          <w:szCs w:val="32"/>
          <w:highlight w:val="none"/>
          <w:lang w:val="zh-CN" w:eastAsia="zh-CN"/>
        </w:rPr>
        <w:t>（三）评价选点。</w:t>
      </w:r>
      <w:r>
        <w:rPr>
          <w:rFonts w:hint="default" w:ascii="Times New Roman" w:hAnsi="Times New Roman" w:eastAsia="仿宋_GB2312" w:cs="Times New Roman"/>
          <w:b w:val="0"/>
          <w:bCs w:val="0"/>
          <w:color w:val="000000"/>
          <w:kern w:val="2"/>
          <w:sz w:val="32"/>
          <w:szCs w:val="32"/>
          <w:highlight w:val="none"/>
          <w:lang w:val="zh-CN" w:eastAsia="zh-CN" w:bidi="ar-SA"/>
        </w:rPr>
        <w:t>本次绩效自评抽样点位覆盖全区多个镇，选取了不同人口规模、经济发展水平的区域，以确保评价结果具有代表性。同时，对不同类型的殡葬服务机构也进行了抽样调查，包括区殡仪服务中心及部分市内殡仪馆。</w:t>
      </w:r>
    </w:p>
    <w:p w14:paraId="1521A046">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zh-CN" w:eastAsia="zh-CN" w:bidi="ar-SA"/>
        </w:rPr>
      </w:pPr>
      <w:r>
        <w:rPr>
          <w:rFonts w:hint="default" w:ascii="楷体_GB2312" w:hAnsi="楷体_GB2312" w:eastAsia="楷体_GB2312" w:cs="楷体_GB2312"/>
          <w:b w:val="0"/>
          <w:bCs w:val="0"/>
          <w:kern w:val="2"/>
          <w:sz w:val="32"/>
          <w:szCs w:val="32"/>
          <w:highlight w:val="none"/>
          <w:lang w:val="zh-CN" w:eastAsia="zh-CN"/>
        </w:rPr>
        <w:t>（四）评价方法。</w:t>
      </w:r>
      <w:r>
        <w:rPr>
          <w:rFonts w:hint="default" w:ascii="Times New Roman" w:hAnsi="Times New Roman" w:eastAsia="仿宋_GB2312" w:cs="Times New Roman"/>
          <w:b w:val="0"/>
          <w:bCs w:val="0"/>
          <w:color w:val="000000"/>
          <w:kern w:val="2"/>
          <w:sz w:val="32"/>
          <w:szCs w:val="32"/>
          <w:highlight w:val="none"/>
          <w:lang w:val="zh-CN" w:eastAsia="zh-CN" w:bidi="ar-SA"/>
        </w:rPr>
        <w:t>采用多种评价方法：成本效益分析法，对比项目投入资金与所产生的社会效益；案卷研究法，查阅政策文件、申请审批表等资料；单位自评法，由项目实施单位对自身工作进行总结评价；实地勘察法，到殡葬服务机构和部分逝者家庭实地了解情况；问卷调查法，向享受补贴的逝者家庭发放问卷，收集满意度等信息；座谈调研法，与镇民政工作人员、殡葬服务机构工作人员等进行座谈，了解政策执行中的问题和建议。</w:t>
      </w:r>
    </w:p>
    <w:p w14:paraId="0ACEBEA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黑体" w:hAnsi="黑体" w:eastAsia="黑体" w:cs="黑体"/>
          <w:b w:val="0"/>
          <w:bCs w:val="0"/>
          <w:sz w:val="32"/>
          <w:szCs w:val="32"/>
          <w:lang w:val="zh-CN" w:eastAsia="zh-CN"/>
        </w:rPr>
      </w:pPr>
      <w:r>
        <w:rPr>
          <w:rFonts w:hint="default" w:ascii="黑体" w:hAnsi="黑体" w:eastAsia="黑体" w:cs="黑体"/>
          <w:b w:val="0"/>
          <w:bCs w:val="0"/>
          <w:sz w:val="32"/>
          <w:szCs w:val="32"/>
          <w:lang w:val="zh-CN" w:eastAsia="zh-CN"/>
        </w:rPr>
        <w:t>三、绩效分析</w:t>
      </w:r>
    </w:p>
    <w:p w14:paraId="799C55C9">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jc w:val="both"/>
        <w:textAlignment w:val="auto"/>
        <w:rPr>
          <w:rFonts w:hint="default" w:ascii="楷体_GB2312" w:hAnsi="楷体_GB2312" w:eastAsia="楷体_GB2312" w:cs="楷体_GB2312"/>
          <w:b w:val="0"/>
          <w:bCs w:val="0"/>
          <w:kern w:val="2"/>
          <w:sz w:val="32"/>
          <w:szCs w:val="32"/>
          <w:highlight w:val="none"/>
          <w:lang w:val="zh-CN" w:eastAsia="zh-CN" w:bidi="ar-SA"/>
        </w:rPr>
      </w:pPr>
      <w:r>
        <w:rPr>
          <w:rFonts w:hint="default" w:ascii="楷体_GB2312" w:hAnsi="楷体_GB2312" w:eastAsia="楷体_GB2312" w:cs="楷体_GB2312"/>
          <w:b w:val="0"/>
          <w:bCs w:val="0"/>
          <w:kern w:val="2"/>
          <w:sz w:val="32"/>
          <w:szCs w:val="32"/>
          <w:highlight w:val="none"/>
          <w:lang w:val="zh-CN" w:eastAsia="zh-CN" w:bidi="ar-SA"/>
        </w:rPr>
        <w:t>（一）通用绩效指标分析</w:t>
      </w:r>
    </w:p>
    <w:p w14:paraId="32ED38EA">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仿宋_GB2312" w:cs="Times New Roman"/>
          <w:b w:val="0"/>
          <w:bCs w:val="0"/>
          <w:kern w:val="2"/>
          <w:sz w:val="32"/>
          <w:szCs w:val="32"/>
          <w:highlight w:val="none"/>
          <w:lang w:val="zh-CN"/>
        </w:rPr>
        <w:t>项目决策：政策出台程序较为严密，依据充分，经过了深入的规划论证，相关制度完备，确保了项目决策的科学性和合理性。</w:t>
      </w:r>
    </w:p>
    <w:p w14:paraId="0286E0BF">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仿宋_GB2312" w:cs="Times New Roman"/>
          <w:b w:val="0"/>
          <w:bCs w:val="0"/>
          <w:kern w:val="2"/>
          <w:sz w:val="32"/>
          <w:szCs w:val="32"/>
          <w:highlight w:val="none"/>
          <w:lang w:val="zh-CN"/>
        </w:rPr>
        <w:t>项目实施：资金分配基本按照规定标准执行，但由于部分特殊情况，存在一定的调整。资金使用总体合规，但在发放过程中，因人员信息核实等问题，导致部分补贴发放不够及时。执行过程中，与镇、村（居）的协调沟通仍需加强，以提高工作效率。</w:t>
      </w:r>
    </w:p>
    <w:p w14:paraId="4375B88A">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仿宋_GB2312" w:cs="Times New Roman"/>
          <w:b w:val="0"/>
          <w:bCs w:val="0"/>
          <w:kern w:val="2"/>
          <w:sz w:val="32"/>
          <w:szCs w:val="32"/>
          <w:highlight w:val="none"/>
          <w:lang w:val="zh-CN"/>
        </w:rPr>
        <w:t xml:space="preserve">完成结果：目标完成方面，部分符合条件的逝者家庭已享受补贴，但由于资金不足等原因，仍有部分补贴未发放到位。预算完成率较低，主要是因为实际补贴人数超出预期，导致资金缺口较大。完成时效上，补贴发放存在延迟情况，未能完全按照计划时间完成。资金结余因未发放补贴而存在，但不能满足全部需求。 </w:t>
      </w:r>
    </w:p>
    <w:p w14:paraId="111D6B31">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仿宋_GB2312" w:cs="Times New Roman"/>
          <w:b w:val="0"/>
          <w:bCs w:val="0"/>
          <w:kern w:val="2"/>
          <w:sz w:val="32"/>
          <w:szCs w:val="32"/>
          <w:highlight w:val="none"/>
          <w:lang w:val="zh-CN"/>
        </w:rPr>
        <w:t>政策协同：该政策与其他民生保障政策同向相关，补贴对象精准确定，补贴标准合理，在一定程度上减轻了群众负担。但在与其他部门的协同合作上，如与公安、财政等部门的数据共享和工作衔接方面，还存在不足。</w:t>
      </w:r>
    </w:p>
    <w:p w14:paraId="5AEF660E">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jc w:val="both"/>
        <w:textAlignment w:val="auto"/>
        <w:rPr>
          <w:rFonts w:hint="default" w:ascii="楷体_GB2312" w:hAnsi="楷体_GB2312" w:eastAsia="楷体_GB2312" w:cs="楷体_GB2312"/>
          <w:b w:val="0"/>
          <w:bCs w:val="0"/>
          <w:kern w:val="2"/>
          <w:sz w:val="32"/>
          <w:szCs w:val="32"/>
          <w:highlight w:val="none"/>
          <w:lang w:val="zh-CN" w:eastAsia="zh-CN" w:bidi="ar-SA"/>
        </w:rPr>
      </w:pPr>
      <w:r>
        <w:rPr>
          <w:rFonts w:hint="default" w:ascii="楷体_GB2312" w:hAnsi="楷体_GB2312" w:eastAsia="楷体_GB2312" w:cs="楷体_GB2312"/>
          <w:b w:val="0"/>
          <w:bCs w:val="0"/>
          <w:kern w:val="2"/>
          <w:sz w:val="32"/>
          <w:szCs w:val="32"/>
          <w:highlight w:val="none"/>
          <w:lang w:val="zh-CN" w:eastAsia="zh-CN" w:bidi="ar-SA"/>
        </w:rPr>
        <w:t xml:space="preserve">（二）专用绩效指标分析 </w:t>
      </w:r>
    </w:p>
    <w:p w14:paraId="7561BD59">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仿宋_GB2312" w:cs="Times New Roman"/>
          <w:b w:val="0"/>
          <w:bCs w:val="0"/>
          <w:kern w:val="2"/>
          <w:sz w:val="32"/>
          <w:szCs w:val="32"/>
          <w:highlight w:val="none"/>
          <w:lang w:val="zh-CN"/>
        </w:rPr>
        <w:t>民生保障：在区域均衡性上，不同镇之间的补贴落实情况存在一定差异，经济相对落后的镇在政策宣传和执行力度上有待加强。对象公平方面，严格按照政策规定确定补贴对象，确保了公平公正。群众满意度通过问卷调查显示，总体满意度较高，但仍有部分群众对补贴标准和发放流程存在疑问。</w:t>
      </w:r>
    </w:p>
    <w:p w14:paraId="115C046F">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jc w:val="both"/>
        <w:textAlignment w:val="auto"/>
        <w:rPr>
          <w:rFonts w:hint="default" w:ascii="楷体_GB2312" w:hAnsi="楷体_GB2312" w:eastAsia="楷体_GB2312" w:cs="楷体_GB2312"/>
          <w:b w:val="0"/>
          <w:bCs w:val="0"/>
          <w:kern w:val="2"/>
          <w:sz w:val="32"/>
          <w:szCs w:val="32"/>
          <w:highlight w:val="none"/>
          <w:lang w:val="zh-CN" w:eastAsia="zh-CN" w:bidi="ar-SA"/>
        </w:rPr>
      </w:pPr>
      <w:r>
        <w:rPr>
          <w:rFonts w:hint="default" w:ascii="楷体_GB2312" w:hAnsi="楷体_GB2312" w:eastAsia="楷体_GB2312" w:cs="楷体_GB2312"/>
          <w:b w:val="0"/>
          <w:bCs w:val="0"/>
          <w:kern w:val="2"/>
          <w:sz w:val="32"/>
          <w:szCs w:val="32"/>
          <w:highlight w:val="none"/>
          <w:lang w:val="zh-CN" w:eastAsia="zh-CN" w:bidi="ar-SA"/>
        </w:rPr>
        <w:t>（三）特性指标绩效分析</w:t>
      </w:r>
    </w:p>
    <w:p w14:paraId="6E8D5C2C">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仿宋_GB2312" w:cs="Times New Roman"/>
          <w:b w:val="0"/>
          <w:bCs w:val="0"/>
          <w:kern w:val="2"/>
          <w:sz w:val="32"/>
          <w:szCs w:val="32"/>
          <w:highlight w:val="none"/>
          <w:lang w:val="zh-CN"/>
        </w:rPr>
        <w:t>在民生保障方面，基础管理上，人员信息审核、档案管理等工作基本规范，但信息化建设相对滞后，影响工作效率。社会效益方面，该政策的实施有效减轻了群众办丧负担，推进了殡葬改革，促进了绿色殡葬理念的传播，但在改变群众传统殡葬观念上，还需要进一步加强宣传引导。</w:t>
      </w:r>
    </w:p>
    <w:p w14:paraId="71F88E99">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仿宋_GB2312" w:cs="Times New Roman"/>
          <w:b w:val="0"/>
          <w:bCs w:val="0"/>
          <w:kern w:val="2"/>
          <w:sz w:val="32"/>
          <w:szCs w:val="32"/>
          <w:highlight w:val="none"/>
          <w:lang w:val="zh-CN"/>
        </w:rPr>
        <w:t>（四）个性指标绩效分析</w:t>
      </w:r>
    </w:p>
    <w:p w14:paraId="0E1EB4CA">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仿宋_GB2312" w:cs="Times New Roman"/>
          <w:b w:val="0"/>
          <w:bCs w:val="0"/>
          <w:kern w:val="2"/>
          <w:sz w:val="32"/>
          <w:szCs w:val="32"/>
          <w:highlight w:val="none"/>
          <w:lang w:val="zh-CN"/>
        </w:rPr>
        <w:t>自行设定“政策宣传覆盖范围”指标，通过统计政策宣传资料发放数量、宣传活动开展次数等，评估政策宣传效果。目前来看，政策宣传覆盖范围较广，但宣传方式的针对性和有效性还需提高，部分群众对政策的了解仍不够深入。</w:t>
      </w:r>
    </w:p>
    <w:p w14:paraId="0F46CF3C">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firstLine="640" w:firstLineChars="200"/>
        <w:jc w:val="both"/>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w:t>
      </w:r>
      <w:r>
        <w:rPr>
          <w:rFonts w:hint="default" w:ascii="黑体" w:hAnsi="黑体" w:eastAsia="黑体" w:cs="黑体"/>
          <w:b w:val="0"/>
          <w:bCs w:val="0"/>
          <w:kern w:val="2"/>
          <w:sz w:val="32"/>
          <w:szCs w:val="32"/>
          <w:lang w:val="en-US" w:eastAsia="zh-CN" w:bidi="ar-SA"/>
        </w:rPr>
        <w:t>评价结论</w:t>
      </w:r>
    </w:p>
    <w:p w14:paraId="6EF329F9">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lang w:val="en-US" w:eastAsia="zh-CN"/>
        </w:rPr>
      </w:pPr>
      <w:r>
        <w:rPr>
          <w:rFonts w:hint="default" w:ascii="Times New Roman" w:hAnsi="Times New Roman" w:eastAsia="仿宋_GB2312" w:cs="Times New Roman"/>
          <w:b w:val="0"/>
          <w:bCs w:val="0"/>
          <w:kern w:val="2"/>
          <w:sz w:val="32"/>
          <w:szCs w:val="32"/>
          <w:highlight w:val="none"/>
          <w:lang w:val="en-US" w:eastAsia="zh-CN"/>
        </w:rPr>
        <w:t>经综合评价，该专项预算项目（政策）绩效自</w:t>
      </w:r>
      <w:r>
        <w:rPr>
          <w:rFonts w:hint="default" w:ascii="Times New Roman" w:hAnsi="Times New Roman" w:eastAsia="仿宋_GB2312" w:cs="Times New Roman"/>
          <w:b w:val="0"/>
          <w:bCs w:val="0"/>
          <w:color w:val="auto"/>
          <w:kern w:val="2"/>
          <w:sz w:val="32"/>
          <w:szCs w:val="32"/>
          <w:highlight w:val="none"/>
          <w:lang w:val="en-US" w:eastAsia="zh-CN"/>
        </w:rPr>
        <w:t>评总分为95分。项目在推进基本殡葬服务普惠性、均等化方面取得</w:t>
      </w:r>
      <w:r>
        <w:rPr>
          <w:rFonts w:hint="default" w:ascii="Times New Roman" w:hAnsi="Times New Roman" w:eastAsia="仿宋_GB2312" w:cs="Times New Roman"/>
          <w:b w:val="0"/>
          <w:bCs w:val="0"/>
          <w:kern w:val="2"/>
          <w:sz w:val="32"/>
          <w:szCs w:val="32"/>
          <w:highlight w:val="none"/>
          <w:lang w:val="en-US" w:eastAsia="zh-CN"/>
        </w:rPr>
        <w:t>了一定成效，部分符合条件的逝者家庭得到了补贴，减轻了办丧负担。但也存在资金不足、补贴发放不及时、政策协同不够紧密等问题。总体而言，项目实施情况有待进一步改进和完善。</w:t>
      </w:r>
    </w:p>
    <w:p w14:paraId="3192E7E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黑体" w:hAnsi="黑体" w:eastAsia="黑体" w:cs="黑体"/>
          <w:b w:val="0"/>
          <w:bCs w:val="0"/>
          <w:sz w:val="32"/>
          <w:szCs w:val="32"/>
          <w:lang w:val="zh-CN" w:eastAsia="zh-CN"/>
        </w:rPr>
      </w:pPr>
      <w:r>
        <w:rPr>
          <w:rFonts w:hint="default" w:ascii="黑体" w:hAnsi="黑体" w:eastAsia="黑体" w:cs="黑体"/>
          <w:b w:val="0"/>
          <w:bCs w:val="0"/>
          <w:sz w:val="32"/>
          <w:szCs w:val="32"/>
          <w:lang w:val="zh-CN" w:eastAsia="zh-CN"/>
        </w:rPr>
        <w:t>五、存在主要问题。</w:t>
      </w:r>
    </w:p>
    <w:p w14:paraId="4472DEC1">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仿宋_GB2312" w:cs="Times New Roman"/>
          <w:b w:val="0"/>
          <w:bCs w:val="0"/>
          <w:kern w:val="2"/>
          <w:sz w:val="32"/>
          <w:szCs w:val="32"/>
          <w:highlight w:val="none"/>
          <w:lang w:val="zh-CN"/>
        </w:rPr>
        <w:t>（一）资金预算不足，随着全区火化率不断提高，申请补贴人数超出预期，导致资金缺口较大，补贴不能当年据实据效补贴到位，影响政策实施效果。</w:t>
      </w:r>
    </w:p>
    <w:p w14:paraId="159A2FF8">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仿宋_GB2312" w:cs="Times New Roman"/>
          <w:b w:val="0"/>
          <w:bCs w:val="0"/>
          <w:kern w:val="2"/>
          <w:sz w:val="32"/>
          <w:szCs w:val="32"/>
          <w:highlight w:val="none"/>
          <w:lang w:val="zh-CN"/>
        </w:rPr>
        <w:t xml:space="preserve">（二）是补贴发放流程繁琐，人员信息核实难度较大，导致补贴发放延迟，降低了群众满意度。 </w:t>
      </w:r>
    </w:p>
    <w:p w14:paraId="36123F68">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仿宋_GB2312" w:cs="Times New Roman"/>
          <w:b w:val="0"/>
          <w:bCs w:val="0"/>
          <w:kern w:val="2"/>
          <w:sz w:val="32"/>
          <w:szCs w:val="32"/>
          <w:highlight w:val="none"/>
          <w:lang w:val="zh-CN"/>
        </w:rPr>
        <w:t>（三）部门间协同合作不够顺畅，数据共享不及时，影响工作效率和政策执行的准确性。</w:t>
      </w:r>
    </w:p>
    <w:p w14:paraId="6B5CD9C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黑体" w:hAnsi="黑体" w:eastAsia="黑体" w:cs="黑体"/>
          <w:b w:val="0"/>
          <w:bCs w:val="0"/>
          <w:sz w:val="32"/>
          <w:szCs w:val="32"/>
          <w:lang w:val="zh-CN" w:eastAsia="zh-CN"/>
        </w:rPr>
      </w:pPr>
      <w:r>
        <w:rPr>
          <w:rFonts w:hint="default" w:ascii="黑体" w:hAnsi="黑体" w:eastAsia="黑体" w:cs="黑体"/>
          <w:b w:val="0"/>
          <w:bCs w:val="0"/>
          <w:sz w:val="32"/>
          <w:szCs w:val="32"/>
          <w:lang w:val="zh-CN" w:eastAsia="zh-CN"/>
        </w:rPr>
        <w:t>六、改进建议</w:t>
      </w:r>
    </w:p>
    <w:p w14:paraId="3B88CDFA">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eastAsia" w:ascii="楷体_GB2312" w:hAnsi="楷体_GB2312" w:eastAsia="楷体_GB2312" w:cs="楷体_GB2312"/>
          <w:b w:val="0"/>
          <w:bCs w:val="0"/>
          <w:kern w:val="2"/>
          <w:sz w:val="32"/>
          <w:szCs w:val="32"/>
          <w:highlight w:val="none"/>
          <w:lang w:val="zh-CN" w:eastAsia="zh-CN"/>
        </w:rPr>
        <w:t>（一）</w:t>
      </w:r>
      <w:r>
        <w:rPr>
          <w:rFonts w:hint="eastAsia" w:ascii="楷体_GB2312" w:hAnsi="楷体_GB2312" w:eastAsia="楷体_GB2312" w:cs="楷体_GB2312"/>
          <w:b w:val="0"/>
          <w:bCs w:val="0"/>
          <w:kern w:val="2"/>
          <w:sz w:val="32"/>
          <w:szCs w:val="32"/>
          <w:highlight w:val="none"/>
          <w:lang w:val="zh-CN"/>
        </w:rPr>
        <w:t>预算安排。</w:t>
      </w:r>
      <w:r>
        <w:rPr>
          <w:rFonts w:hint="default" w:ascii="Times New Roman" w:hAnsi="Times New Roman" w:eastAsia="仿宋_GB2312" w:cs="Times New Roman"/>
          <w:b w:val="0"/>
          <w:bCs w:val="0"/>
          <w:kern w:val="2"/>
          <w:sz w:val="32"/>
          <w:szCs w:val="32"/>
          <w:highlight w:val="none"/>
          <w:lang w:val="zh-CN"/>
        </w:rPr>
        <w:t>根据历年火化率和补贴申请情况，科学合理地预测下一年度补贴人数，适当增加预算金额，确保补贴资金充足。同时，建立预算动态调整机制，根据实际情况及时追加预算。</w:t>
      </w:r>
    </w:p>
    <w:p w14:paraId="234D8C9F">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zh-CN"/>
        </w:rPr>
      </w:pPr>
      <w:r>
        <w:rPr>
          <w:rFonts w:hint="default" w:ascii="楷体_GB2312" w:hAnsi="楷体_GB2312" w:eastAsia="楷体_GB2312" w:cs="楷体_GB2312"/>
          <w:b w:val="0"/>
          <w:bCs w:val="0"/>
          <w:kern w:val="2"/>
          <w:sz w:val="32"/>
          <w:szCs w:val="32"/>
          <w:highlight w:val="none"/>
          <w:lang w:val="zh-CN" w:eastAsia="zh-CN"/>
        </w:rPr>
        <w:t>（二）完善政策。</w:t>
      </w:r>
      <w:r>
        <w:rPr>
          <w:rFonts w:hint="default" w:ascii="Times New Roman" w:hAnsi="Times New Roman" w:eastAsia="仿宋_GB2312" w:cs="Times New Roman"/>
          <w:b w:val="0"/>
          <w:bCs w:val="0"/>
          <w:kern w:val="2"/>
          <w:sz w:val="32"/>
          <w:szCs w:val="32"/>
          <w:highlight w:val="none"/>
          <w:lang w:val="zh-CN"/>
        </w:rPr>
        <w:t>简化补贴发放流程，利用信息化手段，加强部门间数据共享，提高人员信息核实效率。进一步明确补贴标准和范围，避免因政策理解不一致导致的问题。</w:t>
      </w:r>
    </w:p>
    <w:p w14:paraId="4893CA45">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i/>
          <w:color w:val="auto"/>
          <w:kern w:val="2"/>
          <w:sz w:val="32"/>
          <w:szCs w:val="32"/>
          <w:lang w:val="en-US"/>
        </w:rPr>
      </w:pPr>
      <w:r>
        <w:rPr>
          <w:rFonts w:hint="default" w:ascii="楷体_GB2312" w:hAnsi="楷体_GB2312" w:eastAsia="楷体_GB2312" w:cs="楷体_GB2312"/>
          <w:b w:val="0"/>
          <w:bCs w:val="0"/>
          <w:kern w:val="2"/>
          <w:sz w:val="32"/>
          <w:szCs w:val="32"/>
          <w:highlight w:val="none"/>
          <w:lang w:val="zh-CN" w:eastAsia="zh-CN"/>
        </w:rPr>
        <w:t>（三）改进管理。</w:t>
      </w:r>
      <w:r>
        <w:rPr>
          <w:rFonts w:hint="default" w:ascii="Times New Roman" w:hAnsi="Times New Roman" w:eastAsia="仿宋_GB2312" w:cs="Times New Roman"/>
          <w:b w:val="0"/>
          <w:bCs w:val="0"/>
          <w:kern w:val="2"/>
          <w:sz w:val="32"/>
          <w:szCs w:val="32"/>
          <w:highlight w:val="none"/>
          <w:lang w:val="zh-CN"/>
        </w:rPr>
        <w:t>加强部门间沟通协调，建立定期联席会议制度，及时解决工作中存在的问题。加大政策宣传力度，创新宣传方式，通过社区讲座、新媒体平台等多种渠道，提高群众对政策的知晓率和理解度。同时，加强对项目实施过程的监督和管理，确保补贴资金专款专用，提高资金使用效益</w:t>
      </w:r>
      <w:r>
        <w:rPr>
          <w:rFonts w:hint="eastAsia" w:eastAsia="仿宋_GB2312" w:cs="Times New Roman"/>
          <w:b w:val="0"/>
          <w:bCs w:val="0"/>
          <w:kern w:val="2"/>
          <w:sz w:val="32"/>
          <w:szCs w:val="32"/>
          <w:highlight w:val="none"/>
          <w:lang w:val="zh-CN"/>
        </w:rPr>
        <w:t>。</w:t>
      </w:r>
    </w:p>
    <w:p w14:paraId="094EC998">
      <w:pPr>
        <w:keepNext w:val="0"/>
        <w:keepLines w:val="0"/>
        <w:pageBreakBefore w:val="0"/>
        <w:widowControl w:val="0"/>
        <w:kinsoku/>
        <w:wordWrap/>
        <w:overflowPunct w:val="0"/>
        <w:topLinePunct/>
        <w:autoSpaceDE w:val="0"/>
        <w:autoSpaceDN w:val="0"/>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p>
    <w:p w14:paraId="7300D2FF">
      <w:pPr>
        <w:keepNext w:val="0"/>
        <w:keepLines w:val="0"/>
        <w:pageBreakBefore w:val="0"/>
        <w:widowControl w:val="0"/>
        <w:kinsoku/>
        <w:wordWrap/>
        <w:overflowPunct w:val="0"/>
        <w:topLinePunct/>
        <w:autoSpaceDE w:val="0"/>
        <w:autoSpaceDN w:val="0"/>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附表：2024年绿色惠民殡葬项目支出绩效自评表</w:t>
      </w:r>
    </w:p>
    <w:p w14:paraId="036C4D87">
      <w:pPr>
        <w:pStyle w:val="6"/>
        <w:rPr>
          <w:rFonts w:hint="eastAsia" w:eastAsia="仿宋_GB2312" w:cs="仿宋_GB2312"/>
          <w:b w:val="0"/>
          <w:bCs w:val="0"/>
          <w:kern w:val="0"/>
          <w:position w:val="0"/>
          <w:sz w:val="32"/>
          <w:szCs w:val="32"/>
          <w:highlight w:val="none"/>
          <w:lang w:val="en-US" w:eastAsia="zh-CN" w:bidi="ar-SA"/>
        </w:rPr>
      </w:pPr>
    </w:p>
    <w:p w14:paraId="3E656430">
      <w:pPr>
        <w:pStyle w:val="6"/>
        <w:rPr>
          <w:rFonts w:hint="eastAsia" w:eastAsia="仿宋_GB2312" w:cs="仿宋_GB2312"/>
          <w:b w:val="0"/>
          <w:bCs w:val="0"/>
          <w:kern w:val="0"/>
          <w:position w:val="0"/>
          <w:sz w:val="32"/>
          <w:szCs w:val="32"/>
          <w:highlight w:val="none"/>
          <w:lang w:val="en-US" w:eastAsia="zh-CN" w:bidi="ar-SA"/>
        </w:rPr>
      </w:pPr>
    </w:p>
    <w:p w14:paraId="69D729BE">
      <w:pPr>
        <w:pStyle w:val="6"/>
        <w:rPr>
          <w:rFonts w:hint="eastAsia" w:eastAsia="仿宋_GB2312" w:cs="仿宋_GB2312"/>
          <w:b w:val="0"/>
          <w:bCs w:val="0"/>
          <w:kern w:val="0"/>
          <w:position w:val="0"/>
          <w:sz w:val="32"/>
          <w:szCs w:val="32"/>
          <w:highlight w:val="none"/>
          <w:lang w:val="en-US" w:eastAsia="zh-CN" w:bidi="ar-SA"/>
        </w:rPr>
      </w:pPr>
    </w:p>
    <w:p w14:paraId="218E515A">
      <w:pPr>
        <w:pStyle w:val="6"/>
        <w:rPr>
          <w:rFonts w:hint="eastAsia" w:eastAsia="仿宋_GB2312" w:cs="仿宋_GB2312"/>
          <w:b w:val="0"/>
          <w:bCs w:val="0"/>
          <w:kern w:val="0"/>
          <w:position w:val="0"/>
          <w:sz w:val="32"/>
          <w:szCs w:val="32"/>
          <w:highlight w:val="none"/>
          <w:lang w:val="en-US" w:eastAsia="zh-CN" w:bidi="ar-SA"/>
        </w:rPr>
      </w:pPr>
    </w:p>
    <w:p w14:paraId="5DE0D8D6">
      <w:pPr>
        <w:pStyle w:val="6"/>
        <w:rPr>
          <w:rFonts w:hint="eastAsia" w:eastAsia="仿宋_GB2312" w:cs="仿宋_GB2312"/>
          <w:b w:val="0"/>
          <w:bCs w:val="0"/>
          <w:kern w:val="0"/>
          <w:position w:val="0"/>
          <w:sz w:val="32"/>
          <w:szCs w:val="32"/>
          <w:highlight w:val="none"/>
          <w:lang w:val="en-US" w:eastAsia="zh-CN" w:bidi="ar-SA"/>
        </w:rPr>
      </w:pPr>
    </w:p>
    <w:p w14:paraId="1AE1BCAF">
      <w:pPr>
        <w:pStyle w:val="6"/>
        <w:rPr>
          <w:rFonts w:hint="eastAsia" w:eastAsia="仿宋_GB2312" w:cs="仿宋_GB2312"/>
          <w:b w:val="0"/>
          <w:bCs w:val="0"/>
          <w:kern w:val="0"/>
          <w:position w:val="0"/>
          <w:sz w:val="32"/>
          <w:szCs w:val="32"/>
          <w:highlight w:val="none"/>
          <w:lang w:val="en-US" w:eastAsia="zh-CN" w:bidi="ar-SA"/>
        </w:rPr>
      </w:pPr>
    </w:p>
    <w:p w14:paraId="68C4560C">
      <w:pPr>
        <w:pStyle w:val="6"/>
        <w:rPr>
          <w:rFonts w:hint="eastAsia" w:eastAsia="仿宋_GB2312" w:cs="仿宋_GB2312"/>
          <w:b w:val="0"/>
          <w:bCs w:val="0"/>
          <w:kern w:val="0"/>
          <w:position w:val="0"/>
          <w:sz w:val="32"/>
          <w:szCs w:val="32"/>
          <w:highlight w:val="none"/>
          <w:lang w:val="en-US" w:eastAsia="zh-CN" w:bidi="ar-SA"/>
        </w:rPr>
      </w:pPr>
    </w:p>
    <w:p w14:paraId="447EB90F">
      <w:pPr>
        <w:pStyle w:val="6"/>
        <w:rPr>
          <w:rFonts w:hint="eastAsia" w:eastAsia="仿宋_GB2312" w:cs="仿宋_GB2312"/>
          <w:b w:val="0"/>
          <w:bCs w:val="0"/>
          <w:kern w:val="0"/>
          <w:position w:val="0"/>
          <w:sz w:val="32"/>
          <w:szCs w:val="32"/>
          <w:highlight w:val="none"/>
          <w:lang w:val="en-US" w:eastAsia="zh-CN" w:bidi="ar-SA"/>
        </w:rPr>
      </w:pPr>
    </w:p>
    <w:p w14:paraId="3C614951">
      <w:pPr>
        <w:pStyle w:val="6"/>
        <w:rPr>
          <w:rFonts w:hint="eastAsia" w:eastAsia="仿宋_GB2312" w:cs="仿宋_GB2312"/>
          <w:b w:val="0"/>
          <w:bCs w:val="0"/>
          <w:kern w:val="0"/>
          <w:position w:val="0"/>
          <w:sz w:val="32"/>
          <w:szCs w:val="32"/>
          <w:highlight w:val="none"/>
          <w:lang w:val="en-US" w:eastAsia="zh-CN" w:bidi="ar-SA"/>
        </w:rPr>
      </w:pPr>
    </w:p>
    <w:p w14:paraId="35A9519C">
      <w:pPr>
        <w:pStyle w:val="6"/>
        <w:rPr>
          <w:rFonts w:hint="eastAsia" w:eastAsia="仿宋_GB2312" w:cs="仿宋_GB2312"/>
          <w:b w:val="0"/>
          <w:bCs w:val="0"/>
          <w:kern w:val="0"/>
          <w:position w:val="0"/>
          <w:sz w:val="32"/>
          <w:szCs w:val="32"/>
          <w:highlight w:val="none"/>
          <w:lang w:val="en-US" w:eastAsia="zh-CN" w:bidi="ar-SA"/>
        </w:rPr>
      </w:pPr>
    </w:p>
    <w:p w14:paraId="61D78E5A">
      <w:pPr>
        <w:pStyle w:val="6"/>
        <w:rPr>
          <w:rFonts w:hint="eastAsia" w:eastAsia="仿宋_GB2312" w:cs="仿宋_GB2312"/>
          <w:b w:val="0"/>
          <w:bCs w:val="0"/>
          <w:kern w:val="0"/>
          <w:position w:val="0"/>
          <w:sz w:val="32"/>
          <w:szCs w:val="32"/>
          <w:highlight w:val="none"/>
          <w:lang w:val="en-US" w:eastAsia="zh-CN" w:bidi="ar-SA"/>
        </w:rPr>
      </w:pPr>
    </w:p>
    <w:p w14:paraId="1A6839C5">
      <w:pPr>
        <w:pStyle w:val="6"/>
        <w:rPr>
          <w:rFonts w:hint="eastAsia" w:eastAsia="仿宋_GB2312" w:cs="仿宋_GB2312"/>
          <w:b w:val="0"/>
          <w:bCs w:val="0"/>
          <w:kern w:val="0"/>
          <w:position w:val="0"/>
          <w:sz w:val="32"/>
          <w:szCs w:val="32"/>
          <w:highlight w:val="none"/>
          <w:lang w:val="en-US" w:eastAsia="zh-CN" w:bidi="ar-SA"/>
        </w:rPr>
      </w:pPr>
    </w:p>
    <w:p w14:paraId="3272C36D">
      <w:pPr>
        <w:pStyle w:val="6"/>
        <w:rPr>
          <w:rFonts w:hint="eastAsia" w:eastAsia="仿宋_GB2312" w:cs="仿宋_GB2312"/>
          <w:b w:val="0"/>
          <w:bCs w:val="0"/>
          <w:kern w:val="0"/>
          <w:position w:val="0"/>
          <w:sz w:val="32"/>
          <w:szCs w:val="32"/>
          <w:highlight w:val="none"/>
          <w:lang w:val="en-US" w:eastAsia="zh-CN" w:bidi="ar-SA"/>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11"/>
        <w:gridCol w:w="941"/>
        <w:gridCol w:w="1243"/>
        <w:gridCol w:w="396"/>
        <w:gridCol w:w="876"/>
        <w:gridCol w:w="756"/>
        <w:gridCol w:w="846"/>
        <w:gridCol w:w="486"/>
        <w:gridCol w:w="396"/>
        <w:gridCol w:w="1434"/>
      </w:tblGrid>
      <w:tr w14:paraId="59AD6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7FF42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73D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210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F3DB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51081122T000007066986-绿色惠民殡葬补助</w:t>
            </w:r>
          </w:p>
        </w:tc>
      </w:tr>
      <w:tr w14:paraId="1B08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FEB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8C4D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广元市昭化区民政局部门</w:t>
            </w:r>
          </w:p>
        </w:tc>
        <w:tc>
          <w:tcPr>
            <w:tcW w:w="383" w:type="pct"/>
            <w:tcBorders>
              <w:top w:val="nil"/>
              <w:left w:val="nil"/>
              <w:bottom w:val="nil"/>
              <w:right w:val="nil"/>
            </w:tcBorders>
            <w:shd w:val="clear" w:color="auto" w:fill="auto"/>
            <w:vAlign w:val="center"/>
          </w:tcPr>
          <w:p w14:paraId="5D5AF2C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DA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w:t>
            </w:r>
          </w:p>
        </w:tc>
      </w:tr>
      <w:tr w14:paraId="5A4F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C20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889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CA1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C0FB2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0C1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B27F2">
            <w:pPr>
              <w:rPr>
                <w:rFonts w:hint="eastAsia" w:ascii="宋体" w:hAnsi="宋体" w:eastAsia="宋体" w:cs="宋体"/>
                <w:i w:val="0"/>
                <w:iCs w:val="0"/>
                <w:color w:val="000000"/>
                <w:sz w:val="18"/>
                <w:szCs w:val="18"/>
                <w:u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9AEED">
            <w:pPr>
              <w:rPr>
                <w:rFonts w:hint="eastAsia" w:ascii="宋体" w:hAnsi="宋体" w:eastAsia="宋体" w:cs="宋体"/>
                <w:i w:val="0"/>
                <w:iCs w:val="0"/>
                <w:color w:val="000000"/>
                <w:sz w:val="18"/>
                <w:szCs w:val="18"/>
                <w:u w:val="none"/>
              </w:rPr>
            </w:pPr>
          </w:p>
        </w:tc>
        <w:tc>
          <w:tcPr>
            <w:tcW w:w="24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A4A4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辖区内农村五保对象、城乡低保对象、城镇“三无”人员、重点优抚对象死亡后，由当地殡葬部门负责接运遗体、提供冷藏（24小时）、火化、丧服、骨灰盒及寄存、公墓骨灰安葬服务。接运遗体、提供冷藏（24小时）、火化、丧服、骨灰盒及寄存等基本殡葬救助标准不低于800元，公墓骨灰安葬救助标准不高于1500元。根据《民政部关于进一步深化殡葬改革促进殡葬事业科学发展的指导意见》（民发〔2009〕170号）精神，按照“保基本、广覆盖、可持续”原则，建立起从重点对象起步，逐步扩展到向辖区所有居民提供免费基本殡葬服务，将殡葬救助经费纳入同级财政预算。</w:t>
            </w:r>
          </w:p>
        </w:tc>
        <w:tc>
          <w:tcPr>
            <w:tcW w:w="16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B84E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辖区内农村五保对象、城乡低保对象、城镇“三无”人员、重点优抚对象死亡后，由当地殡葬部门负责接运遗体、提供冷藏（24小时）、火化、丧服、骨灰盒及寄存、公墓骨灰安葬服务。接运遗体、提供冷藏（24小时）、火化、丧服、骨灰盒及寄存等基本殡葬救助标准不低于800元，公墓骨灰安葬救助标准不高于1500元。根据《民政部关于进一步深化殡葬改革促进殡葬事业科学发展的指导意见》（民发〔2009〕170号）精神，按照“保基本、广覆盖、可持续”原则，建立起从重点对象起步，逐步扩展到向辖区所有居民提供免费基本殡葬服务，将殡葬救助经费纳入同级财政预算。</w:t>
            </w:r>
          </w:p>
        </w:tc>
      </w:tr>
      <w:tr w14:paraId="000A3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06E7E">
            <w:pP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35A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BC4F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辖区内农村五保对象、城乡低保对象、城镇“三无”人员、重点优抚对象死亡后，由当地殡葬部门负责接运遗体、提供冷藏（24小时）、火化、丧服、骨灰盒及寄存、公墓骨灰安葬服务。接运遗体、提供冷藏（24小时）、火化、丧服、骨灰盒及寄存等基本殡葬救助标准不低于800元，公墓骨灰安葬救助标准不高于1500元。根据《民政部关于进一步深化殡葬改革促进殡葬事业科学发展的指导意见》（民发〔2009〕170号）精神，按照“保基本、广覆盖、可持续”原则，建立起从重点对象起步，逐步扩展到向辖区所有居民提供免费基本殡葬服务，将殡葬救助经费纳入同级财政预算。</w:t>
            </w:r>
          </w:p>
        </w:tc>
      </w:tr>
      <w:tr w14:paraId="6D2E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65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7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9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8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5A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C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A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2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6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7AA3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BDD28">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E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E5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1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28.63</w:t>
            </w:r>
          </w:p>
        </w:tc>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83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9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7E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D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CF85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19C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462B9">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9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6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0A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28.63</w:t>
            </w:r>
          </w:p>
        </w:tc>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49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D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2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F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0FF7A">
            <w:pPr>
              <w:rPr>
                <w:rFonts w:hint="eastAsia" w:ascii="黑体" w:hAnsi="黑体" w:eastAsia="黑体" w:cs="黑体"/>
                <w:i/>
                <w:iCs/>
                <w:color w:val="000000"/>
                <w:sz w:val="18"/>
                <w:szCs w:val="18"/>
                <w:u w:val="none"/>
              </w:rPr>
            </w:pPr>
          </w:p>
        </w:tc>
      </w:tr>
      <w:tr w14:paraId="3A3C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33AFE">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3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B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0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71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6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C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B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C31C2">
            <w:pPr>
              <w:rPr>
                <w:rFonts w:hint="eastAsia" w:ascii="黑体" w:hAnsi="黑体" w:eastAsia="黑体" w:cs="黑体"/>
                <w:i/>
                <w:iCs/>
                <w:color w:val="000000"/>
                <w:sz w:val="18"/>
                <w:szCs w:val="18"/>
                <w:u w:val="none"/>
              </w:rPr>
            </w:pPr>
          </w:p>
        </w:tc>
      </w:tr>
      <w:tr w14:paraId="1C39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7C502">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A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F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5C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6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0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7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FA09B">
            <w:pPr>
              <w:rPr>
                <w:rFonts w:hint="eastAsia" w:ascii="黑体" w:hAnsi="黑体" w:eastAsia="黑体" w:cs="黑体"/>
                <w:i/>
                <w:iCs/>
                <w:color w:val="000000"/>
                <w:sz w:val="18"/>
                <w:szCs w:val="18"/>
                <w:u w:val="none"/>
              </w:rPr>
            </w:pPr>
          </w:p>
        </w:tc>
      </w:tr>
      <w:tr w14:paraId="20DA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27366">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F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35A1">
            <w:pPr>
              <w:jc w:val="center"/>
              <w:rPr>
                <w:rFonts w:hint="eastAsia" w:ascii="微软雅黑" w:hAnsi="微软雅黑" w:eastAsia="微软雅黑" w:cs="微软雅黑"/>
                <w:i/>
                <w:iCs/>
                <w:color w:val="000000"/>
                <w:sz w:val="16"/>
                <w:szCs w:val="16"/>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B232">
            <w:pPr>
              <w:jc w:val="center"/>
              <w:rPr>
                <w:rFonts w:hint="eastAsia" w:ascii="微软雅黑" w:hAnsi="微软雅黑" w:eastAsia="微软雅黑" w:cs="微软雅黑"/>
                <w:i/>
                <w:iCs/>
                <w:color w:val="000000"/>
                <w:sz w:val="16"/>
                <w:szCs w:val="16"/>
                <w:u w:val="none"/>
              </w:rPr>
            </w:pPr>
          </w:p>
        </w:tc>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E9B2E">
            <w:pPr>
              <w:jc w:val="center"/>
              <w:rPr>
                <w:rFonts w:hint="eastAsia" w:ascii="微软雅黑" w:hAnsi="微软雅黑" w:eastAsia="微软雅黑" w:cs="微软雅黑"/>
                <w:i/>
                <w:iCs/>
                <w:color w:val="000000"/>
                <w:sz w:val="16"/>
                <w:szCs w:val="16"/>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39D4">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3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C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6DE37">
            <w:pPr>
              <w:rPr>
                <w:rFonts w:hint="eastAsia" w:ascii="黑体" w:hAnsi="黑体" w:eastAsia="黑体" w:cs="黑体"/>
                <w:i/>
                <w:iCs/>
                <w:color w:val="000000"/>
                <w:sz w:val="18"/>
                <w:szCs w:val="18"/>
                <w:u w:val="none"/>
              </w:rPr>
            </w:pPr>
          </w:p>
        </w:tc>
      </w:tr>
      <w:tr w14:paraId="1E77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6D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7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7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5F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B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B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3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8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7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5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6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23A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6191B">
            <w:pPr>
              <w:jc w:val="center"/>
              <w:rPr>
                <w:rFonts w:hint="eastAsia" w:ascii="宋体" w:hAnsi="宋体" w:eastAsia="宋体" w:cs="宋体"/>
                <w:i w:val="0"/>
                <w:iCs w:val="0"/>
                <w:color w:val="000000"/>
                <w:sz w:val="18"/>
                <w:szCs w:val="18"/>
                <w:u w:val="none"/>
              </w:rPr>
            </w:pP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87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7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0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补助人数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0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F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8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17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1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E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1971">
            <w:pPr>
              <w:jc w:val="center"/>
              <w:rPr>
                <w:rFonts w:hint="eastAsia" w:ascii="微软雅黑" w:hAnsi="微软雅黑" w:eastAsia="微软雅黑" w:cs="微软雅黑"/>
                <w:i/>
                <w:iCs/>
                <w:color w:val="000000"/>
                <w:sz w:val="16"/>
                <w:szCs w:val="16"/>
                <w:u w:val="none"/>
              </w:rPr>
            </w:pPr>
          </w:p>
        </w:tc>
      </w:tr>
      <w:tr w14:paraId="0640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7FBAB">
            <w:pPr>
              <w:jc w:val="center"/>
              <w:rPr>
                <w:rFonts w:hint="eastAsia" w:ascii="宋体" w:hAnsi="宋体" w:eastAsia="宋体" w:cs="宋体"/>
                <w:i w:val="0"/>
                <w:iCs w:val="0"/>
                <w:color w:val="000000"/>
                <w:sz w:val="18"/>
                <w:szCs w:val="18"/>
                <w:u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05174">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B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2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补助发放足额率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C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F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9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7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5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10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A3D0">
            <w:pPr>
              <w:jc w:val="center"/>
              <w:rPr>
                <w:rFonts w:hint="eastAsia" w:ascii="微软雅黑" w:hAnsi="微软雅黑" w:eastAsia="微软雅黑" w:cs="微软雅黑"/>
                <w:i/>
                <w:iCs/>
                <w:color w:val="000000"/>
                <w:sz w:val="16"/>
                <w:szCs w:val="16"/>
                <w:u w:val="none"/>
              </w:rPr>
            </w:pPr>
          </w:p>
        </w:tc>
      </w:tr>
      <w:tr w14:paraId="42A3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F0106">
            <w:pPr>
              <w:jc w:val="center"/>
              <w:rPr>
                <w:rFonts w:hint="eastAsia" w:ascii="宋体" w:hAnsi="宋体" w:eastAsia="宋体" w:cs="宋体"/>
                <w:i w:val="0"/>
                <w:iCs w:val="0"/>
                <w:color w:val="000000"/>
                <w:sz w:val="18"/>
                <w:szCs w:val="18"/>
                <w:u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F7D2C">
            <w:pPr>
              <w:jc w:val="center"/>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F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3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资金下拨及时率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F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3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F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7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1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B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053F">
            <w:pPr>
              <w:jc w:val="center"/>
              <w:rPr>
                <w:rFonts w:hint="eastAsia" w:ascii="微软雅黑" w:hAnsi="微软雅黑" w:eastAsia="微软雅黑" w:cs="微软雅黑"/>
                <w:i/>
                <w:iCs/>
                <w:color w:val="000000"/>
                <w:sz w:val="16"/>
                <w:szCs w:val="16"/>
                <w:u w:val="none"/>
              </w:rPr>
            </w:pPr>
          </w:p>
        </w:tc>
      </w:tr>
      <w:tr w14:paraId="2D28D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7381F">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F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A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E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困难殡葬补助政策知晓率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5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2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F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D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E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A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483F">
            <w:pPr>
              <w:jc w:val="center"/>
              <w:rPr>
                <w:rFonts w:hint="eastAsia" w:ascii="微软雅黑" w:hAnsi="微软雅黑" w:eastAsia="微软雅黑" w:cs="微软雅黑"/>
                <w:i/>
                <w:iCs/>
                <w:color w:val="000000"/>
                <w:sz w:val="16"/>
                <w:szCs w:val="16"/>
                <w:u w:val="none"/>
              </w:rPr>
            </w:pPr>
          </w:p>
        </w:tc>
      </w:tr>
      <w:tr w14:paraId="4C53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D802A">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1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F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9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殡葬救助受助群众满意度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1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4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A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2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7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EC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E549">
            <w:pPr>
              <w:jc w:val="center"/>
              <w:rPr>
                <w:rFonts w:hint="eastAsia" w:ascii="微软雅黑" w:hAnsi="微软雅黑" w:eastAsia="微软雅黑" w:cs="微软雅黑"/>
                <w:i/>
                <w:iCs/>
                <w:color w:val="000000"/>
                <w:sz w:val="16"/>
                <w:szCs w:val="16"/>
                <w:u w:val="none"/>
              </w:rPr>
            </w:pPr>
          </w:p>
        </w:tc>
      </w:tr>
      <w:tr w14:paraId="6708A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54701">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6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6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6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困难殡葬补助标准</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5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B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D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2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8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8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A290">
            <w:pPr>
              <w:jc w:val="center"/>
              <w:rPr>
                <w:rFonts w:hint="eastAsia" w:ascii="微软雅黑" w:hAnsi="微软雅黑" w:eastAsia="微软雅黑" w:cs="微软雅黑"/>
                <w:i/>
                <w:iCs/>
                <w:color w:val="000000"/>
                <w:sz w:val="16"/>
                <w:szCs w:val="16"/>
                <w:u w:val="none"/>
              </w:rPr>
            </w:pPr>
          </w:p>
        </w:tc>
      </w:tr>
      <w:tr w14:paraId="595E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6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39A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5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5C4A5">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A5A0">
            <w:pPr>
              <w:rPr>
                <w:rFonts w:hint="eastAsia" w:ascii="宋体" w:hAnsi="宋体" w:eastAsia="宋体" w:cs="宋体"/>
                <w:i w:val="0"/>
                <w:iCs w:val="0"/>
                <w:color w:val="000000"/>
                <w:sz w:val="18"/>
                <w:szCs w:val="18"/>
                <w:u w:val="none"/>
              </w:rPr>
            </w:pPr>
          </w:p>
        </w:tc>
      </w:tr>
      <w:tr w14:paraId="7E39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0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F4F4A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自评得分95分</w:t>
            </w:r>
          </w:p>
        </w:tc>
      </w:tr>
      <w:tr w14:paraId="6070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F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C4C61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项目在推进基本殡葬服务普惠性、均等化方面取得了一定成效，部分符合条件的逝者家庭得到了补贴，减轻了办丧负担。但也存在资金不足、补贴发放不及时、政策协同不够紧密等问题。</w:t>
            </w:r>
          </w:p>
        </w:tc>
      </w:tr>
      <w:tr w14:paraId="37C4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3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A7246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提高政策知晓率</w:t>
            </w:r>
          </w:p>
        </w:tc>
      </w:tr>
    </w:tbl>
    <w:p w14:paraId="0FCB83E6">
      <w:pPr>
        <w:pStyle w:val="6"/>
        <w:rPr>
          <w:rFonts w:hint="eastAsia" w:eastAsia="仿宋_GB2312" w:cs="仿宋_GB2312"/>
          <w:b w:val="0"/>
          <w:bCs w:val="0"/>
          <w:kern w:val="0"/>
          <w:position w:val="0"/>
          <w:sz w:val="32"/>
          <w:szCs w:val="32"/>
          <w:highlight w:val="none"/>
          <w:lang w:val="en-US" w:eastAsia="zh-CN" w:bidi="ar-SA"/>
        </w:rPr>
      </w:pPr>
    </w:p>
    <w:p w14:paraId="74F39FB0">
      <w:pPr>
        <w:keepNext w:val="0"/>
        <w:keepLines w:val="0"/>
        <w:pageBreakBefore w:val="0"/>
        <w:widowControl w:val="0"/>
        <w:kinsoku/>
        <w:wordWrap/>
        <w:overflowPunct w:val="0"/>
        <w:topLinePunct/>
        <w:autoSpaceDE w:val="0"/>
        <w:autoSpaceDN w:val="0"/>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82AC4B2">
      <w:pPr>
        <w:keepNext w:val="0"/>
        <w:keepLines w:val="0"/>
        <w:pageBreakBefore w:val="0"/>
        <w:widowControl w:val="0"/>
        <w:kinsoku/>
        <w:wordWrap/>
        <w:overflowPunct w:val="0"/>
        <w:topLinePunct/>
        <w:autoSpaceDE w:val="0"/>
        <w:autoSpaceDN w:val="0"/>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0002197E">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广元市昭化区民政局</w:t>
      </w:r>
    </w:p>
    <w:p w14:paraId="44B8DE44">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2024年80岁高龄补贴项目绩效自评报告</w:t>
      </w:r>
    </w:p>
    <w:p w14:paraId="4794BF71">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黑体" w:hAnsi="黑体" w:eastAsia="黑体" w:cs="黑体"/>
          <w:sz w:val="44"/>
          <w:szCs w:val="44"/>
        </w:rPr>
      </w:pPr>
    </w:p>
    <w:p w14:paraId="31A3FD05">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项目（政策）概况</w:t>
      </w:r>
    </w:p>
    <w:p w14:paraId="091DD5D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（一）设立背景及基本情况</w:t>
      </w:r>
    </w:p>
    <w:p w14:paraId="4EDA5C38">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为应对人口老龄化趋势，保障高龄老人基本生活权益，依据《中华人民共和国老年人权益保障法》《国家积极应对人口老龄化中长期规划》及</w:t>
      </w:r>
      <w:r>
        <w:rPr>
          <w:rFonts w:hint="default" w:ascii="Times New Roman" w:hAnsi="Times New Roman" w:eastAsia="仿宋_GB2312" w:cs="Times New Roman"/>
          <w:sz w:val="32"/>
          <w:szCs w:val="32"/>
          <w:lang w:eastAsia="zh-CN"/>
        </w:rPr>
        <w:t>市级</w:t>
      </w:r>
      <w:r>
        <w:rPr>
          <w:rFonts w:hint="default" w:ascii="Times New Roman" w:hAnsi="Times New Roman" w:eastAsia="仿宋_GB2312" w:cs="Times New Roman"/>
          <w:sz w:val="32"/>
          <w:szCs w:val="32"/>
        </w:rPr>
        <w:t>《关于</w:t>
      </w:r>
      <w:r>
        <w:rPr>
          <w:rFonts w:hint="default" w:ascii="Times New Roman" w:hAnsi="Times New Roman" w:eastAsia="仿宋_GB2312" w:cs="Times New Roman"/>
          <w:sz w:val="32"/>
          <w:szCs w:val="32"/>
          <w:lang w:eastAsia="zh-CN"/>
        </w:rPr>
        <w:t>认真做好高龄老年人补贴工作的通知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广府办函</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38</w:t>
      </w:r>
      <w:r>
        <w:rPr>
          <w:rFonts w:hint="default" w:ascii="Times New Roman" w:hAnsi="Times New Roman" w:eastAsia="仿宋_GB2312" w:cs="Times New Roman"/>
          <w:sz w:val="32"/>
          <w:szCs w:val="32"/>
        </w:rPr>
        <w:t>号）等文件精神，广元市昭化区制定了80岁高龄补贴政策。该政策主要内容为对户籍在本区且年满80周岁的老年人按月发放生活补贴，标准为</w:t>
      </w:r>
      <w:r>
        <w:rPr>
          <w:rFonts w:hint="default" w:ascii="Times New Roman" w:hAnsi="Times New Roman" w:eastAsia="仿宋_GB2312" w:cs="Times New Roman"/>
          <w:sz w:val="32"/>
          <w:szCs w:val="32"/>
          <w:lang w:val="en-US" w:eastAsia="zh-CN"/>
        </w:rPr>
        <w:t>80周岁（含）至89周岁每人每月30元，90周岁（含）至99周岁每人每月100元，100周岁（含）以上每人每月300元</w:t>
      </w:r>
      <w:r>
        <w:rPr>
          <w:rFonts w:hint="default" w:ascii="Times New Roman" w:hAnsi="Times New Roman" w:eastAsia="仿宋_GB2312" w:cs="Times New Roman"/>
          <w:sz w:val="32"/>
          <w:szCs w:val="32"/>
        </w:rPr>
        <w:t>。区民政局作为项目主管部门，负责资格审核、资金发放及政策落实等管理工作。</w:t>
      </w:r>
    </w:p>
    <w:p w14:paraId="58F609F1">
      <w:pPr>
        <w:keepNext w:val="0"/>
        <w:keepLines w:val="0"/>
        <w:pageBreakBefore w:val="0"/>
        <w:widowControl w:val="0"/>
        <w:numPr>
          <w:ilvl w:val="0"/>
          <w:numId w:val="0"/>
        </w:numPr>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rPr>
        <w:t>（二）实施目的及支持方向</w:t>
      </w:r>
    </w:p>
    <w:p w14:paraId="65192137">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项目实施旨在通过财政补贴减轻高龄老人生活负担，提升其生活质量，促进社会公平与和谐。主要工作任务包括高龄老人资格认定、补贴资金精准发放、政策宣传推广及动态监管。资金使用严格遵循专款专用原则，确保补贴覆盖符合条件的全体高龄老人。</w:t>
      </w:r>
    </w:p>
    <w:p w14:paraId="100B60DD">
      <w:pPr>
        <w:keepNext w:val="0"/>
        <w:keepLines w:val="0"/>
        <w:pageBreakBefore w:val="0"/>
        <w:widowControl w:val="0"/>
        <w:numPr>
          <w:ilvl w:val="0"/>
          <w:numId w:val="0"/>
        </w:numPr>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rPr>
        <w:t>（三）预算安排及分配管理</w:t>
      </w:r>
    </w:p>
    <w:p w14:paraId="3752027C">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2024年该项目申请财政资金总额</w:t>
      </w:r>
      <w:r>
        <w:rPr>
          <w:rFonts w:hint="default" w:ascii="Times New Roman" w:hAnsi="Times New Roman" w:eastAsia="仿宋_GB2312" w:cs="Times New Roman"/>
          <w:sz w:val="32"/>
          <w:szCs w:val="32"/>
          <w:lang w:val="en-US" w:eastAsia="zh-CN"/>
        </w:rPr>
        <w:t>2452090</w:t>
      </w:r>
      <w:r>
        <w:rPr>
          <w:rFonts w:hint="default" w:ascii="Times New Roman" w:hAnsi="Times New Roman" w:eastAsia="仿宋_GB2312" w:cs="Times New Roman"/>
          <w:sz w:val="32"/>
          <w:szCs w:val="32"/>
        </w:rPr>
        <w:t>万元。资金分配按</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rPr>
        <w:t>拨付，由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民政</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通过“一卡通”直接发放至老人账户。截至评价日，资金已全额发放。</w:t>
      </w:r>
    </w:p>
    <w:p w14:paraId="7C8722FE">
      <w:pPr>
        <w:keepNext w:val="0"/>
        <w:keepLines w:val="0"/>
        <w:pageBreakBefore w:val="0"/>
        <w:widowControl w:val="0"/>
        <w:numPr>
          <w:ilvl w:val="0"/>
          <w:numId w:val="0"/>
        </w:numPr>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rPr>
        <w:t>（四）项目绩效目标设置</w:t>
      </w:r>
    </w:p>
    <w:p w14:paraId="4FA5C605">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000000"/>
          <w:kern w:val="2"/>
          <w:sz w:val="32"/>
          <w:szCs w:val="32"/>
          <w:highlight w:val="none"/>
          <w:lang w:val="zh-CN" w:eastAsia="zh-CN" w:bidi="ar-SA"/>
        </w:rPr>
        <w:t>项目整体绩效目标为完成2024年度区域内符合政策范围内的</w:t>
      </w:r>
      <w:r>
        <w:rPr>
          <w:rFonts w:hint="default" w:ascii="Times New Roman" w:hAnsi="Times New Roman" w:eastAsia="仿宋_GB2312" w:cs="Times New Roman"/>
          <w:b w:val="0"/>
          <w:bCs w:val="0"/>
          <w:color w:val="000000"/>
          <w:kern w:val="2"/>
          <w:sz w:val="32"/>
          <w:szCs w:val="32"/>
          <w:highlight w:val="none"/>
          <w:lang w:val="en-US" w:eastAsia="zh-CN" w:bidi="ar-SA"/>
        </w:rPr>
        <w:t>80岁以上老人</w:t>
      </w:r>
      <w:r>
        <w:rPr>
          <w:rFonts w:hint="default" w:ascii="Times New Roman" w:hAnsi="Times New Roman" w:eastAsia="仿宋_GB2312" w:cs="Times New Roman"/>
          <w:b w:val="0"/>
          <w:bCs w:val="0"/>
          <w:color w:val="000000"/>
          <w:kern w:val="2"/>
          <w:sz w:val="32"/>
          <w:szCs w:val="32"/>
          <w:highlight w:val="none"/>
          <w:lang w:val="zh-CN" w:eastAsia="zh-CN" w:bidi="ar-SA"/>
        </w:rPr>
        <w:t>，推进实现全区</w:t>
      </w:r>
      <w:r>
        <w:rPr>
          <w:rFonts w:hint="default" w:ascii="Times New Roman" w:hAnsi="Times New Roman" w:eastAsia="仿宋_GB2312" w:cs="Times New Roman"/>
          <w:b w:val="0"/>
          <w:bCs w:val="0"/>
          <w:color w:val="000000"/>
          <w:kern w:val="2"/>
          <w:sz w:val="32"/>
          <w:szCs w:val="32"/>
          <w:highlight w:val="none"/>
          <w:lang w:val="en-US" w:eastAsia="zh-CN" w:bidi="ar-SA"/>
        </w:rPr>
        <w:t>80岁以上老人享受率达到100%</w:t>
      </w:r>
      <w:r>
        <w:rPr>
          <w:rFonts w:hint="default" w:ascii="Times New Roman" w:hAnsi="Times New Roman" w:eastAsia="仿宋_GB2312" w:cs="Times New Roman"/>
          <w:b w:val="0"/>
          <w:bCs w:val="0"/>
          <w:color w:val="000000"/>
          <w:kern w:val="2"/>
          <w:sz w:val="32"/>
          <w:szCs w:val="32"/>
          <w:highlight w:val="none"/>
          <w:lang w:val="zh-CN" w:eastAsia="zh-CN" w:bidi="ar-SA"/>
        </w:rPr>
        <w:t>，享受人员及社会满意度达98%以上。区域和具体绩效目标围绕补贴人数、资金发放等细化。项目自评工作由区民政局组织开展，通过收集资料、审核数据等方式进行。</w:t>
      </w:r>
    </w:p>
    <w:p w14:paraId="1243EC3F">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黑体" w:hAnsi="黑体" w:eastAsia="黑体" w:cs="黑体"/>
          <w:sz w:val="32"/>
          <w:szCs w:val="32"/>
          <w:lang w:eastAsia="zh-CN"/>
        </w:rPr>
      </w:pPr>
      <w:r>
        <w:rPr>
          <w:rFonts w:hint="default" w:ascii="黑体" w:hAnsi="黑体" w:eastAsia="黑体" w:cs="黑体"/>
          <w:sz w:val="32"/>
          <w:szCs w:val="32"/>
        </w:rPr>
        <w:t>二、评价实施</w:t>
      </w:r>
    </w:p>
    <w:p w14:paraId="2DF18C6C">
      <w:pPr>
        <w:keepNext w:val="0"/>
        <w:keepLines w:val="0"/>
        <w:pageBreakBefore w:val="0"/>
        <w:widowControl w:val="0"/>
        <w:numPr>
          <w:ilvl w:val="0"/>
          <w:numId w:val="0"/>
        </w:numPr>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rPr>
        <w:t>（一）评价组织</w:t>
      </w:r>
    </w:p>
    <w:p w14:paraId="1B463D2C">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成立专项评价组，成员包括区民政局老龄</w:t>
      </w:r>
      <w:r>
        <w:rPr>
          <w:rFonts w:hint="default" w:ascii="Times New Roman" w:hAnsi="Times New Roman" w:eastAsia="仿宋_GB2312" w:cs="Times New Roman"/>
          <w:sz w:val="32"/>
          <w:szCs w:val="32"/>
          <w:lang w:eastAsia="zh-CN"/>
        </w:rPr>
        <w:t>事业发展与社会事务</w:t>
      </w:r>
      <w:r>
        <w:rPr>
          <w:rFonts w:hint="default" w:ascii="Times New Roman" w:hAnsi="Times New Roman" w:eastAsia="仿宋_GB2312" w:cs="Times New Roman"/>
          <w:sz w:val="32"/>
          <w:szCs w:val="32"/>
        </w:rPr>
        <w:t>股、财务</w:t>
      </w:r>
      <w:r>
        <w:rPr>
          <w:rFonts w:hint="default" w:ascii="Times New Roman" w:hAnsi="Times New Roman" w:eastAsia="仿宋_GB2312" w:cs="Times New Roman"/>
          <w:sz w:val="32"/>
          <w:szCs w:val="32"/>
          <w:lang w:eastAsia="zh-CN"/>
        </w:rPr>
        <w:t>股</w:t>
      </w:r>
      <w:r>
        <w:rPr>
          <w:rFonts w:hint="default" w:ascii="Times New Roman" w:hAnsi="Times New Roman" w:eastAsia="仿宋_GB2312" w:cs="Times New Roman"/>
          <w:sz w:val="32"/>
          <w:szCs w:val="32"/>
        </w:rPr>
        <w:t>人员及镇（街道）民政办负责人。分工如下：老龄</w:t>
      </w:r>
      <w:r>
        <w:rPr>
          <w:rFonts w:hint="default" w:ascii="Times New Roman" w:hAnsi="Times New Roman" w:eastAsia="仿宋_GB2312" w:cs="Times New Roman"/>
          <w:sz w:val="32"/>
          <w:szCs w:val="32"/>
          <w:lang w:eastAsia="zh-CN"/>
        </w:rPr>
        <w:t>事业发展与社会事务</w:t>
      </w:r>
      <w:r>
        <w:rPr>
          <w:rFonts w:hint="default" w:ascii="Times New Roman" w:hAnsi="Times New Roman" w:eastAsia="仿宋_GB2312" w:cs="Times New Roman"/>
          <w:sz w:val="32"/>
          <w:szCs w:val="32"/>
        </w:rPr>
        <w:t>股负责政策执行情况核查，财务</w:t>
      </w:r>
      <w:r>
        <w:rPr>
          <w:rFonts w:hint="default" w:ascii="Times New Roman" w:hAnsi="Times New Roman" w:eastAsia="仿宋_GB2312" w:cs="Times New Roman"/>
          <w:sz w:val="32"/>
          <w:szCs w:val="32"/>
          <w:lang w:eastAsia="zh-CN"/>
        </w:rPr>
        <w:t>股</w:t>
      </w:r>
      <w:r>
        <w:rPr>
          <w:rFonts w:hint="default" w:ascii="Times New Roman" w:hAnsi="Times New Roman" w:eastAsia="仿宋_GB2312" w:cs="Times New Roman"/>
          <w:sz w:val="32"/>
          <w:szCs w:val="32"/>
        </w:rPr>
        <w:t>监督资金管理，基层民政人员协助数据收集与实地走访。</w:t>
      </w:r>
    </w:p>
    <w:p w14:paraId="4C0447C6">
      <w:pPr>
        <w:keepNext w:val="0"/>
        <w:keepLines w:val="0"/>
        <w:pageBreakBefore w:val="0"/>
        <w:widowControl w:val="0"/>
        <w:numPr>
          <w:ilvl w:val="0"/>
          <w:numId w:val="0"/>
        </w:numPr>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rPr>
        <w:t>（二）评价目的</w:t>
      </w:r>
    </w:p>
    <w:p w14:paraId="281310C7">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全面评估高龄补贴政策实施效果，核查资金使用合规性，发现资格审核、发放流程等问题并提出改进建议，提升政策精准度和群众满意度。</w:t>
      </w:r>
    </w:p>
    <w:p w14:paraId="42F7D361">
      <w:pPr>
        <w:keepNext w:val="0"/>
        <w:keepLines w:val="0"/>
        <w:pageBreakBefore w:val="0"/>
        <w:widowControl w:val="0"/>
        <w:numPr>
          <w:ilvl w:val="0"/>
          <w:numId w:val="0"/>
        </w:numPr>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三）</w:t>
      </w:r>
      <w:r>
        <w:rPr>
          <w:rFonts w:hint="default" w:ascii="楷体_GB2312" w:hAnsi="楷体_GB2312" w:eastAsia="楷体_GB2312" w:cs="楷体_GB2312"/>
          <w:sz w:val="32"/>
          <w:szCs w:val="32"/>
        </w:rPr>
        <w:t>评价选点</w:t>
      </w:r>
    </w:p>
    <w:p w14:paraId="57D277A4">
      <w:pPr>
        <w:keepNext w:val="0"/>
        <w:keepLines w:val="0"/>
        <w:pageBreakBefore w:val="0"/>
        <w:widowControl w:val="0"/>
        <w:numPr>
          <w:ilvl w:val="0"/>
          <w:numId w:val="0"/>
        </w:numPr>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楷体_GB2312" w:hAnsi="楷体_GB2312" w:eastAsia="楷体_GB2312" w:cs="楷体_GB2312"/>
          <w:sz w:val="32"/>
          <w:szCs w:val="32"/>
          <w:lang w:eastAsia="zh-CN"/>
        </w:rPr>
      </w:pPr>
      <w:r>
        <w:rPr>
          <w:rFonts w:hint="default" w:ascii="Times New Roman" w:hAnsi="Times New Roman" w:eastAsia="仿宋_GB2312" w:cs="Times New Roman"/>
          <w:sz w:val="32"/>
          <w:szCs w:val="32"/>
        </w:rPr>
        <w:t>抽样覆盖全区12个镇（街道），重点选取老龄化率高、经济水平差异明显的区域，并对独居、低保等特殊群体老人进行针对</w:t>
      </w:r>
      <w:r>
        <w:rPr>
          <w:rFonts w:hint="default" w:ascii="楷体_GB2312" w:hAnsi="楷体_GB2312" w:eastAsia="楷体_GB2312" w:cs="楷体_GB2312"/>
          <w:sz w:val="32"/>
          <w:szCs w:val="32"/>
        </w:rPr>
        <w:t>性调研。</w:t>
      </w:r>
    </w:p>
    <w:p w14:paraId="40F9D08B">
      <w:pPr>
        <w:keepNext w:val="0"/>
        <w:keepLines w:val="0"/>
        <w:pageBreakBefore w:val="0"/>
        <w:widowControl w:val="0"/>
        <w:numPr>
          <w:ilvl w:val="0"/>
          <w:numId w:val="0"/>
        </w:numPr>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rPr>
        <w:t>（四）评价方法</w:t>
      </w:r>
    </w:p>
    <w:p w14:paraId="439A3DF9">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1.数据比对法：通过户籍系统与补贴发放名单交叉核对，确保资格认定准确。</w:t>
      </w:r>
    </w:p>
    <w:p w14:paraId="26D2F3BB">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2.问卷调查法：随机抽取300名受益老人或其家属，了解补贴发放时效及满意度。</w:t>
      </w:r>
    </w:p>
    <w:p w14:paraId="4DD913D6">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3.实地访谈法：走访社区及养老服务机构，收集基层工作人员及老人意见。</w:t>
      </w:r>
    </w:p>
    <w:p w14:paraId="1E178D84">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4.成本效益分析法：评估财政投入与老年人生活质量改善的关联性。</w:t>
      </w:r>
    </w:p>
    <w:p w14:paraId="043A260D">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黑体" w:hAnsi="黑体" w:eastAsia="黑体" w:cs="黑体"/>
          <w:sz w:val="32"/>
          <w:szCs w:val="32"/>
          <w:lang w:eastAsia="zh-CN"/>
        </w:rPr>
      </w:pPr>
      <w:r>
        <w:rPr>
          <w:rFonts w:hint="default" w:ascii="黑体" w:hAnsi="黑体" w:eastAsia="黑体" w:cs="黑体"/>
          <w:sz w:val="32"/>
          <w:szCs w:val="32"/>
        </w:rPr>
        <w:t>三、绩效分析</w:t>
      </w:r>
    </w:p>
    <w:p w14:paraId="45D38C78">
      <w:pPr>
        <w:keepNext w:val="0"/>
        <w:keepLines w:val="0"/>
        <w:pageBreakBefore w:val="0"/>
        <w:widowControl w:val="0"/>
        <w:numPr>
          <w:ilvl w:val="0"/>
          <w:numId w:val="0"/>
        </w:numPr>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rPr>
        <w:t>（一）通用绩效指标分析</w:t>
      </w:r>
    </w:p>
    <w:p w14:paraId="6AC40434">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1.项目决策：政策依据充分，制定流程规范，符合老龄化社会需求。</w:t>
      </w:r>
    </w:p>
    <w:p w14:paraId="5D1DACBD">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2.项目实施：资金分配严格按标准执行，但部分偏远地区发放周期较长；资格审核中偶见信息更新滞后问题。</w:t>
      </w:r>
    </w:p>
    <w:p w14:paraId="5CA090B1">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3.完成结果：第一季度目标完成率100%，但因新增高龄人数超预期；群众满意度达9</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.5%，部分老人反映补贴标准偏低。</w:t>
      </w:r>
    </w:p>
    <w:p w14:paraId="1C8C21C6">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4.政策协同：与社保、残联等部门数据共享不足，导致重复审核；基层民政与财政部门协作效率待提升。</w:t>
      </w:r>
    </w:p>
    <w:p w14:paraId="6323995D">
      <w:pPr>
        <w:keepNext w:val="0"/>
        <w:keepLines w:val="0"/>
        <w:pageBreakBefore w:val="0"/>
        <w:widowControl w:val="0"/>
        <w:numPr>
          <w:ilvl w:val="0"/>
          <w:numId w:val="0"/>
        </w:numPr>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rPr>
        <w:t>（二）专用绩效指标分析</w:t>
      </w:r>
    </w:p>
    <w:p w14:paraId="57E0E237">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1.民生保障：需加强政策宣传；资格审核公平性较高，未发现违规发放案例。</w:t>
      </w:r>
    </w:p>
    <w:p w14:paraId="3812F1B4">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2.社会效益：补贴有效缓解老人生活压力，但部分高龄老人对政策知晓率不足，宣传方式需多样化。</w:t>
      </w:r>
    </w:p>
    <w:p w14:paraId="786784B5">
      <w:pPr>
        <w:keepNext w:val="0"/>
        <w:keepLines w:val="0"/>
        <w:pageBreakBefore w:val="0"/>
        <w:widowControl w:val="0"/>
        <w:numPr>
          <w:ilvl w:val="0"/>
          <w:numId w:val="0"/>
        </w:numPr>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rPr>
        <w:t>（三）特性指标绩效分析</w:t>
      </w:r>
    </w:p>
    <w:p w14:paraId="3C532FDF">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1.信息化水平：资格审核系统尚未与公安户籍数据实时对接，影响效率。</w:t>
      </w:r>
    </w:p>
    <w:p w14:paraId="4E8EC206">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2.动态管理：新增及减员人员信息更新存在延迟，需完善动态监测机制。</w:t>
      </w:r>
    </w:p>
    <w:p w14:paraId="104B0435">
      <w:pPr>
        <w:keepNext w:val="0"/>
        <w:keepLines w:val="0"/>
        <w:pageBreakBefore w:val="0"/>
        <w:widowControl w:val="0"/>
        <w:numPr>
          <w:ilvl w:val="0"/>
          <w:numId w:val="0"/>
        </w:numPr>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rPr>
        <w:t>（四）个性指标绩效分析</w:t>
      </w:r>
    </w:p>
    <w:p w14:paraId="7CB61572">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kern w:val="2"/>
          <w:sz w:val="32"/>
          <w:szCs w:val="32"/>
          <w:highlight w:val="none"/>
          <w:lang w:val="zh-CN"/>
        </w:rPr>
        <w:t>自行设定“政策宣传覆盖范围”指标，通过统计政策宣传资料发放数量、宣传活动开展次数等，评估政策宣传效果。目前来看，政策宣传覆盖范围较广，但宣传方式的针对性和有效性还需提高，部分群众对政策的了解仍不够深入。</w:t>
      </w:r>
    </w:p>
    <w:p w14:paraId="28F2457E">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黑体" w:hAnsi="黑体" w:eastAsia="黑体" w:cs="黑体"/>
          <w:sz w:val="32"/>
          <w:szCs w:val="32"/>
          <w:lang w:eastAsia="zh-CN"/>
        </w:rPr>
      </w:pPr>
      <w:r>
        <w:rPr>
          <w:rFonts w:hint="default" w:ascii="黑体" w:hAnsi="黑体" w:eastAsia="黑体" w:cs="黑体"/>
          <w:sz w:val="32"/>
          <w:szCs w:val="32"/>
        </w:rPr>
        <w:t>四、评价结论</w:t>
      </w:r>
    </w:p>
    <w:p w14:paraId="55D80175">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经综合评估，项目绩效自评总分为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分。政策实施有效保障了高龄老人基本生活，资金发放总体合规，但存在预算不足、发放效率不均、部门协同不畅等问题，需进一步优化管理机制。</w:t>
      </w:r>
    </w:p>
    <w:p w14:paraId="29DB246A">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黑体" w:hAnsi="黑体" w:eastAsia="黑体" w:cs="黑体"/>
          <w:sz w:val="32"/>
          <w:szCs w:val="32"/>
          <w:lang w:eastAsia="zh-CN"/>
        </w:rPr>
      </w:pPr>
      <w:r>
        <w:rPr>
          <w:rFonts w:hint="default" w:ascii="黑体" w:hAnsi="黑体" w:eastAsia="黑体" w:cs="黑体"/>
          <w:sz w:val="32"/>
          <w:szCs w:val="32"/>
        </w:rPr>
        <w:t>五、存在主要问题</w:t>
      </w:r>
    </w:p>
    <w:p w14:paraId="7F3D9394">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1.预算测算偏差：老龄化速度超预期，资金缺口导致部分新增老人补贴延迟。</w:t>
      </w:r>
    </w:p>
    <w:p w14:paraId="17A3BD14">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kern w:val="2"/>
          <w:sz w:val="32"/>
          <w:szCs w:val="32"/>
          <w:highlight w:val="none"/>
          <w:lang w:val="zh-CN"/>
        </w:rPr>
        <w:t>是补贴发放流程繁琐，人员信息核实难度较大，导致补贴发放延迟，降低了群众满意度。</w:t>
      </w:r>
    </w:p>
    <w:p w14:paraId="24B920C5">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3.跨部门协作不足：与公安、社保等部门数据共享滞后，影响资格审核效率。</w:t>
      </w:r>
    </w:p>
    <w:p w14:paraId="3527CECE">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六、改进建议</w:t>
      </w:r>
    </w:p>
    <w:p w14:paraId="5BA29302">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1.动态调整预算：建立高龄人口增长预测模型，按季度调整预算，确保资金充足。</w:t>
      </w:r>
    </w:p>
    <w:p w14:paraId="0B647967">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2.优化发放流程：推广“一网通办”平台，实现资格审核与资金发放全程线上化。</w:t>
      </w:r>
    </w:p>
    <w:p w14:paraId="0BB5B8A2">
      <w:pPr>
        <w:keepNext w:val="0"/>
        <w:keepLines w:val="0"/>
        <w:pageBreakBefore w:val="0"/>
        <w:widowControl w:val="0"/>
        <w:kinsoku/>
        <w:wordWrap/>
        <w:overflowPunct/>
        <w:topLinePunct w:val="0"/>
        <w:autoSpaceDE/>
        <w:autoSpaceDN/>
        <w:bidi w:val="0"/>
        <w:adjustRightInd/>
        <w:snapToGrid/>
        <w:spacing w:line="60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3.强化部门协同：建立民政、公安、财政数据共享机制，定期召开联席会议。</w:t>
      </w:r>
    </w:p>
    <w:p w14:paraId="6C20F409">
      <w:pPr>
        <w:keepNext w:val="0"/>
        <w:keepLines w:val="0"/>
        <w:pageBreakBefore w:val="0"/>
        <w:widowControl w:val="0"/>
        <w:kinsoku/>
        <w:wordWrap/>
        <w:overflowPunct w:val="0"/>
        <w:topLinePunct/>
        <w:autoSpaceDE w:val="0"/>
        <w:autoSpaceDN w:val="0"/>
        <w:bidi w:val="0"/>
        <w:adjustRightInd/>
        <w:snapToGrid/>
        <w:spacing w:line="578" w:lineRule="exact"/>
        <w:ind w:firstLine="640" w:firstLineChars="200"/>
        <w:textAlignment w:val="auto"/>
        <w:outlineLvl w:val="9"/>
        <w:rPr>
          <w:rFonts w:hint="eastAsia"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sz w:val="32"/>
          <w:szCs w:val="32"/>
        </w:rPr>
        <w:t>4.加强精准宣传：针对农村地区开展“上门宣讲+方言广播”等接地气宣传，提升政策知晓率</w:t>
      </w:r>
      <w:r>
        <w:rPr>
          <w:rFonts w:hint="eastAsia" w:eastAsia="仿宋_GB2312" w:cs="Times New Roman"/>
          <w:b w:val="0"/>
          <w:bCs w:val="0"/>
          <w:kern w:val="0"/>
          <w:position w:val="0"/>
          <w:sz w:val="32"/>
          <w:szCs w:val="32"/>
          <w:highlight w:val="none"/>
          <w:lang w:val="en-US" w:eastAsia="zh-CN" w:bidi="ar-SA"/>
        </w:rPr>
        <w:t>。</w:t>
      </w:r>
    </w:p>
    <w:p w14:paraId="7AFD247D">
      <w:pPr>
        <w:pStyle w:val="6"/>
        <w:keepNext w:val="0"/>
        <w:keepLines w:val="0"/>
        <w:pageBreakBefore w:val="0"/>
        <w:widowControl w:val="0"/>
        <w:kinsoku/>
        <w:wordWrap/>
        <w:overflowPunct/>
        <w:topLinePunct w:val="0"/>
        <w:autoSpaceDE/>
        <w:autoSpaceDN/>
        <w:bidi w:val="0"/>
        <w:adjustRightInd/>
        <w:snapToGrid/>
        <w:spacing w:beforeLines="0"/>
        <w:textAlignment w:val="auto"/>
        <w:rPr>
          <w:rFonts w:hint="eastAsia" w:eastAsia="仿宋_GB2312" w:cs="Times New Roman"/>
          <w:b w:val="0"/>
          <w:bCs w:val="0"/>
          <w:kern w:val="0"/>
          <w:position w:val="0"/>
          <w:sz w:val="32"/>
          <w:szCs w:val="32"/>
          <w:highlight w:val="none"/>
          <w:lang w:val="en-US" w:eastAsia="zh-CN" w:bidi="ar-SA"/>
        </w:rPr>
      </w:pPr>
    </w:p>
    <w:p w14:paraId="78B81A6C">
      <w:pPr>
        <w:pStyle w:val="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b w:val="0"/>
          <w:bCs w:val="0"/>
          <w:kern w:val="0"/>
          <w:position w:val="0"/>
          <w:sz w:val="32"/>
          <w:szCs w:val="32"/>
          <w:highlight w:val="none"/>
          <w:lang w:val="en-US" w:eastAsia="zh-CN" w:bidi="ar-SA"/>
        </w:rPr>
      </w:pPr>
      <w:r>
        <w:rPr>
          <w:rFonts w:hint="eastAsia" w:cs="Times New Roman"/>
          <w:b w:val="0"/>
          <w:bCs w:val="0"/>
          <w:kern w:val="0"/>
          <w:position w:val="0"/>
          <w:sz w:val="32"/>
          <w:szCs w:val="32"/>
          <w:highlight w:val="none"/>
          <w:lang w:val="en-US" w:eastAsia="zh-CN" w:bidi="ar-SA"/>
        </w:rPr>
        <w:t>附表：2024年80岁高龄补贴项目支出绩效自评表</w:t>
      </w:r>
    </w:p>
    <w:p w14:paraId="0BCD596D">
      <w:pPr>
        <w:pStyle w:val="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b w:val="0"/>
          <w:bCs w:val="0"/>
          <w:kern w:val="0"/>
          <w:position w:val="0"/>
          <w:sz w:val="32"/>
          <w:szCs w:val="32"/>
          <w:highlight w:val="none"/>
          <w:lang w:val="en-US" w:eastAsia="zh-CN" w:bidi="ar-SA"/>
        </w:rPr>
      </w:pPr>
    </w:p>
    <w:p w14:paraId="4C95B43A">
      <w:pPr>
        <w:pStyle w:val="6"/>
        <w:keepNext w:val="0"/>
        <w:keepLines w:val="0"/>
        <w:pageBreakBefore w:val="0"/>
        <w:widowControl w:val="0"/>
        <w:kinsoku/>
        <w:wordWrap/>
        <w:overflowPunct/>
        <w:topLinePunct w:val="0"/>
        <w:autoSpaceDE/>
        <w:autoSpaceDN/>
        <w:bidi w:val="0"/>
        <w:adjustRightInd/>
        <w:snapToGrid/>
        <w:textAlignment w:val="auto"/>
        <w:rPr>
          <w:rFonts w:hint="eastAsia" w:cs="Times New Roman"/>
          <w:b w:val="0"/>
          <w:bCs w:val="0"/>
          <w:kern w:val="0"/>
          <w:position w:val="0"/>
          <w:sz w:val="32"/>
          <w:szCs w:val="32"/>
          <w:highlight w:val="none"/>
          <w:lang w:val="en-US" w:eastAsia="zh-CN" w:bidi="ar-SA"/>
        </w:rPr>
      </w:pPr>
    </w:p>
    <w:p w14:paraId="71ACC076">
      <w:pPr>
        <w:pStyle w:val="6"/>
        <w:keepNext w:val="0"/>
        <w:keepLines w:val="0"/>
        <w:pageBreakBefore w:val="0"/>
        <w:widowControl w:val="0"/>
        <w:kinsoku/>
        <w:wordWrap/>
        <w:overflowPunct/>
        <w:topLinePunct w:val="0"/>
        <w:autoSpaceDE/>
        <w:autoSpaceDN/>
        <w:bidi w:val="0"/>
        <w:adjustRightInd/>
        <w:snapToGrid/>
        <w:textAlignment w:val="auto"/>
        <w:rPr>
          <w:rFonts w:hint="eastAsia" w:cs="Times New Roman"/>
          <w:b w:val="0"/>
          <w:bCs w:val="0"/>
          <w:kern w:val="0"/>
          <w:position w:val="0"/>
          <w:sz w:val="32"/>
          <w:szCs w:val="32"/>
          <w:highlight w:val="none"/>
          <w:lang w:val="en-US" w:eastAsia="zh-CN" w:bidi="ar-SA"/>
        </w:rPr>
      </w:pPr>
    </w:p>
    <w:p w14:paraId="184F5855">
      <w:pPr>
        <w:pStyle w:val="6"/>
        <w:keepNext w:val="0"/>
        <w:keepLines w:val="0"/>
        <w:pageBreakBefore w:val="0"/>
        <w:widowControl w:val="0"/>
        <w:kinsoku/>
        <w:wordWrap/>
        <w:overflowPunct/>
        <w:topLinePunct w:val="0"/>
        <w:autoSpaceDE/>
        <w:autoSpaceDN/>
        <w:bidi w:val="0"/>
        <w:adjustRightInd/>
        <w:snapToGrid/>
        <w:textAlignment w:val="auto"/>
        <w:rPr>
          <w:rFonts w:hint="eastAsia" w:cs="Times New Roman"/>
          <w:b w:val="0"/>
          <w:bCs w:val="0"/>
          <w:kern w:val="0"/>
          <w:position w:val="0"/>
          <w:sz w:val="32"/>
          <w:szCs w:val="32"/>
          <w:highlight w:val="none"/>
          <w:lang w:val="en-US" w:eastAsia="zh-CN" w:bidi="ar-SA"/>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66"/>
        <w:gridCol w:w="988"/>
        <w:gridCol w:w="1302"/>
        <w:gridCol w:w="396"/>
        <w:gridCol w:w="925"/>
        <w:gridCol w:w="396"/>
        <w:gridCol w:w="846"/>
        <w:gridCol w:w="486"/>
        <w:gridCol w:w="486"/>
        <w:gridCol w:w="1494"/>
      </w:tblGrid>
      <w:tr w14:paraId="0D58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EF733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A25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45E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A619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51081123T000008966376-80岁老人高龄津贴</w:t>
            </w:r>
          </w:p>
        </w:tc>
      </w:tr>
      <w:tr w14:paraId="1D01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517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29C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广元市昭化区民政局部门</w:t>
            </w:r>
          </w:p>
        </w:tc>
        <w:tc>
          <w:tcPr>
            <w:tcW w:w="386" w:type="pct"/>
            <w:tcBorders>
              <w:top w:val="nil"/>
              <w:left w:val="nil"/>
              <w:bottom w:val="nil"/>
              <w:right w:val="nil"/>
            </w:tcBorders>
            <w:shd w:val="clear" w:color="auto" w:fill="auto"/>
            <w:vAlign w:val="center"/>
          </w:tcPr>
          <w:p w14:paraId="1638918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B1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广元市昭化区民政局</w:t>
            </w:r>
          </w:p>
        </w:tc>
      </w:tr>
      <w:tr w14:paraId="300F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D43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C2E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B1E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3CEB1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B6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83788">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80EFC">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1F96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全区80岁以上约5000余人高龄老人基本生活问题，对保障高龄老人的生活质量期很重要的作用，创新高龄老人福利制度模式，健全养老保障服务体系，使广大高龄老人的基本生活得到保障。高龄补贴人数超过5000人，高龄补贴发放标准为30元/人*月。</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4088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解决全区80岁以上约5000余人高龄老人基本生活问题，对保障高龄老人的生活质量期很重要的作用，创新高龄老人福利制度模式，健全养老保障服务体系，使广大高龄老人的基本生活得到保障。高龄补贴人数超过5000人，高龄补贴发放标准为30元/人*月。</w:t>
            </w:r>
          </w:p>
        </w:tc>
      </w:tr>
      <w:tr w14:paraId="136B8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F8F09">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17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603E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全区80岁以上约5000余人高龄老人基本生活问题，对保障高龄老人的生活质量期很重要的作用，创新高龄老人福利制度模式，健全养老保障服务体系，使广大高龄老人的基本生活得到保障。高龄补贴人数超过5000人，高龄补贴发放标准为30元/人*月。</w:t>
            </w:r>
          </w:p>
        </w:tc>
      </w:tr>
      <w:tr w14:paraId="0C686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13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3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B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C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BD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F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23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5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A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675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33E5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A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81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251.69</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1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245.21</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A6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245.21</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9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D8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E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6DE0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356D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9F782">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3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B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251.69</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C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245.21</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FF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245.21</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1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B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7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FC086">
            <w:pPr>
              <w:rPr>
                <w:rFonts w:hint="eastAsia" w:ascii="黑体" w:hAnsi="黑体" w:eastAsia="黑体" w:cs="黑体"/>
                <w:i/>
                <w:iCs/>
                <w:color w:val="000000"/>
                <w:sz w:val="18"/>
                <w:szCs w:val="18"/>
                <w:u w:val="none"/>
              </w:rPr>
            </w:pPr>
          </w:p>
        </w:tc>
      </w:tr>
      <w:tr w14:paraId="1F8E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C518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6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5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7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D1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0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C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A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59473">
            <w:pPr>
              <w:rPr>
                <w:rFonts w:hint="eastAsia" w:ascii="黑体" w:hAnsi="黑体" w:eastAsia="黑体" w:cs="黑体"/>
                <w:i/>
                <w:iCs/>
                <w:color w:val="000000"/>
                <w:sz w:val="18"/>
                <w:szCs w:val="18"/>
                <w:u w:val="none"/>
              </w:rPr>
            </w:pPr>
          </w:p>
        </w:tc>
      </w:tr>
      <w:tr w14:paraId="5DFE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02329">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6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D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E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A3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2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8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1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6A915">
            <w:pPr>
              <w:rPr>
                <w:rFonts w:hint="eastAsia" w:ascii="黑体" w:hAnsi="黑体" w:eastAsia="黑体" w:cs="黑体"/>
                <w:i/>
                <w:iCs/>
                <w:color w:val="000000"/>
                <w:sz w:val="18"/>
                <w:szCs w:val="18"/>
                <w:u w:val="none"/>
              </w:rPr>
            </w:pPr>
          </w:p>
        </w:tc>
      </w:tr>
      <w:tr w14:paraId="4C7C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2BB82">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7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90BD9">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202E">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6791C">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3984">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0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9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7EEA4">
            <w:pPr>
              <w:rPr>
                <w:rFonts w:hint="eastAsia" w:ascii="黑体" w:hAnsi="黑体" w:eastAsia="黑体" w:cs="黑体"/>
                <w:i/>
                <w:iCs/>
                <w:color w:val="000000"/>
                <w:sz w:val="18"/>
                <w:szCs w:val="18"/>
                <w:u w:val="none"/>
              </w:rPr>
            </w:pPr>
          </w:p>
        </w:tc>
      </w:tr>
      <w:tr w14:paraId="0E74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79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5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2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8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D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2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D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E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A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5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8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E42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31DDD">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3B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B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7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享受高龄津贴老人数量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3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9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F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0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D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9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68C7">
            <w:pPr>
              <w:jc w:val="center"/>
              <w:rPr>
                <w:rFonts w:hint="eastAsia" w:ascii="微软雅黑" w:hAnsi="微软雅黑" w:eastAsia="微软雅黑" w:cs="微软雅黑"/>
                <w:i/>
                <w:iCs/>
                <w:color w:val="000000"/>
                <w:sz w:val="16"/>
                <w:szCs w:val="16"/>
                <w:u w:val="none"/>
              </w:rPr>
            </w:pPr>
          </w:p>
        </w:tc>
      </w:tr>
      <w:tr w14:paraId="6E0E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25503">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C64DF">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1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4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补贴发放足额率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6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9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8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5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C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E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CA2D">
            <w:pPr>
              <w:jc w:val="center"/>
              <w:rPr>
                <w:rFonts w:hint="eastAsia" w:ascii="微软雅黑" w:hAnsi="微软雅黑" w:eastAsia="微软雅黑" w:cs="微软雅黑"/>
                <w:i/>
                <w:iCs/>
                <w:color w:val="000000"/>
                <w:sz w:val="16"/>
                <w:szCs w:val="16"/>
                <w:u w:val="none"/>
              </w:rPr>
            </w:pPr>
          </w:p>
        </w:tc>
      </w:tr>
      <w:tr w14:paraId="2BEC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0E7CC">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5AB8">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57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C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资金按时拨付率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4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8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0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8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7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3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D42E">
            <w:pPr>
              <w:jc w:val="center"/>
              <w:rPr>
                <w:rFonts w:hint="eastAsia" w:ascii="微软雅黑" w:hAnsi="微软雅黑" w:eastAsia="微软雅黑" w:cs="微软雅黑"/>
                <w:i/>
                <w:iCs/>
                <w:color w:val="000000"/>
                <w:sz w:val="16"/>
                <w:szCs w:val="16"/>
                <w:u w:val="none"/>
              </w:rPr>
            </w:pPr>
          </w:p>
        </w:tc>
      </w:tr>
      <w:tr w14:paraId="7E38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3D230">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1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A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D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提高高龄补贴人员基本生活保障是否有效</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5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D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A3198">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8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E3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7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5417">
            <w:pPr>
              <w:jc w:val="center"/>
              <w:rPr>
                <w:rFonts w:hint="eastAsia" w:ascii="微软雅黑" w:hAnsi="微软雅黑" w:eastAsia="微软雅黑" w:cs="微软雅黑"/>
                <w:i/>
                <w:iCs/>
                <w:color w:val="000000"/>
                <w:sz w:val="16"/>
                <w:szCs w:val="16"/>
                <w:u w:val="none"/>
              </w:rPr>
            </w:pPr>
          </w:p>
        </w:tc>
      </w:tr>
      <w:tr w14:paraId="3A77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4A55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0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9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0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高龄补贴对象满意度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A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3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3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2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8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7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6C72">
            <w:pPr>
              <w:jc w:val="center"/>
              <w:rPr>
                <w:rFonts w:hint="eastAsia" w:ascii="微软雅黑" w:hAnsi="微软雅黑" w:eastAsia="微软雅黑" w:cs="微软雅黑"/>
                <w:i/>
                <w:iCs/>
                <w:color w:val="000000"/>
                <w:sz w:val="16"/>
                <w:szCs w:val="16"/>
                <w:u w:val="none"/>
              </w:rPr>
            </w:pPr>
          </w:p>
        </w:tc>
      </w:tr>
      <w:tr w14:paraId="2C7E2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0F9B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1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B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5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严格控制高龄补助金额</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6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6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4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B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6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4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B1E9">
            <w:pPr>
              <w:jc w:val="center"/>
              <w:rPr>
                <w:rFonts w:hint="eastAsia" w:ascii="微软雅黑" w:hAnsi="微软雅黑" w:eastAsia="微软雅黑" w:cs="微软雅黑"/>
                <w:i/>
                <w:iCs/>
                <w:color w:val="000000"/>
                <w:sz w:val="16"/>
                <w:szCs w:val="16"/>
                <w:u w:val="none"/>
              </w:rPr>
            </w:pPr>
          </w:p>
        </w:tc>
      </w:tr>
      <w:tr w14:paraId="7953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AC2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4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FF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C460">
            <w:pPr>
              <w:rPr>
                <w:rFonts w:hint="eastAsia" w:ascii="宋体" w:hAnsi="宋体" w:eastAsia="宋体" w:cs="宋体"/>
                <w:i w:val="0"/>
                <w:iCs w:val="0"/>
                <w:color w:val="000000"/>
                <w:sz w:val="18"/>
                <w:szCs w:val="18"/>
                <w:u w:val="none"/>
              </w:rPr>
            </w:pPr>
          </w:p>
        </w:tc>
      </w:tr>
      <w:tr w14:paraId="04CE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B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50F68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100分</w:t>
            </w:r>
          </w:p>
        </w:tc>
      </w:tr>
    </w:tbl>
    <w:p w14:paraId="29B6BFB5">
      <w:pPr>
        <w:pStyle w:val="6"/>
        <w:keepNext w:val="0"/>
        <w:keepLines w:val="0"/>
        <w:pageBreakBefore w:val="0"/>
        <w:widowControl w:val="0"/>
        <w:kinsoku/>
        <w:wordWrap/>
        <w:overflowPunct/>
        <w:topLinePunct w:val="0"/>
        <w:autoSpaceDE/>
        <w:autoSpaceDN/>
        <w:bidi w:val="0"/>
        <w:adjustRightInd/>
        <w:snapToGrid/>
        <w:textAlignment w:val="auto"/>
        <w:rPr>
          <w:rFonts w:hint="eastAsia" w:cs="Times New Roman"/>
          <w:b w:val="0"/>
          <w:bCs w:val="0"/>
          <w:kern w:val="0"/>
          <w:position w:val="0"/>
          <w:sz w:val="32"/>
          <w:szCs w:val="32"/>
          <w:highlight w:val="none"/>
          <w:lang w:val="en-US" w:eastAsia="zh-CN" w:bidi="ar-SA"/>
        </w:rPr>
      </w:pPr>
    </w:p>
    <w:p w14:paraId="72B20138">
      <w:pPr>
        <w:pStyle w:val="6"/>
        <w:rPr>
          <w:rFonts w:hint="eastAsia" w:eastAsia="仿宋_GB2312" w:cs="Times New Roman"/>
          <w:b w:val="0"/>
          <w:bCs w:val="0"/>
          <w:kern w:val="0"/>
          <w:position w:val="0"/>
          <w:sz w:val="32"/>
          <w:szCs w:val="32"/>
          <w:highlight w:val="none"/>
          <w:lang w:val="en-US" w:eastAsia="zh-CN" w:bidi="ar-SA"/>
        </w:rPr>
      </w:pPr>
    </w:p>
    <w:p w14:paraId="47E0E3F8">
      <w:pPr>
        <w:keepNext w:val="0"/>
        <w:keepLines w:val="0"/>
        <w:pageBreakBefore w:val="0"/>
        <w:widowControl w:val="0"/>
        <w:kinsoku/>
        <w:wordWrap/>
        <w:overflowPunct w:val="0"/>
        <w:topLinePunct/>
        <w:autoSpaceDE w:val="0"/>
        <w:autoSpaceDN w:val="0"/>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AE3B849">
      <w:pPr>
        <w:keepNext w:val="0"/>
        <w:keepLines w:val="0"/>
        <w:pageBreakBefore w:val="0"/>
        <w:widowControl w:val="0"/>
        <w:kinsoku/>
        <w:wordWrap/>
        <w:overflowPunct w:val="0"/>
        <w:topLinePunct/>
        <w:autoSpaceDE w:val="0"/>
        <w:autoSpaceDN w:val="0"/>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3887FD3">
      <w:pPr>
        <w:keepNext w:val="0"/>
        <w:keepLines w:val="0"/>
        <w:pageBreakBefore w:val="0"/>
        <w:widowControl w:val="0"/>
        <w:kinsoku/>
        <w:wordWrap/>
        <w:overflowPunct w:val="0"/>
        <w:topLinePunct/>
        <w:autoSpaceDE w:val="0"/>
        <w:autoSpaceDN w:val="0"/>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796E5A9">
      <w:pPr>
        <w:keepNext w:val="0"/>
        <w:keepLines w:val="0"/>
        <w:pageBreakBefore w:val="0"/>
        <w:widowControl w:val="0"/>
        <w:kinsoku/>
        <w:wordWrap/>
        <w:overflowPunct w:val="0"/>
        <w:topLinePunct/>
        <w:autoSpaceDE w:val="0"/>
        <w:autoSpaceDN w:val="0"/>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EA6E46F">
      <w:pPr>
        <w:keepNext w:val="0"/>
        <w:keepLines w:val="0"/>
        <w:pageBreakBefore w:val="0"/>
        <w:widowControl w:val="0"/>
        <w:kinsoku/>
        <w:wordWrap/>
        <w:overflowPunct w:val="0"/>
        <w:topLinePunct/>
        <w:autoSpaceDE w:val="0"/>
        <w:autoSpaceDN w:val="0"/>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C493687">
      <w:pPr>
        <w:keepNext w:val="0"/>
        <w:keepLines w:val="0"/>
        <w:pageBreakBefore w:val="0"/>
        <w:widowControl w:val="0"/>
        <w:kinsoku/>
        <w:wordWrap/>
        <w:overflowPunct w:val="0"/>
        <w:topLinePunct/>
        <w:autoSpaceDE w:val="0"/>
        <w:autoSpaceDN w:val="0"/>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9811E43">
      <w:pPr>
        <w:keepNext w:val="0"/>
        <w:keepLines w:val="0"/>
        <w:pageBreakBefore w:val="0"/>
        <w:widowControl w:val="0"/>
        <w:kinsoku/>
        <w:wordWrap/>
        <w:overflowPunct w:val="0"/>
        <w:topLinePunct/>
        <w:autoSpaceDE w:val="0"/>
        <w:autoSpaceDN w:val="0"/>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1B4541E">
      <w:pPr>
        <w:keepNext w:val="0"/>
        <w:keepLines w:val="0"/>
        <w:pageBreakBefore w:val="0"/>
        <w:widowControl w:val="0"/>
        <w:kinsoku/>
        <w:wordWrap/>
        <w:overflowPunct w:val="0"/>
        <w:topLinePunct/>
        <w:autoSpaceDE w:val="0"/>
        <w:autoSpaceDN w:val="0"/>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19C17B2">
      <w:pPr>
        <w:keepNext w:val="0"/>
        <w:keepLines w:val="0"/>
        <w:pageBreakBefore w:val="0"/>
        <w:widowControl w:val="0"/>
        <w:kinsoku/>
        <w:wordWrap/>
        <w:overflowPunct w:val="0"/>
        <w:topLinePunct/>
        <w:autoSpaceDE w:val="0"/>
        <w:autoSpaceDN w:val="0"/>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3D1CCCD">
      <w:pPr>
        <w:keepNext w:val="0"/>
        <w:keepLines w:val="0"/>
        <w:pageBreakBefore w:val="0"/>
        <w:widowControl w:val="0"/>
        <w:kinsoku/>
        <w:wordWrap/>
        <w:overflowPunct w:val="0"/>
        <w:topLinePunct/>
        <w:autoSpaceDE w:val="0"/>
        <w:autoSpaceDN w:val="0"/>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6088B7B">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67" w:name="_Toc7061"/>
      <w:r>
        <w:rPr>
          <w:rFonts w:hint="eastAsia" w:ascii="方正小标宋简体" w:hAnsi="方正小标宋简体" w:eastAsia="方正小标宋简体" w:cs="方正小标宋简体"/>
          <w:color w:val="auto"/>
          <w:sz w:val="44"/>
          <w:szCs w:val="44"/>
          <w:highlight w:val="none"/>
        </w:rPr>
        <w:t xml:space="preserve">第五部分 </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附表</w:t>
      </w:r>
      <w:bookmarkEnd w:id="61"/>
      <w:bookmarkEnd w:id="63"/>
      <w:bookmarkEnd w:id="67"/>
      <w:bookmarkStart w:id="68" w:name="_Toc15396619"/>
    </w:p>
    <w:p w14:paraId="5F23836F">
      <w:pPr>
        <w:pStyle w:val="16"/>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41164AE">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420" w:leftChars="200"/>
        <w:jc w:val="left"/>
        <w:textAlignment w:val="auto"/>
        <w:outlineLvl w:val="0"/>
        <w:rPr>
          <w:rFonts w:hint="eastAsia" w:ascii="Times New Roman" w:hAnsi="Times New Roman" w:eastAsia="仿宋_GB2312" w:cs="仿宋_GB2312"/>
          <w:color w:val="auto"/>
          <w:sz w:val="32"/>
          <w:szCs w:val="32"/>
          <w:highlight w:val="none"/>
        </w:rPr>
      </w:pPr>
      <w:bookmarkStart w:id="69" w:name="_Toc29325"/>
      <w:r>
        <w:rPr>
          <w:rFonts w:hint="eastAsia" w:ascii="Times New Roman" w:hAnsi="Times New Roman" w:eastAsia="仿宋_GB2312" w:cs="仿宋_GB2312"/>
          <w:color w:val="auto"/>
          <w:sz w:val="32"/>
          <w:szCs w:val="32"/>
          <w:highlight w:val="none"/>
        </w:rPr>
        <w:t>一、收入支出决算总表</w:t>
      </w:r>
      <w:bookmarkEnd w:id="68"/>
      <w:bookmarkEnd w:id="69"/>
    </w:p>
    <w:p w14:paraId="79F49AF0">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420" w:leftChars="200"/>
        <w:jc w:val="left"/>
        <w:textAlignment w:val="auto"/>
        <w:outlineLvl w:val="0"/>
        <w:rPr>
          <w:rFonts w:hint="eastAsia" w:ascii="Times New Roman" w:hAnsi="Times New Roman" w:eastAsia="仿宋_GB2312" w:cs="仿宋_GB2312"/>
          <w:color w:val="auto"/>
          <w:sz w:val="32"/>
          <w:szCs w:val="32"/>
          <w:highlight w:val="none"/>
        </w:rPr>
      </w:pPr>
      <w:bookmarkStart w:id="70" w:name="_Toc15396620"/>
      <w:bookmarkStart w:id="71" w:name="_Toc18729"/>
      <w:r>
        <w:rPr>
          <w:rFonts w:hint="eastAsia" w:ascii="Times New Roman" w:hAnsi="Times New Roman" w:eastAsia="仿宋_GB2312" w:cs="仿宋_GB2312"/>
          <w:color w:val="auto"/>
          <w:sz w:val="32"/>
          <w:szCs w:val="32"/>
          <w:highlight w:val="none"/>
        </w:rPr>
        <w:t>二、收入决算表</w:t>
      </w:r>
      <w:bookmarkEnd w:id="70"/>
      <w:bookmarkEnd w:id="71"/>
    </w:p>
    <w:p w14:paraId="175A04FB">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420" w:leftChars="200"/>
        <w:jc w:val="left"/>
        <w:textAlignment w:val="auto"/>
        <w:outlineLvl w:val="0"/>
        <w:rPr>
          <w:rFonts w:hint="eastAsia" w:ascii="Times New Roman" w:hAnsi="Times New Roman" w:eastAsia="仿宋_GB2312" w:cs="仿宋_GB2312"/>
          <w:color w:val="auto"/>
          <w:sz w:val="32"/>
          <w:szCs w:val="32"/>
          <w:highlight w:val="none"/>
        </w:rPr>
      </w:pPr>
      <w:bookmarkStart w:id="72" w:name="_Toc15396621"/>
      <w:bookmarkStart w:id="73" w:name="_Toc5695"/>
      <w:r>
        <w:rPr>
          <w:rFonts w:hint="eastAsia" w:ascii="Times New Roman" w:hAnsi="Times New Roman" w:eastAsia="仿宋_GB2312" w:cs="仿宋_GB2312"/>
          <w:color w:val="auto"/>
          <w:sz w:val="32"/>
          <w:szCs w:val="32"/>
          <w:highlight w:val="none"/>
        </w:rPr>
        <w:t>三、支出决算表</w:t>
      </w:r>
      <w:bookmarkEnd w:id="72"/>
      <w:bookmarkEnd w:id="73"/>
    </w:p>
    <w:p w14:paraId="1D61D437">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420" w:leftChars="200"/>
        <w:jc w:val="left"/>
        <w:textAlignment w:val="auto"/>
        <w:outlineLvl w:val="0"/>
        <w:rPr>
          <w:rFonts w:hint="eastAsia" w:ascii="Times New Roman" w:hAnsi="Times New Roman" w:eastAsia="仿宋_GB2312" w:cs="仿宋_GB2312"/>
          <w:color w:val="auto"/>
          <w:sz w:val="32"/>
          <w:szCs w:val="32"/>
          <w:highlight w:val="none"/>
        </w:rPr>
      </w:pPr>
      <w:bookmarkStart w:id="74" w:name="_Toc15396622"/>
      <w:bookmarkStart w:id="75" w:name="_Toc20976"/>
      <w:r>
        <w:rPr>
          <w:rFonts w:hint="eastAsia" w:ascii="Times New Roman" w:hAnsi="Times New Roman" w:eastAsia="仿宋_GB2312" w:cs="仿宋_GB2312"/>
          <w:color w:val="auto"/>
          <w:sz w:val="32"/>
          <w:szCs w:val="32"/>
          <w:highlight w:val="none"/>
        </w:rPr>
        <w:t>四、财政拨款收入支出决算总表</w:t>
      </w:r>
      <w:bookmarkEnd w:id="74"/>
      <w:bookmarkEnd w:id="75"/>
    </w:p>
    <w:p w14:paraId="22301EA6">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420" w:leftChars="200"/>
        <w:jc w:val="left"/>
        <w:textAlignment w:val="auto"/>
        <w:outlineLvl w:val="0"/>
        <w:rPr>
          <w:rFonts w:hint="eastAsia" w:ascii="Times New Roman" w:hAnsi="Times New Roman" w:eastAsia="仿宋_GB2312" w:cs="仿宋_GB2312"/>
          <w:color w:val="auto"/>
          <w:sz w:val="32"/>
          <w:szCs w:val="32"/>
          <w:highlight w:val="none"/>
        </w:rPr>
      </w:pPr>
      <w:bookmarkStart w:id="76" w:name="_Toc15396623"/>
      <w:bookmarkStart w:id="77" w:name="_Toc13554"/>
      <w:r>
        <w:rPr>
          <w:rFonts w:hint="eastAsia" w:ascii="Times New Roman" w:hAnsi="Times New Roman" w:eastAsia="仿宋_GB2312" w:cs="仿宋_GB2312"/>
          <w:color w:val="auto"/>
          <w:sz w:val="32"/>
          <w:szCs w:val="32"/>
          <w:highlight w:val="none"/>
        </w:rPr>
        <w:t>五、财政拨款支出决算明细表</w:t>
      </w:r>
      <w:bookmarkEnd w:id="76"/>
      <w:bookmarkEnd w:id="77"/>
      <w:bookmarkStart w:id="78" w:name="_Toc15396624"/>
    </w:p>
    <w:p w14:paraId="42D56FD3">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420" w:leftChars="200"/>
        <w:jc w:val="left"/>
        <w:textAlignment w:val="auto"/>
        <w:outlineLvl w:val="0"/>
        <w:rPr>
          <w:rFonts w:hint="eastAsia" w:ascii="Times New Roman" w:hAnsi="Times New Roman" w:eastAsia="仿宋_GB2312" w:cs="仿宋_GB2312"/>
          <w:color w:val="auto"/>
          <w:sz w:val="32"/>
          <w:szCs w:val="32"/>
          <w:highlight w:val="none"/>
        </w:rPr>
      </w:pPr>
      <w:bookmarkStart w:id="79" w:name="_Toc3287"/>
      <w:r>
        <w:rPr>
          <w:rFonts w:hint="eastAsia" w:ascii="Times New Roman" w:hAnsi="Times New Roman" w:eastAsia="仿宋_GB2312" w:cs="仿宋_GB2312"/>
          <w:color w:val="auto"/>
          <w:sz w:val="32"/>
          <w:szCs w:val="32"/>
          <w:highlight w:val="none"/>
        </w:rPr>
        <w:t>六、一般公共预算财政拨款支出决算表</w:t>
      </w:r>
      <w:bookmarkEnd w:id="78"/>
      <w:bookmarkEnd w:id="79"/>
    </w:p>
    <w:p w14:paraId="2AD535BF">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420" w:leftChars="200"/>
        <w:jc w:val="left"/>
        <w:textAlignment w:val="auto"/>
        <w:outlineLvl w:val="0"/>
        <w:rPr>
          <w:rFonts w:hint="eastAsia" w:ascii="Times New Roman" w:hAnsi="Times New Roman" w:eastAsia="仿宋_GB2312" w:cs="仿宋_GB2312"/>
          <w:color w:val="auto"/>
          <w:sz w:val="32"/>
          <w:szCs w:val="32"/>
          <w:highlight w:val="none"/>
        </w:rPr>
      </w:pPr>
      <w:bookmarkStart w:id="80" w:name="_Toc30937"/>
      <w:bookmarkStart w:id="81" w:name="_Toc15396625"/>
      <w:r>
        <w:rPr>
          <w:rFonts w:hint="eastAsia" w:ascii="Times New Roman" w:hAnsi="Times New Roman" w:eastAsia="仿宋_GB2312" w:cs="仿宋_GB2312"/>
          <w:color w:val="auto"/>
          <w:sz w:val="32"/>
          <w:szCs w:val="32"/>
          <w:highlight w:val="none"/>
        </w:rPr>
        <w:t>七、一般公共预算财政拨款支出决算明细表</w:t>
      </w:r>
      <w:bookmarkEnd w:id="80"/>
      <w:bookmarkEnd w:id="81"/>
    </w:p>
    <w:p w14:paraId="3B92F1FA">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420" w:leftChars="200"/>
        <w:jc w:val="left"/>
        <w:textAlignment w:val="auto"/>
        <w:outlineLvl w:val="0"/>
        <w:rPr>
          <w:rFonts w:hint="eastAsia" w:ascii="Times New Roman" w:hAnsi="Times New Roman" w:eastAsia="仿宋_GB2312" w:cs="仿宋_GB2312"/>
          <w:color w:val="auto"/>
          <w:sz w:val="32"/>
          <w:szCs w:val="32"/>
          <w:highlight w:val="none"/>
        </w:rPr>
      </w:pPr>
      <w:bookmarkStart w:id="82" w:name="_Toc15396626"/>
      <w:bookmarkStart w:id="83" w:name="_Toc13940"/>
      <w:r>
        <w:rPr>
          <w:rFonts w:hint="eastAsia" w:ascii="Times New Roman" w:hAnsi="Times New Roman" w:eastAsia="仿宋_GB2312" w:cs="仿宋_GB2312"/>
          <w:color w:val="auto"/>
          <w:sz w:val="32"/>
          <w:szCs w:val="32"/>
          <w:highlight w:val="none"/>
        </w:rPr>
        <w:t>八、一般公共预算财政拨款基本支出决算表</w:t>
      </w:r>
      <w:bookmarkEnd w:id="82"/>
      <w:bookmarkEnd w:id="83"/>
    </w:p>
    <w:p w14:paraId="310080F9">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420" w:leftChars="200"/>
        <w:jc w:val="left"/>
        <w:textAlignment w:val="auto"/>
        <w:outlineLvl w:val="0"/>
        <w:rPr>
          <w:rFonts w:hint="eastAsia" w:ascii="Times New Roman" w:hAnsi="Times New Roman" w:eastAsia="仿宋_GB2312" w:cs="仿宋_GB2312"/>
          <w:color w:val="auto"/>
          <w:sz w:val="32"/>
          <w:szCs w:val="32"/>
          <w:highlight w:val="none"/>
        </w:rPr>
      </w:pPr>
      <w:bookmarkStart w:id="84" w:name="_Toc15396627"/>
      <w:bookmarkStart w:id="85" w:name="_Toc8877"/>
      <w:r>
        <w:rPr>
          <w:rFonts w:hint="eastAsia" w:ascii="Times New Roman" w:hAnsi="Times New Roman" w:eastAsia="仿宋_GB2312" w:cs="仿宋_GB2312"/>
          <w:color w:val="auto"/>
          <w:sz w:val="32"/>
          <w:szCs w:val="32"/>
          <w:highlight w:val="none"/>
        </w:rPr>
        <w:t>九、一般公共预算财政拨款项目支出决算表</w:t>
      </w:r>
      <w:bookmarkEnd w:id="84"/>
      <w:bookmarkEnd w:id="85"/>
    </w:p>
    <w:p w14:paraId="78345F40">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420" w:leftChars="200"/>
        <w:jc w:val="left"/>
        <w:textAlignment w:val="auto"/>
        <w:outlineLvl w:val="0"/>
        <w:rPr>
          <w:rFonts w:hint="eastAsia" w:ascii="Times New Roman" w:hAnsi="Times New Roman" w:eastAsia="仿宋_GB2312" w:cs="仿宋_GB2312"/>
          <w:color w:val="auto"/>
          <w:sz w:val="32"/>
          <w:szCs w:val="32"/>
          <w:highlight w:val="none"/>
        </w:rPr>
      </w:pPr>
      <w:bookmarkStart w:id="86" w:name="_Toc15396628"/>
      <w:bookmarkStart w:id="87" w:name="_Toc12562"/>
      <w:r>
        <w:rPr>
          <w:rFonts w:hint="eastAsia" w:ascii="Times New Roman" w:hAnsi="Times New Roman" w:eastAsia="仿宋_GB2312" w:cs="仿宋_GB2312"/>
          <w:color w:val="auto"/>
          <w:sz w:val="32"/>
          <w:szCs w:val="32"/>
          <w:highlight w:val="none"/>
        </w:rPr>
        <w:t>十、</w:t>
      </w:r>
      <w:bookmarkEnd w:id="86"/>
      <w:r>
        <w:rPr>
          <w:rFonts w:hint="eastAsia" w:ascii="Times New Roman" w:hAnsi="Times New Roman" w:eastAsia="仿宋_GB2312" w:cs="仿宋_GB2312"/>
          <w:color w:val="auto"/>
          <w:sz w:val="32"/>
          <w:szCs w:val="32"/>
          <w:highlight w:val="none"/>
        </w:rPr>
        <w:t>政府性基金预算财政拨款收入支出决算表</w:t>
      </w:r>
      <w:bookmarkEnd w:id="87"/>
    </w:p>
    <w:p w14:paraId="1C57B817">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420" w:leftChars="200"/>
        <w:jc w:val="left"/>
        <w:textAlignment w:val="auto"/>
        <w:outlineLvl w:val="0"/>
        <w:rPr>
          <w:rFonts w:hint="eastAsia" w:ascii="Times New Roman" w:hAnsi="Times New Roman" w:eastAsia="仿宋_GB2312" w:cs="仿宋_GB2312"/>
          <w:color w:val="auto"/>
          <w:sz w:val="32"/>
          <w:szCs w:val="32"/>
          <w:highlight w:val="none"/>
        </w:rPr>
      </w:pPr>
      <w:bookmarkStart w:id="88" w:name="_Toc15396629"/>
      <w:bookmarkStart w:id="89" w:name="_Toc1573"/>
      <w:r>
        <w:rPr>
          <w:rFonts w:hint="eastAsia" w:ascii="Times New Roman" w:hAnsi="Times New Roman" w:eastAsia="仿宋_GB2312" w:cs="仿宋_GB2312"/>
          <w:color w:val="auto"/>
          <w:sz w:val="32"/>
          <w:szCs w:val="32"/>
          <w:highlight w:val="none"/>
        </w:rPr>
        <w:t>十一、</w:t>
      </w:r>
      <w:bookmarkEnd w:id="8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89"/>
    </w:p>
    <w:p w14:paraId="0206D3AB">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420" w:leftChars="200"/>
        <w:jc w:val="left"/>
        <w:textAlignment w:val="auto"/>
        <w:outlineLvl w:val="0"/>
        <w:rPr>
          <w:rFonts w:hint="eastAsia" w:ascii="Times New Roman" w:hAnsi="Times New Roman" w:eastAsia="仿宋_GB2312" w:cs="仿宋_GB2312"/>
          <w:color w:val="auto"/>
          <w:sz w:val="32"/>
          <w:szCs w:val="32"/>
          <w:highlight w:val="none"/>
        </w:rPr>
      </w:pPr>
      <w:bookmarkStart w:id="90" w:name="_Toc15396630"/>
      <w:bookmarkStart w:id="91" w:name="_Toc23002"/>
      <w:r>
        <w:rPr>
          <w:rFonts w:hint="eastAsia" w:ascii="Times New Roman" w:hAnsi="Times New Roman" w:eastAsia="仿宋_GB2312" w:cs="仿宋_GB2312"/>
          <w:color w:val="auto"/>
          <w:sz w:val="32"/>
          <w:szCs w:val="32"/>
          <w:highlight w:val="none"/>
        </w:rPr>
        <w:t>十二、</w:t>
      </w:r>
      <w:bookmarkEnd w:id="90"/>
      <w:r>
        <w:rPr>
          <w:rFonts w:hint="eastAsia" w:ascii="Times New Roman" w:hAnsi="Times New Roman" w:eastAsia="仿宋_GB2312" w:cs="仿宋_GB2312"/>
          <w:color w:val="auto"/>
          <w:sz w:val="32"/>
          <w:szCs w:val="32"/>
          <w:highlight w:val="none"/>
          <w:lang w:eastAsia="zh-CN"/>
        </w:rPr>
        <w:t>国有资本经营预算财政拨款支出决算表</w:t>
      </w:r>
      <w:bookmarkEnd w:id="91"/>
    </w:p>
    <w:p w14:paraId="332387F2">
      <w:pPr>
        <w:pStyle w:val="16"/>
        <w:keepNext w:val="0"/>
        <w:keepLines w:val="0"/>
        <w:pageBreakBefore w:val="0"/>
        <w:widowControl w:val="0"/>
        <w:kinsoku/>
        <w:wordWrap/>
        <w:overflowPunct w:val="0"/>
        <w:topLinePunct/>
        <w:autoSpaceDE w:val="0"/>
        <w:autoSpaceDN w:val="0"/>
        <w:bidi w:val="0"/>
        <w:adjustRightInd w:val="0"/>
        <w:snapToGrid w:val="0"/>
        <w:spacing w:line="560" w:lineRule="exact"/>
        <w:ind w:left="420" w:leftChars="200"/>
        <w:jc w:val="left"/>
        <w:textAlignment w:val="auto"/>
        <w:outlineLvl w:val="0"/>
        <w:rPr>
          <w:rFonts w:hint="eastAsia" w:ascii="Times New Roman" w:hAnsi="Times New Roman"/>
          <w:sz w:val="32"/>
          <w:szCs w:val="32"/>
          <w:lang w:eastAsia="zh-CN"/>
        </w:rPr>
      </w:pPr>
      <w:bookmarkStart w:id="92" w:name="_Toc15396631"/>
      <w:bookmarkStart w:id="93" w:name="_Toc10981"/>
      <w:r>
        <w:rPr>
          <w:rFonts w:hint="eastAsia" w:ascii="Times New Roman" w:hAnsi="Times New Roman" w:eastAsia="仿宋_GB2312" w:cs="仿宋_GB2312"/>
          <w:color w:val="auto"/>
          <w:sz w:val="32"/>
          <w:szCs w:val="32"/>
          <w:highlight w:val="none"/>
        </w:rPr>
        <w:t>十三、</w:t>
      </w:r>
      <w:bookmarkEnd w:id="92"/>
      <w:r>
        <w:rPr>
          <w:rFonts w:hint="eastAsia" w:ascii="Times New Roman" w:hAnsi="Times New Roman" w:eastAsia="仿宋_GB2312" w:cs="仿宋_GB2312"/>
          <w:color w:val="auto"/>
          <w:sz w:val="32"/>
          <w:szCs w:val="32"/>
          <w:highlight w:val="none"/>
          <w:lang w:eastAsia="zh-CN"/>
        </w:rPr>
        <w:t>财政拨款“三公”经费支出决算表</w:t>
      </w:r>
      <w:bookmarkEnd w:id="93"/>
    </w:p>
    <w:sectPr>
      <w:footerReference r:id="rId8" w:type="first"/>
      <w:footerReference r:id="rId7" w:type="default"/>
      <w:pgSz w:w="11906" w:h="16838"/>
      <w:pgMar w:top="2098" w:right="1474" w:bottom="1984" w:left="1587" w:header="851" w:footer="1304"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EB3A7F-702C-45E1-8C7C-047DFA9606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5F5C9A9-3A69-484A-9229-3638E03AA9B9}"/>
  </w:font>
  <w:font w:name="仿宋">
    <w:panose1 w:val="02010609060101010101"/>
    <w:charset w:val="86"/>
    <w:family w:val="modern"/>
    <w:pitch w:val="default"/>
    <w:sig w:usb0="800002BF" w:usb1="38CF7CFA" w:usb2="00000016" w:usb3="00000000" w:csb0="00040001" w:csb1="00000000"/>
    <w:embedRegular r:id="rId3" w:fontKey="{3A143E6A-7286-4206-A19A-F744600508DD}"/>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embedRegular r:id="rId4" w:fontKey="{DC230601-7726-47BF-8719-A26A3F3CE16F}"/>
  </w:font>
  <w:font w:name="楷体_GB2312">
    <w:panose1 w:val="02010609030101010101"/>
    <w:charset w:val="86"/>
    <w:family w:val="auto"/>
    <w:pitch w:val="default"/>
    <w:sig w:usb0="00000001" w:usb1="080E0000" w:usb2="00000000" w:usb3="00000000" w:csb0="00040000" w:csb1="00000000"/>
    <w:embedRegular r:id="rId5" w:fontKey="{55983E49-63F5-423C-A63A-91F4B5851759}"/>
  </w:font>
  <w:font w:name="微软雅黑">
    <w:panose1 w:val="020B0503020204020204"/>
    <w:charset w:val="86"/>
    <w:family w:val="auto"/>
    <w:pitch w:val="default"/>
    <w:sig w:usb0="80000287" w:usb1="280F3C52" w:usb2="00000016" w:usb3="00000000" w:csb0="0004001F" w:csb1="00000000"/>
    <w:embedRegular r:id="rId6" w:fontKey="{98374943-C298-42B5-A019-C4969326AD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8B2AD">
    <w:pPr>
      <w:pStyle w:val="11"/>
      <w:jc w:val="center"/>
    </w:pPr>
  </w:p>
  <w:p w14:paraId="7DA2EBE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715D9">
    <w:pPr>
      <w:pStyle w:val="11"/>
      <w:jc w:val="center"/>
    </w:pPr>
  </w:p>
  <w:p w14:paraId="3112B76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F707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F1B61">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9ECDD">
                          <w:pPr>
                            <w:pStyle w:val="1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079ECDD">
                    <w:pPr>
                      <w:pStyle w:val="1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4F9EFDBD">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816D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2937A">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A02937A">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F357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D0724"/>
    <w:multiLevelType w:val="singleLevel"/>
    <w:tmpl w:val="E1AD0724"/>
    <w:lvl w:ilvl="0" w:tentative="0">
      <w:start w:val="3"/>
      <w:numFmt w:val="decimal"/>
      <w:lvlText w:val="%1."/>
      <w:lvlJc w:val="left"/>
      <w:pPr>
        <w:tabs>
          <w:tab w:val="left" w:pos="312"/>
        </w:tabs>
      </w:pPr>
    </w:lvl>
  </w:abstractNum>
  <w:abstractNum w:abstractNumId="1">
    <w:nsid w:val="03D715A2"/>
    <w:multiLevelType w:val="singleLevel"/>
    <w:tmpl w:val="03D715A2"/>
    <w:lvl w:ilvl="0" w:tentative="0">
      <w:start w:val="1"/>
      <w:numFmt w:val="decimal"/>
      <w:lvlText w:val="%1."/>
      <w:lvlJc w:val="left"/>
      <w:pPr>
        <w:tabs>
          <w:tab w:val="left" w:pos="312"/>
        </w:tabs>
      </w:pPr>
    </w:lvl>
  </w:abstractNum>
  <w:abstractNum w:abstractNumId="2">
    <w:nsid w:val="07F0A232"/>
    <w:multiLevelType w:val="singleLevel"/>
    <w:tmpl w:val="07F0A232"/>
    <w:lvl w:ilvl="0" w:tentative="0">
      <w:start w:val="1"/>
      <w:numFmt w:val="chineseCounting"/>
      <w:suff w:val="nothing"/>
      <w:lvlText w:val="%1、"/>
      <w:lvlJc w:val="left"/>
      <w:rPr>
        <w:rFonts w:hint="eastAsia"/>
      </w:rPr>
    </w:lvl>
  </w:abstractNum>
  <w:abstractNum w:abstractNumId="3">
    <w:nsid w:val="13DE4603"/>
    <w:multiLevelType w:val="singleLevel"/>
    <w:tmpl w:val="13DE4603"/>
    <w:lvl w:ilvl="0" w:tentative="0">
      <w:start w:val="1"/>
      <w:numFmt w:val="chineseCounting"/>
      <w:suff w:val="nothing"/>
      <w:lvlText w:val="%1、"/>
      <w:lvlJc w:val="left"/>
      <w:rPr>
        <w:rFonts w:hint="eastAsia"/>
      </w:rPr>
    </w:lvl>
  </w:abstractNum>
  <w:abstractNum w:abstractNumId="4">
    <w:nsid w:val="2ED0D9DF"/>
    <w:multiLevelType w:val="singleLevel"/>
    <w:tmpl w:val="2ED0D9DF"/>
    <w:lvl w:ilvl="0" w:tentative="0">
      <w:start w:val="3"/>
      <w:numFmt w:val="chineseCounting"/>
      <w:suff w:val="nothing"/>
      <w:lvlText w:val="（%1）"/>
      <w:lvlJc w:val="left"/>
      <w:rPr>
        <w:rFonts w:hint="eastAsia"/>
      </w:rPr>
    </w:lvl>
  </w:abstractNum>
  <w:abstractNum w:abstractNumId="5">
    <w:nsid w:val="431B2F4A"/>
    <w:multiLevelType w:val="singleLevel"/>
    <w:tmpl w:val="431B2F4A"/>
    <w:lvl w:ilvl="0" w:tentative="0">
      <w:start w:val="2"/>
      <w:numFmt w:val="decimal"/>
      <w:lvlText w:val="%1."/>
      <w:lvlJc w:val="left"/>
      <w:pPr>
        <w:tabs>
          <w:tab w:val="left" w:pos="312"/>
        </w:tabs>
      </w:pPr>
    </w:lvl>
  </w:abstractNum>
  <w:abstractNum w:abstractNumId="6">
    <w:nsid w:val="47B4A65E"/>
    <w:multiLevelType w:val="singleLevel"/>
    <w:tmpl w:val="47B4A65E"/>
    <w:lvl w:ilvl="0" w:tentative="0">
      <w:start w:val="1"/>
      <w:numFmt w:val="chineseCounting"/>
      <w:suff w:val="nothing"/>
      <w:lvlText w:val="（%1）"/>
      <w:lvlJc w:val="left"/>
      <w:pPr>
        <w:ind w:left="0" w:firstLine="464"/>
      </w:pPr>
      <w:rPr>
        <w:rFonts w:hint="eastAsia"/>
      </w:rPr>
    </w:lvl>
  </w:abstractNum>
  <w:abstractNum w:abstractNumId="7">
    <w:nsid w:val="631B6E6E"/>
    <w:multiLevelType w:val="singleLevel"/>
    <w:tmpl w:val="631B6E6E"/>
    <w:lvl w:ilvl="0" w:tentative="0">
      <w:start w:val="2"/>
      <w:numFmt w:val="chineseCounting"/>
      <w:suff w:val="nothing"/>
      <w:lvlText w:val="（%1）"/>
      <w:lvlJc w:val="left"/>
      <w:rPr>
        <w:rFonts w:hint="eastAsia"/>
        <w:b/>
        <w:bCs/>
      </w:rPr>
    </w:lvl>
  </w:abstractNum>
  <w:num w:numId="1">
    <w:abstractNumId w:val="3"/>
  </w:num>
  <w:num w:numId="2">
    <w:abstractNumId w:val="6"/>
  </w:num>
  <w:num w:numId="3">
    <w:abstractNumId w:val="0"/>
  </w:num>
  <w:num w:numId="4">
    <w:abstractNumId w:val="4"/>
  </w:num>
  <w:num w:numId="5">
    <w:abstractNumId w:val="7"/>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406A"/>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BA5334"/>
    <w:rsid w:val="02FEBE30"/>
    <w:rsid w:val="03B15391"/>
    <w:rsid w:val="04025BED"/>
    <w:rsid w:val="04273641"/>
    <w:rsid w:val="04916F1E"/>
    <w:rsid w:val="050F52E0"/>
    <w:rsid w:val="06041631"/>
    <w:rsid w:val="061E35DE"/>
    <w:rsid w:val="066E0107"/>
    <w:rsid w:val="06A116ED"/>
    <w:rsid w:val="06B31420"/>
    <w:rsid w:val="06BC02D5"/>
    <w:rsid w:val="07996F6E"/>
    <w:rsid w:val="07DFD8BA"/>
    <w:rsid w:val="084F2ED5"/>
    <w:rsid w:val="08D82650"/>
    <w:rsid w:val="09867E8F"/>
    <w:rsid w:val="09930631"/>
    <w:rsid w:val="0A2032A3"/>
    <w:rsid w:val="0A2148F3"/>
    <w:rsid w:val="0A9E6FA0"/>
    <w:rsid w:val="0AC30636"/>
    <w:rsid w:val="0B331380"/>
    <w:rsid w:val="0BBF2615"/>
    <w:rsid w:val="0C16421A"/>
    <w:rsid w:val="0CA8290A"/>
    <w:rsid w:val="0D35B1ED"/>
    <w:rsid w:val="0D516797"/>
    <w:rsid w:val="0E254B6B"/>
    <w:rsid w:val="0E5F4D59"/>
    <w:rsid w:val="0F22032E"/>
    <w:rsid w:val="0F98263C"/>
    <w:rsid w:val="1007166D"/>
    <w:rsid w:val="101860EC"/>
    <w:rsid w:val="101F47CC"/>
    <w:rsid w:val="10C055FF"/>
    <w:rsid w:val="11694EBD"/>
    <w:rsid w:val="11772AA4"/>
    <w:rsid w:val="118107EC"/>
    <w:rsid w:val="12B75DF4"/>
    <w:rsid w:val="12E24EE2"/>
    <w:rsid w:val="133A1F99"/>
    <w:rsid w:val="13D50BC4"/>
    <w:rsid w:val="14B17F78"/>
    <w:rsid w:val="165E0673"/>
    <w:rsid w:val="16B831D5"/>
    <w:rsid w:val="16BB723D"/>
    <w:rsid w:val="17BC3C60"/>
    <w:rsid w:val="17E50567"/>
    <w:rsid w:val="186504BB"/>
    <w:rsid w:val="18D5435A"/>
    <w:rsid w:val="19467ED2"/>
    <w:rsid w:val="19A445FC"/>
    <w:rsid w:val="1A266374"/>
    <w:rsid w:val="1B0E4768"/>
    <w:rsid w:val="1BBF0F0E"/>
    <w:rsid w:val="1BE8440E"/>
    <w:rsid w:val="1C0F4EF3"/>
    <w:rsid w:val="1CE63CF9"/>
    <w:rsid w:val="1D021C88"/>
    <w:rsid w:val="1D155CEE"/>
    <w:rsid w:val="1D1638FE"/>
    <w:rsid w:val="1E312DEB"/>
    <w:rsid w:val="1E6334E5"/>
    <w:rsid w:val="1E740ACF"/>
    <w:rsid w:val="1EF04B68"/>
    <w:rsid w:val="1F1978BF"/>
    <w:rsid w:val="1F8B4EC7"/>
    <w:rsid w:val="1FF35744"/>
    <w:rsid w:val="1FF6BC77"/>
    <w:rsid w:val="201D2648"/>
    <w:rsid w:val="2186353C"/>
    <w:rsid w:val="221548E5"/>
    <w:rsid w:val="23860B96"/>
    <w:rsid w:val="240371BF"/>
    <w:rsid w:val="244F3473"/>
    <w:rsid w:val="24C97D99"/>
    <w:rsid w:val="25A718F0"/>
    <w:rsid w:val="25BB59F6"/>
    <w:rsid w:val="260F557C"/>
    <w:rsid w:val="26970054"/>
    <w:rsid w:val="281408E2"/>
    <w:rsid w:val="284952E9"/>
    <w:rsid w:val="29FD04D3"/>
    <w:rsid w:val="2A0F00F5"/>
    <w:rsid w:val="2B8B30E0"/>
    <w:rsid w:val="2BBD05CD"/>
    <w:rsid w:val="2BFF7BC6"/>
    <w:rsid w:val="2C7D5DC7"/>
    <w:rsid w:val="2C8A61B5"/>
    <w:rsid w:val="2CC73FC4"/>
    <w:rsid w:val="2D9477AB"/>
    <w:rsid w:val="2DA80DA1"/>
    <w:rsid w:val="2DF04E50"/>
    <w:rsid w:val="2E586DFA"/>
    <w:rsid w:val="2F040D46"/>
    <w:rsid w:val="2F6B035B"/>
    <w:rsid w:val="2FAE5751"/>
    <w:rsid w:val="2FB1A395"/>
    <w:rsid w:val="2FD9A7D8"/>
    <w:rsid w:val="2FDBF714"/>
    <w:rsid w:val="30A864ED"/>
    <w:rsid w:val="30AB6865"/>
    <w:rsid w:val="30F46B5D"/>
    <w:rsid w:val="319F7F4E"/>
    <w:rsid w:val="31B772F8"/>
    <w:rsid w:val="31D54993"/>
    <w:rsid w:val="32103C84"/>
    <w:rsid w:val="32BD1EF1"/>
    <w:rsid w:val="3304709D"/>
    <w:rsid w:val="33686F6B"/>
    <w:rsid w:val="33A773CB"/>
    <w:rsid w:val="349D6851"/>
    <w:rsid w:val="351D26AC"/>
    <w:rsid w:val="35843E04"/>
    <w:rsid w:val="36AA5135"/>
    <w:rsid w:val="36BE0DA7"/>
    <w:rsid w:val="376B6AA6"/>
    <w:rsid w:val="376D39B2"/>
    <w:rsid w:val="37E16F03"/>
    <w:rsid w:val="37F53A3B"/>
    <w:rsid w:val="389B6C89"/>
    <w:rsid w:val="38D469F0"/>
    <w:rsid w:val="38DE1FB5"/>
    <w:rsid w:val="395D41C1"/>
    <w:rsid w:val="39627CCD"/>
    <w:rsid w:val="397BAF1F"/>
    <w:rsid w:val="3A4B3142"/>
    <w:rsid w:val="3A8C165E"/>
    <w:rsid w:val="3AB79AF3"/>
    <w:rsid w:val="3AE834C0"/>
    <w:rsid w:val="3AF45588"/>
    <w:rsid w:val="3B7EF35A"/>
    <w:rsid w:val="3B9FDB6C"/>
    <w:rsid w:val="3BF5BC2F"/>
    <w:rsid w:val="3C4A0349"/>
    <w:rsid w:val="3CEBA265"/>
    <w:rsid w:val="3D254C08"/>
    <w:rsid w:val="3D98207C"/>
    <w:rsid w:val="3DEE7CF3"/>
    <w:rsid w:val="3E740A63"/>
    <w:rsid w:val="3E78745D"/>
    <w:rsid w:val="3EE17838"/>
    <w:rsid w:val="3F55381A"/>
    <w:rsid w:val="3F7F7599"/>
    <w:rsid w:val="3FF4CAE0"/>
    <w:rsid w:val="3FF7B227"/>
    <w:rsid w:val="410450ED"/>
    <w:rsid w:val="41AD7188"/>
    <w:rsid w:val="44E268DA"/>
    <w:rsid w:val="450D13D7"/>
    <w:rsid w:val="452463AD"/>
    <w:rsid w:val="45506656"/>
    <w:rsid w:val="45967968"/>
    <w:rsid w:val="45B47580"/>
    <w:rsid w:val="45D00592"/>
    <w:rsid w:val="45EE1552"/>
    <w:rsid w:val="46353A70"/>
    <w:rsid w:val="466B37D3"/>
    <w:rsid w:val="486A6C7A"/>
    <w:rsid w:val="4A627F82"/>
    <w:rsid w:val="4AEC2917"/>
    <w:rsid w:val="4B0E749A"/>
    <w:rsid w:val="4B2477C4"/>
    <w:rsid w:val="4B3F45FD"/>
    <w:rsid w:val="4B4F25DA"/>
    <w:rsid w:val="4B903C5B"/>
    <w:rsid w:val="4BE068DB"/>
    <w:rsid w:val="4CDD40CE"/>
    <w:rsid w:val="4D372C3B"/>
    <w:rsid w:val="4D577224"/>
    <w:rsid w:val="4DBF1CEB"/>
    <w:rsid w:val="4DF0007C"/>
    <w:rsid w:val="4E473EF5"/>
    <w:rsid w:val="4EAB630A"/>
    <w:rsid w:val="4ECE2238"/>
    <w:rsid w:val="4F833267"/>
    <w:rsid w:val="4FE9BD67"/>
    <w:rsid w:val="4FFB052F"/>
    <w:rsid w:val="51E563AB"/>
    <w:rsid w:val="51E97071"/>
    <w:rsid w:val="537E6D0A"/>
    <w:rsid w:val="53F74C96"/>
    <w:rsid w:val="54436F0C"/>
    <w:rsid w:val="55170BA8"/>
    <w:rsid w:val="553218C9"/>
    <w:rsid w:val="553A1364"/>
    <w:rsid w:val="55592760"/>
    <w:rsid w:val="56116BDA"/>
    <w:rsid w:val="567E1AA5"/>
    <w:rsid w:val="56E47B74"/>
    <w:rsid w:val="57175D52"/>
    <w:rsid w:val="571B7984"/>
    <w:rsid w:val="576C677A"/>
    <w:rsid w:val="57BD3DD4"/>
    <w:rsid w:val="57C41DCA"/>
    <w:rsid w:val="5858730C"/>
    <w:rsid w:val="592C545B"/>
    <w:rsid w:val="5A113609"/>
    <w:rsid w:val="5AF92295"/>
    <w:rsid w:val="5B250254"/>
    <w:rsid w:val="5BDD79E6"/>
    <w:rsid w:val="5BF561CA"/>
    <w:rsid w:val="5BFC4C54"/>
    <w:rsid w:val="5BFF5DFC"/>
    <w:rsid w:val="5C202D8B"/>
    <w:rsid w:val="5CBD29A0"/>
    <w:rsid w:val="5CD71FC4"/>
    <w:rsid w:val="5D1F11B5"/>
    <w:rsid w:val="5D695134"/>
    <w:rsid w:val="5D724260"/>
    <w:rsid w:val="5DAE1B18"/>
    <w:rsid w:val="5DE7D9E5"/>
    <w:rsid w:val="5ECEC941"/>
    <w:rsid w:val="5EDF3926"/>
    <w:rsid w:val="5F177DFA"/>
    <w:rsid w:val="5F5B3D91"/>
    <w:rsid w:val="5FBF9FF3"/>
    <w:rsid w:val="5FC52FA4"/>
    <w:rsid w:val="5FCD4E2C"/>
    <w:rsid w:val="5FEF394A"/>
    <w:rsid w:val="5FF67715"/>
    <w:rsid w:val="623D18A4"/>
    <w:rsid w:val="62BF3928"/>
    <w:rsid w:val="63901A42"/>
    <w:rsid w:val="63B3701E"/>
    <w:rsid w:val="647F5392"/>
    <w:rsid w:val="65E66580"/>
    <w:rsid w:val="664B1D71"/>
    <w:rsid w:val="664B4E8E"/>
    <w:rsid w:val="66840416"/>
    <w:rsid w:val="67277B67"/>
    <w:rsid w:val="67417AD6"/>
    <w:rsid w:val="6784366C"/>
    <w:rsid w:val="67A94A07"/>
    <w:rsid w:val="67AA3209"/>
    <w:rsid w:val="698D0931"/>
    <w:rsid w:val="6A7FE5F3"/>
    <w:rsid w:val="6A89220C"/>
    <w:rsid w:val="6B053271"/>
    <w:rsid w:val="6BDD78B3"/>
    <w:rsid w:val="6C4A05C8"/>
    <w:rsid w:val="6C5D26DE"/>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78567F"/>
    <w:rsid w:val="70AE4D5E"/>
    <w:rsid w:val="70C77B9F"/>
    <w:rsid w:val="712A28F1"/>
    <w:rsid w:val="715C0E4B"/>
    <w:rsid w:val="71992E7C"/>
    <w:rsid w:val="72233669"/>
    <w:rsid w:val="72734D90"/>
    <w:rsid w:val="72DA6468"/>
    <w:rsid w:val="73160E6D"/>
    <w:rsid w:val="7332FE48"/>
    <w:rsid w:val="73AB61DA"/>
    <w:rsid w:val="73AD73D5"/>
    <w:rsid w:val="73B6EB34"/>
    <w:rsid w:val="73F61261"/>
    <w:rsid w:val="73FA497D"/>
    <w:rsid w:val="744731E5"/>
    <w:rsid w:val="74BBD01D"/>
    <w:rsid w:val="74ED5379"/>
    <w:rsid w:val="75DEEEC2"/>
    <w:rsid w:val="75E32345"/>
    <w:rsid w:val="76E3355F"/>
    <w:rsid w:val="76EC7930"/>
    <w:rsid w:val="76FF5125"/>
    <w:rsid w:val="776F6FFA"/>
    <w:rsid w:val="778769C8"/>
    <w:rsid w:val="77A75DCA"/>
    <w:rsid w:val="77DC22F5"/>
    <w:rsid w:val="77E12415"/>
    <w:rsid w:val="78302628"/>
    <w:rsid w:val="783E271A"/>
    <w:rsid w:val="78616DE9"/>
    <w:rsid w:val="78E875D7"/>
    <w:rsid w:val="79086DAD"/>
    <w:rsid w:val="79D7FD79"/>
    <w:rsid w:val="79EE5BA4"/>
    <w:rsid w:val="7A894339"/>
    <w:rsid w:val="7A8D0632"/>
    <w:rsid w:val="7AB80E65"/>
    <w:rsid w:val="7AD284E8"/>
    <w:rsid w:val="7AFF7572"/>
    <w:rsid w:val="7B6C7DFB"/>
    <w:rsid w:val="7BBFBED0"/>
    <w:rsid w:val="7BC3E394"/>
    <w:rsid w:val="7BF91591"/>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able of figures"/>
    <w:basedOn w:val="1"/>
    <w:next w:val="1"/>
    <w:qFormat/>
    <w:uiPriority w:val="99"/>
    <w:pPr>
      <w:ind w:left="200" w:leftChars="200" w:hanging="200" w:hangingChars="200"/>
    </w:pPr>
    <w:rPr>
      <w:rFonts w:ascii="Times New Roman" w:hAnsi="Times New Roman"/>
      <w:sz w:val="32"/>
      <w:szCs w:val="24"/>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unhideWhenUsed/>
    <w:qFormat/>
    <w:uiPriority w:val="0"/>
    <w:pPr>
      <w:spacing w:beforeLines="0" w:afterLines="0"/>
    </w:pPr>
    <w:rPr>
      <w:rFonts w:hint="default"/>
      <w:sz w:val="24"/>
      <w:szCs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2"/>
    <w:qFormat/>
    <w:uiPriority w:val="9"/>
    <w:rPr>
      <w:rFonts w:ascii="Times New Roman" w:hAnsi="Times New Roman"/>
      <w:b/>
      <w:bCs/>
      <w:kern w:val="44"/>
      <w:sz w:val="44"/>
      <w:szCs w:val="44"/>
    </w:rPr>
  </w:style>
  <w:style w:type="character" w:customStyle="1" w:styleId="32">
    <w:name w:val="标题 2 Char"/>
    <w:basedOn w:val="19"/>
    <w:link w:val="3"/>
    <w:qFormat/>
    <w:uiPriority w:val="9"/>
    <w:rPr>
      <w:rFonts w:asciiTheme="majorHAnsi" w:hAnsiTheme="majorHAnsi" w:eastAsiaTheme="majorEastAsia" w:cstheme="majorBidi"/>
      <w:b/>
      <w:bCs/>
      <w:kern w:val="2"/>
      <w:sz w:val="32"/>
      <w:szCs w:val="32"/>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0"/>
    <w:semiHidden/>
    <w:qFormat/>
    <w:uiPriority w:val="99"/>
    <w:rPr>
      <w:rFonts w:ascii="Times New Roman" w:hAnsi="Times New Roman"/>
      <w:kern w:val="2"/>
      <w:sz w:val="18"/>
      <w:szCs w:val="18"/>
    </w:rPr>
  </w:style>
  <w:style w:type="character" w:customStyle="1" w:styleId="35">
    <w:name w:val="标题 3 Char"/>
    <w:basedOn w:val="19"/>
    <w:link w:val="4"/>
    <w:qFormat/>
    <w:uiPriority w:val="9"/>
    <w:rPr>
      <w:rFonts w:ascii="Times New Roman" w:hAnsi="Times New Roman"/>
      <w:b/>
      <w:bCs/>
      <w:kern w:val="2"/>
      <w:sz w:val="32"/>
      <w:szCs w:val="32"/>
    </w:rPr>
  </w:style>
  <w:style w:type="paragraph" w:customStyle="1" w:styleId="3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2"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2"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2"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2"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2"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2"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chemeClr val="tx1">
                    <a:lumMod val="75000"/>
                    <a:lumOff val="25000"/>
                  </a:schemeClr>
                </a:solidFill>
                <a:latin typeface="+mn-lt"/>
                <a:ea typeface="+mn-ea"/>
                <a:cs typeface="+mn-cs"/>
              </a:defRPr>
            </a:pPr>
            <a:r>
              <a:rPr sz="1200"/>
              <a:t>收、支决算总计变动情况图</a:t>
            </a:r>
            <a:endParaRPr sz="1200"/>
          </a:p>
        </c:rich>
      </c:tx>
      <c:layout>
        <c:manualLayout>
          <c:xMode val="edge"/>
          <c:yMode val="edge"/>
          <c:x val="0.285423287992193"/>
          <c:y val="0.836171873161166"/>
        </c:manualLayout>
      </c:layout>
      <c:overlay val="0"/>
      <c:spPr>
        <a:noFill/>
        <a:ln>
          <a:noFill/>
        </a:ln>
        <a:effectLst/>
      </c:spPr>
    </c:title>
    <c:autoTitleDeleted val="0"/>
    <c:plotArea>
      <c:layout>
        <c:manualLayout>
          <c:layoutTarget val="inner"/>
          <c:xMode val="edge"/>
          <c:yMode val="edge"/>
          <c:x val="0.166946341463415"/>
          <c:y val="0.0873876665633715"/>
          <c:w val="0.664663414634146"/>
          <c:h val="0.61462658816238"/>
        </c:manualLayout>
      </c:layout>
      <c:barChart>
        <c:barDir val="col"/>
        <c:grouping val="clustered"/>
        <c:varyColors val="0"/>
        <c:ser>
          <c:idx val="0"/>
          <c:order val="0"/>
          <c:tx>
            <c:strRef>
              <c:f>[工作簿2]Sheet1!$A$2</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[工作簿2]Sheet1!$B$1:$C$1</c:f>
              <c:strCache>
                <c:ptCount val="2"/>
                <c:pt idx="0">
                  <c:v>收入</c:v>
                </c:pt>
                <c:pt idx="1">
                  <c:v>支出</c:v>
                </c:pt>
              </c:strCache>
            </c:strRef>
          </c:cat>
          <c:val>
            <c:numRef>
              <c:f>[工作簿2]Sheet1!$B$2:$C$2</c:f>
              <c:numCache>
                <c:formatCode>General</c:formatCode>
                <c:ptCount val="2"/>
                <c:pt idx="0">
                  <c:v>9417.97</c:v>
                </c:pt>
                <c:pt idx="1">
                  <c:v>9417.97</c:v>
                </c:pt>
              </c:numCache>
            </c:numRef>
          </c:val>
        </c:ser>
        <c:ser>
          <c:idx val="1"/>
          <c:order val="1"/>
          <c:tx>
            <c:strRef>
              <c:f>[工作簿2]Sheet1!$A$3</c:f>
              <c:strCache>
                <c:ptCount val="1"/>
                <c:pt idx="0">
                  <c:v>2024</c:v>
                </c:pt>
              </c:strCache>
            </c:strRef>
          </c:tx>
          <c:spPr>
            <a:solidFill>
              <a:schemeClr val="accent3"/>
            </a:solidFill>
            <a:ln>
              <a:noFill/>
            </a:ln>
            <a:effectLst/>
          </c:spPr>
          <c:invertIfNegative val="0"/>
          <c:dLbls>
            <c:dLbl>
              <c:idx val="0"/>
              <c:layout>
                <c:manualLayout>
                  <c:x val="0.00493015612161052"/>
                  <c:y val="0.013690295101916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93015612161052"/>
                  <c:y val="0.013690295101916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[工作簿2]Sheet1!$B$1:$C$1</c:f>
              <c:strCache>
                <c:ptCount val="2"/>
                <c:pt idx="0">
                  <c:v>收入</c:v>
                </c:pt>
                <c:pt idx="1">
                  <c:v>支出</c:v>
                </c:pt>
              </c:strCache>
            </c:strRef>
          </c:cat>
          <c:val>
            <c:numRef>
              <c:f>[工作簿2]Sheet1!$B$3:$C$3</c:f>
              <c:numCache>
                <c:formatCode>General</c:formatCode>
                <c:ptCount val="2"/>
                <c:pt idx="0">
                  <c:v>12028.09</c:v>
                </c:pt>
                <c:pt idx="1">
                  <c:v>12028.09</c:v>
                </c:pt>
              </c:numCache>
            </c:numRef>
          </c:val>
        </c:ser>
        <c:dLbls>
          <c:showLegendKey val="0"/>
          <c:showVal val="1"/>
          <c:showCatName val="0"/>
          <c:showSerName val="0"/>
          <c:showPercent val="0"/>
          <c:showBubbleSize val="0"/>
        </c:dLbls>
        <c:gapWidth val="246"/>
        <c:overlap val="-28"/>
        <c:axId val="266187769"/>
        <c:axId val="409418000"/>
      </c:barChart>
      <c:catAx>
        <c:axId val="2661877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409418000"/>
        <c:crosses val="autoZero"/>
        <c:auto val="1"/>
        <c:lblAlgn val="ctr"/>
        <c:lblOffset val="100"/>
        <c:noMultiLvlLbl val="0"/>
      </c:catAx>
      <c:valAx>
        <c:axId val="40941800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6187769"/>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2258ab2-2ba3-4461-beaf-e9588e93562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manualLayout>
          <c:xMode val="edge"/>
          <c:yMode val="edge"/>
          <c:x val="0.355673316708229"/>
          <c:y val="0.88284286507495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3"/>
              </a:solidFill>
              <a:ln>
                <a:solidFill>
                  <a:schemeClr val="bg1"/>
                </a:solidFill>
              </a:ln>
              <a:effectLst/>
            </c:spPr>
          </c:dPt>
          <c:dLbls>
            <c:dLbl>
              <c:idx val="0"/>
              <c:layout>
                <c:manualLayout>
                  <c:x val="0.116760852691418"/>
                  <c:y val="-0.6208995567885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[工作簿2]Sheet1!$B$13:$C$13</c:f>
              <c:strCache>
                <c:ptCount val="2"/>
                <c:pt idx="0">
                  <c:v>一般公共预算财政拨款收入</c:v>
                </c:pt>
                <c:pt idx="1">
                  <c:v>政府性基金预算财政拨款收入</c:v>
                </c:pt>
              </c:strCache>
            </c:strRef>
          </c:cat>
          <c:val>
            <c:numRef>
              <c:f>[工作簿2]Sheet1!$B$14:$C$14</c:f>
              <c:numCache>
                <c:formatCode>0.00%</c:formatCode>
                <c:ptCount val="2"/>
                <c:pt idx="0">
                  <c:v>0.883607455547805</c:v>
                </c:pt>
                <c:pt idx="1">
                  <c:v>0.116391713065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43b7932-8a28-44cb-b637-64098d34e84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b" anchorCtr="0"/>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60603459360236"/>
          <c:y val="0.904767462624968"/>
        </c:manualLayout>
      </c:layout>
      <c:overlay val="0"/>
      <c:spPr>
        <a:noFill/>
        <a:ln>
          <a:noFill/>
        </a:ln>
        <a:effectLst/>
      </c:spPr>
    </c:title>
    <c:autoTitleDeleted val="0"/>
    <c:plotArea>
      <c:layout/>
      <c:pieChart>
        <c:varyColors val="1"/>
        <c:ser>
          <c:idx val="0"/>
          <c:order val="0"/>
          <c:spPr/>
          <c:explosion val="0"/>
          <c:dPt>
            <c:idx val="0"/>
            <c:bubble3D val="0"/>
            <c:spPr>
              <a:solidFill>
                <a:schemeClr val="accent6"/>
              </a:solidFill>
              <a:ln>
                <a:solidFill>
                  <a:schemeClr val="bg1"/>
                </a:solidFill>
              </a:ln>
              <a:effectLst/>
            </c:spPr>
          </c:dPt>
          <c:dPt>
            <c:idx val="1"/>
            <c:bubble3D val="0"/>
            <c:spPr>
              <a:solidFill>
                <a:schemeClr val="accent5"/>
              </a:solidFill>
              <a:ln>
                <a:solidFill>
                  <a:schemeClr val="bg1"/>
                </a:solidFill>
              </a:ln>
              <a:effectLst/>
            </c:spPr>
          </c:dPt>
          <c:dLbls>
            <c:dLbl>
              <c:idx val="0"/>
              <c:layout>
                <c:manualLayout>
                  <c:x val="-0.00614796020788494"/>
                  <c:y val="-0.03409867924474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265140101892772"/>
                  <c:y val="-0.5845148403898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[工作簿2]Sheet1!$B$21:$C$21</c:f>
              <c:strCache>
                <c:ptCount val="2"/>
                <c:pt idx="0">
                  <c:v>基本支出</c:v>
                </c:pt>
                <c:pt idx="1">
                  <c:v>项目支出</c:v>
                </c:pt>
              </c:strCache>
            </c:strRef>
          </c:cat>
          <c:val>
            <c:numRef>
              <c:f>[工作簿2]Sheet1!$B$22:$C$22</c:f>
              <c:numCache>
                <c:formatCode>0.00%</c:formatCode>
                <c:ptCount val="2"/>
                <c:pt idx="0">
                  <c:v>0.0407762163402502</c:v>
                </c:pt>
                <c:pt idx="1">
                  <c:v>0.95922378365975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dd12095-de02-4353-8a20-63f317e9257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chemeClr val="tx1">
                    <a:lumMod val="75000"/>
                    <a:lumOff val="25000"/>
                  </a:schemeClr>
                </a:solidFill>
                <a:latin typeface="+mn-lt"/>
                <a:ea typeface="+mn-ea"/>
                <a:cs typeface="+mn-cs"/>
              </a:defRPr>
            </a:pPr>
            <a:r>
              <a:rPr sz="1200"/>
              <a:t>财政拨款收、支决算总计变动情况</a:t>
            </a:r>
            <a:endParaRPr sz="1200"/>
          </a:p>
        </c:rich>
      </c:tx>
      <c:layout>
        <c:manualLayout>
          <c:xMode val="edge"/>
          <c:yMode val="edge"/>
          <c:x val="0.214109520876163"/>
          <c:y val="0.850143484094703"/>
        </c:manualLayout>
      </c:layout>
      <c:overlay val="0"/>
      <c:spPr>
        <a:noFill/>
        <a:ln>
          <a:noFill/>
        </a:ln>
        <a:effectLst/>
      </c:spPr>
    </c:title>
    <c:autoTitleDeleted val="0"/>
    <c:plotArea>
      <c:layout>
        <c:manualLayout>
          <c:layoutTarget val="inner"/>
          <c:xMode val="edge"/>
          <c:yMode val="edge"/>
          <c:x val="0.166946341463415"/>
          <c:y val="0.0873876665633715"/>
          <c:w val="0.664663414634146"/>
          <c:h val="0.61462658816238"/>
        </c:manualLayout>
      </c:layout>
      <c:barChart>
        <c:barDir val="col"/>
        <c:grouping val="clustered"/>
        <c:varyColors val="0"/>
        <c:ser>
          <c:idx val="0"/>
          <c:order val="0"/>
          <c:tx>
            <c:strRef>
              <c:f>[工作簿2]Sheet1!$A$2</c:f>
              <c:strCache>
                <c:ptCount val="1"/>
                <c:pt idx="0">
                  <c:v>2023</c:v>
                </c:pt>
              </c:strCache>
            </c:strRef>
          </c:tx>
          <c:spPr>
            <a:solidFill>
              <a:schemeClr val="accent6"/>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[工作簿2]Sheet1!$B$1:$C$1</c:f>
              <c:strCache>
                <c:ptCount val="2"/>
                <c:pt idx="0">
                  <c:v>财政拨款收入</c:v>
                </c:pt>
                <c:pt idx="1">
                  <c:v>财政拨款支出</c:v>
                </c:pt>
              </c:strCache>
            </c:strRef>
          </c:cat>
          <c:val>
            <c:numRef>
              <c:f>[工作簿2]Sheet1!$B$2:$C$2</c:f>
              <c:numCache>
                <c:formatCode>General</c:formatCode>
                <c:ptCount val="2"/>
                <c:pt idx="0">
                  <c:v>9417.97</c:v>
                </c:pt>
                <c:pt idx="1">
                  <c:v>9417.97</c:v>
                </c:pt>
              </c:numCache>
            </c:numRef>
          </c:val>
        </c:ser>
        <c:ser>
          <c:idx val="1"/>
          <c:order val="1"/>
          <c:tx>
            <c:strRef>
              <c:f>[工作簿2]Sheet1!$A$3</c:f>
              <c:strCache>
                <c:ptCount val="1"/>
                <c:pt idx="0">
                  <c:v>2024</c:v>
                </c:pt>
              </c:strCache>
            </c:strRef>
          </c:tx>
          <c:spPr>
            <a:solidFill>
              <a:schemeClr val="accent5"/>
            </a:solidFill>
            <a:ln>
              <a:noFill/>
            </a:ln>
            <a:effectLst/>
          </c:spPr>
          <c:invertIfNegative val="0"/>
          <c:dLbls>
            <c:dLbl>
              <c:idx val="0"/>
              <c:layout>
                <c:manualLayout>
                  <c:x val="0.00493015612161052"/>
                  <c:y val="0.013690295101916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93015612161052"/>
                  <c:y val="0.013690295101916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[工作簿2]Sheet1!$B$1:$C$1</c:f>
              <c:strCache>
                <c:ptCount val="2"/>
                <c:pt idx="0">
                  <c:v>财政拨款收入</c:v>
                </c:pt>
                <c:pt idx="1">
                  <c:v>财政拨款支出</c:v>
                </c:pt>
              </c:strCache>
            </c:strRef>
          </c:cat>
          <c:val>
            <c:numRef>
              <c:f>[工作簿2]Sheet1!$B$3:$C$3</c:f>
              <c:numCache>
                <c:formatCode>General</c:formatCode>
                <c:ptCount val="2"/>
                <c:pt idx="0">
                  <c:v>12028.09</c:v>
                </c:pt>
                <c:pt idx="1">
                  <c:v>12028.09</c:v>
                </c:pt>
              </c:numCache>
            </c:numRef>
          </c:val>
        </c:ser>
        <c:dLbls>
          <c:showLegendKey val="0"/>
          <c:showVal val="1"/>
          <c:showCatName val="0"/>
          <c:showSerName val="0"/>
          <c:showPercent val="0"/>
          <c:showBubbleSize val="0"/>
        </c:dLbls>
        <c:gapWidth val="246"/>
        <c:overlap val="-28"/>
        <c:axId val="266187769"/>
        <c:axId val="409418000"/>
      </c:barChart>
      <c:catAx>
        <c:axId val="2661877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409418000"/>
        <c:crosses val="autoZero"/>
        <c:auto val="1"/>
        <c:lblAlgn val="ctr"/>
        <c:lblOffset val="100"/>
        <c:noMultiLvlLbl val="0"/>
      </c:catAx>
      <c:valAx>
        <c:axId val="40941800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6187769"/>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8dcac11-c75e-45c3-9bd9-b9062d7dcca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manualLayout>
          <c:xMode val="edge"/>
          <c:yMode val="edge"/>
          <c:x val="0.163421052631579"/>
          <c:y val="0.880570432113679"/>
        </c:manualLayout>
      </c:layout>
      <c:overlay val="0"/>
      <c:spPr>
        <a:noFill/>
        <a:ln>
          <a:noFill/>
        </a:ln>
        <a:effectLst/>
      </c:spPr>
    </c:title>
    <c:autoTitleDeleted val="0"/>
    <c:plotArea>
      <c:layout>
        <c:manualLayout>
          <c:layoutTarget val="inner"/>
          <c:xMode val="edge"/>
          <c:yMode val="edge"/>
          <c:x val="0.110605263157895"/>
          <c:y val="0.0862527180478376"/>
          <c:w val="0.527157894736842"/>
          <c:h val="0.699057743416284"/>
        </c:manualLayout>
      </c:layout>
      <c:barChart>
        <c:barDir val="col"/>
        <c:grouping val="clustered"/>
        <c:varyColors val="0"/>
        <c:ser>
          <c:idx val="0"/>
          <c:order val="0"/>
          <c:tx>
            <c:strRef>
              <c:f>[工作簿2]Sheet1!$B$31</c:f>
              <c:strCache>
                <c:ptCount val="1"/>
                <c:pt idx="0">
                  <c:v>一般公共预算财政拨款收入</c:v>
                </c:pt>
              </c:strCache>
            </c:strRef>
          </c:tx>
          <c:spPr>
            <a:solidFill>
              <a:schemeClr val="accent1"/>
            </a:solidFill>
            <a:ln>
              <a:noFill/>
            </a:ln>
            <a:effectLst/>
          </c:spPr>
          <c:invertIfNegative val="0"/>
          <c:dLbls>
            <c:dLbl>
              <c:idx val="0"/>
              <c:layout>
                <c:manualLayout>
                  <c:x val="-0.0218421052631579"/>
                  <c:y val="-0.04010630587098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[工作簿2]Sheet1!$A$32:$A$33</c:f>
              <c:numCache>
                <c:formatCode>General</c:formatCode>
                <c:ptCount val="2"/>
                <c:pt idx="0">
                  <c:v>2023</c:v>
                </c:pt>
                <c:pt idx="1">
                  <c:v>2024</c:v>
                </c:pt>
              </c:numCache>
            </c:numRef>
          </c:cat>
          <c:val>
            <c:numRef>
              <c:f>[工作簿2]Sheet1!$B$32:$B$33</c:f>
              <c:numCache>
                <c:formatCode>General</c:formatCode>
                <c:ptCount val="2"/>
                <c:pt idx="0">
                  <c:v>9308.56</c:v>
                </c:pt>
                <c:pt idx="1">
                  <c:v>10628.11</c:v>
                </c:pt>
              </c:numCache>
            </c:numRef>
          </c:val>
        </c:ser>
        <c:dLbls>
          <c:showLegendKey val="0"/>
          <c:showVal val="1"/>
          <c:showCatName val="0"/>
          <c:showSerName val="0"/>
          <c:showPercent val="0"/>
          <c:showBubbleSize val="0"/>
        </c:dLbls>
        <c:gapWidth val="246"/>
        <c:overlap val="-28"/>
        <c:axId val="775221335"/>
        <c:axId val="404146091"/>
      </c:barChart>
      <c:catAx>
        <c:axId val="7752213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4146091"/>
        <c:crosses val="autoZero"/>
        <c:auto val="1"/>
        <c:lblAlgn val="ctr"/>
        <c:lblOffset val="100"/>
        <c:noMultiLvlLbl val="0"/>
      </c:catAx>
      <c:valAx>
        <c:axId val="40414609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5221335"/>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fa50db9-3aa5-46d8-ac1a-2986e415175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manualLayout>
          <c:xMode val="edge"/>
          <c:yMode val="edge"/>
          <c:x val="0.231615343324066"/>
          <c:y val="0.90591727296272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171226087711705"/>
                  <c:y val="-0.70228288126015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9869321717486"/>
                  <c:y val="-0.024305555555555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8276291225887"/>
                  <c:y val="0.048611111111111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92034847542004"/>
                  <c:y val="-0.08333333333333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[工作簿2]Sheet1!$B$36:$B$39</c:f>
              <c:strCache>
                <c:ptCount val="4"/>
                <c:pt idx="0">
                  <c:v>社会保障和就业支出</c:v>
                </c:pt>
                <c:pt idx="1">
                  <c:v>卫生健康支出</c:v>
                </c:pt>
                <c:pt idx="2">
                  <c:v>住房保障支出</c:v>
                </c:pt>
                <c:pt idx="3">
                  <c:v>农林水支出</c:v>
                </c:pt>
              </c:strCache>
            </c:strRef>
          </c:cat>
          <c:val>
            <c:numRef>
              <c:f>[工作簿2]Sheet1!$D$36:$D$39</c:f>
              <c:numCache>
                <c:formatCode>0.00%</c:formatCode>
                <c:ptCount val="4"/>
                <c:pt idx="0">
                  <c:v>0.874318366423929</c:v>
                </c:pt>
                <c:pt idx="1">
                  <c:v>0.00110158803268017</c:v>
                </c:pt>
                <c:pt idx="2">
                  <c:v>0.00605499293736578</c:v>
                </c:pt>
                <c:pt idx="3">
                  <c:v>0.00605499293736578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582baa0-756a-4e0f-b633-15fc1bc445a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“三公”经费财政拨款支出结构</a:t>
            </a:r>
          </a:p>
        </c:rich>
      </c:tx>
      <c:layout>
        <c:manualLayout>
          <c:xMode val="edge"/>
          <c:yMode val="edge"/>
          <c:x val="0.228947368421053"/>
          <c:y val="0.90231481481481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355263157894737"/>
                  <c:y val="-0.017361111111111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0657894736842"/>
                  <c:y val="0.010416666666666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807849054782221"/>
                  <c:y val="-0.27890811657759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[工作簿2]Sheet1!$B$43:$B$45</c:f>
              <c:strCache>
                <c:ptCount val="3"/>
                <c:pt idx="0">
                  <c:v>因公出国（境）费支出</c:v>
                </c:pt>
                <c:pt idx="1">
                  <c:v>公务用车购置及运行维护费支出</c:v>
                </c:pt>
                <c:pt idx="2">
                  <c:v>公务接待费支出</c:v>
                </c:pt>
              </c:strCache>
            </c:strRef>
          </c:cat>
          <c:val>
            <c:numRef>
              <c:f>[工作簿2]Sheet1!$D$43:$D$45</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7717dfd-4e36-48bb-8b9a-059c5a79a20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73</Pages>
  <Words>7882</Words>
  <Characters>8566</Characters>
  <Lines>1</Lines>
  <Paragraphs>1</Paragraphs>
  <TotalTime>1</TotalTime>
  <ScaleCrop>false</ScaleCrop>
  <LinksUpToDate>false</LinksUpToDate>
  <CharactersWithSpaces>8692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隔壁老蒲</cp:lastModifiedBy>
  <cp:lastPrinted>2025-08-06T17:34:00Z</cp:lastPrinted>
  <dcterms:modified xsi:type="dcterms:W3CDTF">2025-09-25T07:25:00Z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7F62EC7FB640425693CFBE7268E3E6FA_13</vt:lpwstr>
  </property>
  <property fmtid="{D5CDD505-2E9C-101B-9397-08002B2CF9AE}" pid="4" name="KSOTemplateDocerSaveRecord">
    <vt:lpwstr>eyJoZGlkIjoiZDc0NDUyMjlkYmZkMzMwYjkyOTJkNDRiMTUwYTE5ODAiLCJ1c2VySWQiOiI2MDAwODY3MjMifQ==</vt:lpwstr>
  </property>
</Properties>
</file>