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F1D8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广元市昭化区教育局</w:t>
      </w:r>
    </w:p>
    <w:p w14:paraId="7A4DB38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0CB318E9">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4261"/>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14:paraId="4CC4F481">
          <w:pPr>
            <w:spacing w:before="0" w:beforeLines="0" w:after="0" w:afterLines="0" w:line="240" w:lineRule="auto"/>
            <w:ind w:left="0" w:leftChars="0" w:right="0" w:rightChars="0" w:firstLine="0" w:firstLineChars="0"/>
            <w:jc w:val="center"/>
          </w:pPr>
        </w:p>
        <w:p w14:paraId="552260A7">
          <w:pPr>
            <w:pStyle w:val="14"/>
            <w:tabs>
              <w:tab w:val="right" w:leader="dot" w:pos="8845"/>
            </w:tabs>
            <w:rPr>
              <w:b/>
              <w:sz w:val="28"/>
              <w:szCs w:val="28"/>
            </w:rPr>
          </w:pPr>
          <w:r>
            <w:rPr>
              <w:sz w:val="28"/>
              <w:szCs w:val="28"/>
            </w:rPr>
            <w:fldChar w:fldCharType="begin"/>
          </w:r>
          <w:r>
            <w:rPr>
              <w:sz w:val="28"/>
              <w:szCs w:val="28"/>
            </w:rPr>
            <w:instrText xml:space="preserve">TOC \o "1-2" \h \u</w:instrText>
          </w:r>
          <w:r>
            <w:rPr>
              <w:sz w:val="28"/>
              <w:szCs w:val="28"/>
            </w:rPr>
            <w:fldChar w:fldCharType="separate"/>
          </w:r>
          <w:r>
            <w:fldChar w:fldCharType="begin"/>
          </w:r>
          <w:r>
            <w:instrText xml:space="preserve"> HYPERLINK \l "_Toc18797"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一、基本职能及主要工作</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_Toc18797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3</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72B76736">
          <w:pPr>
            <w:pStyle w:val="15"/>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"_Toc28345"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（一）单位职能简介</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_Toc28345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3</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28CFCE5">
          <w:pPr>
            <w:pStyle w:val="15"/>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"_Toc23693"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（二）2025年重点工作</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_Toc23693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5</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1716EE5B">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"_Toc31063"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二、部门预算单位构成</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_Toc31063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12BAE8E">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"_Toc12763"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三、收支预算情况说明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_Toc12763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380BBB22">
          <w:pPr>
            <w:pStyle w:val="15"/>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"_Toc22169"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（一）收入预算情况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_Toc22169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6DE282E6">
          <w:pPr>
            <w:pStyle w:val="15"/>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"_Toc19633"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（二）支出预算情况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_Toc19633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67266F07">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"_Toc4066"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四、财政拨款收支预算情况说明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_Toc4066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C8F7ECD">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"_Toc7823"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五、一般公共预算当年拨款情况说明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_Toc7823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63CBD504">
          <w:pPr>
            <w:pStyle w:val="15"/>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"_Toc20406"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（一）一般公共预算当年拨款规模变化情况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_Toc20406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B5C6C91">
          <w:pPr>
            <w:pStyle w:val="15"/>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"_Toc13032"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（二）一般公共预算当年拨款结构情况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_Toc13032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12FCED56">
          <w:pPr>
            <w:pStyle w:val="15"/>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"_Toc15054"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（三）一般公共预算当年拨款具体使用情况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_Toc15054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CD9C77A">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"_Toc3671"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六、一般公共预算基本支出情况说明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_Toc3671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10</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6CD55626">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"_Toc4859"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七、“三公”经费财政拨款预算安排情况说明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_Toc4859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11</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6BEA6B0A">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"_Toc6988"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八、政府性基金预算支出情况说明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_Toc6988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11</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5FCB39C5">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"_Toc30190"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九、国有资本经营预算支出情况说明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_Toc30190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12</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9C1DBD8">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"_Toc235"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十、其他重要事项的情况说明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_Toc235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12</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686E95D">
          <w:pPr>
            <w:pStyle w:val="14"/>
            <w:tabs>
              <w:tab w:val="right" w:leader="dot" w:pos="8845"/>
            </w:tabs>
            <w:rPr>
              <w:b/>
              <w:sz w:val="28"/>
              <w:szCs w:val="28"/>
            </w:rPr>
          </w:pPr>
          <w:r>
            <w:fldChar w:fldCharType="begin"/>
          </w:r>
          <w:r>
            <w:instrText xml:space="preserve"> HYPERLINK \l "_Toc27948"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十一、名词解释</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_Toc27948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13</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59BE312">
          <w:pPr>
            <w:rPr>
              <w:b/>
            </w:rPr>
          </w:pPr>
          <w:r>
            <w:rPr>
              <w:b/>
              <w:sz w:val="28"/>
              <w:szCs w:val="28"/>
            </w:rPr>
            <w:fldChar w:fldCharType="end"/>
          </w:r>
        </w:p>
      </w:sdtContent>
    </w:sdt>
    <w:p w14:paraId="1A5C1B01">
      <w:pPr>
        <w:rPr>
          <w:b/>
        </w:rPr>
      </w:pPr>
    </w:p>
    <w:p w14:paraId="7BC6298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71F5AE1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C9BD8A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05D20D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E3107C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56AE31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CEB90C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4D60554">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64675C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2940B7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217FB6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EE148C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0FB1F1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E720C24">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34277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18797"/>
      <w:r>
        <w:rPr>
          <w:rFonts w:hint="eastAsia" w:ascii="黑体" w:hAnsi="黑体" w:eastAsia="黑体" w:cs="黑体"/>
          <w:sz w:val="32"/>
          <w:szCs w:val="32"/>
          <w:lang w:val="en-US" w:eastAsia="zh-CN"/>
        </w:rPr>
        <w:t>一、基本职能及主要工作</w:t>
      </w:r>
      <w:bookmarkEnd w:id="0"/>
    </w:p>
    <w:p w14:paraId="59A083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28345"/>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1"/>
    </w:p>
    <w:p w14:paraId="25312B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1.贯彻执行中央、省、市有关教育方针政策和法律法规，提出全区教育发展战略，制定教育政策性、规范性文件并监督执行。</w:t>
      </w:r>
    </w:p>
    <w:p w14:paraId="64B3F5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2.编制全区教育事业的发展规划和年度计划并组织实施；确定教育事业发展重点、规模和速度。</w:t>
      </w:r>
    </w:p>
    <w:p w14:paraId="3B01EB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综合管理全区的教育事业，负责全区幼儿教育、基础教育、成人教育、职业教育和社会力量办学工作；指导各类学校的思想政治工作、教学工作、体育卫生工作、法治教育、国防教育和安全工作；管理教学质量、考试和学历教育工作；督导评估学校办学水平和教育质量；推动全区教育体制改革、办学体制改革和学校内部管理改革；调整学校布局结构；建立适应社会主义市场经济体制、政治体制需要的教育体制和运行机制。</w:t>
      </w:r>
    </w:p>
    <w:p w14:paraId="109328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根据国务院关于基础教育改革与发展的决定，负责对完全中学、职业高级中学校长和副校长的推荐、考察或参与考察，按干部管理权限任用或聘用；根据《中华人民共和国义务教育法》，负责乡镇中心小学、初级中学校长的选拔、聘用、管理；推行中小学校长聘任制和负责制；实行校长任期制；负责全区中小学校长的培训、提高工作水平、加强学校干部队伍建设。</w:t>
      </w:r>
    </w:p>
    <w:p w14:paraId="6162BB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5.统筹和指导全区教育督导工作，负责对中等及中等以下教育、扫除青壮年文盲工作的督导检查和评估验收工作，指导基础教育水平和质量的监测工作。</w:t>
      </w:r>
    </w:p>
    <w:p w14:paraId="3CCDE6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主管全区教师工作。会同有关部门制定教育系统人事管理工作的有关政策和规章制度；根据国家、省、市教育发展规划纲要和有关文件规定，组织实施，负责教师的招聘、调配交流、工资福利、考核奖惩等工作，负责学校教师专业技术职务的评聘、技术工人的考核定级和教师资格考试、资格认定工作，负责教师的培养和教师的继续教育、职业教育训练工作，负责全区教育系统离退休人员管理工作；负责教育系统纪检监察的宣传教育工作，办理或会同有关部门办理全区教育系统干部职工违规违纪的查处工作。</w:t>
      </w:r>
    </w:p>
    <w:p w14:paraId="6CCB2D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7.贯彻执行国家语言文字工作的方针政策，拟订语言文字工作中长期规划和工作计划，指导普通话推广和普通话师资培训工作。承担元坝区语言文字工作委员会的具体工作。</w:t>
      </w:r>
    </w:p>
    <w:p w14:paraId="72C98A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8.负责全区大中专学校招生考试和高等教育自学考试工作。</w:t>
      </w:r>
    </w:p>
    <w:p w14:paraId="432635E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统一管理本部门的经费。参与制定教育经费、拨款和基建投资的政策和措施；具体组织实施经区财政预算的教育经费计划；会同物价、财政等部门制定教育收费项目及标准；协助教育费附加的征收和管理；管理国家、省、市对我区教育项目的拨款经费；管理国内外对我区教育的援助资金和贷款。负责教育后勤与产业工作。</w:t>
      </w:r>
    </w:p>
    <w:p w14:paraId="0C7BD0B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10.负责全区教育管理资料统计、档案及信息系统的开发和建设工作；指导教育方针政策的宣传和舆论监督工作。</w:t>
      </w:r>
    </w:p>
    <w:p w14:paraId="61981C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11.管理区教育局直属事业单位；指导全区教育系统社团和群团组织的管理工作。</w:t>
      </w:r>
    </w:p>
    <w:p w14:paraId="3BDE225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12.承办区政府公布的有关行政审批事项和交办的其它事项。</w:t>
      </w:r>
    </w:p>
    <w:p w14:paraId="14428D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3693"/>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2"/>
    </w:p>
    <w:p w14:paraId="7BE4C35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强化党建核心引领作用。加强党员干部思想政治教育，以党的创新理论最新成果武装头脑、指导实践、推动工作。推动完善区委教育工作领导小组的议事决策和督查落实机制，以确保党中央、省市区委教育重大决策的顺利实施。</w:t>
      </w:r>
    </w:p>
    <w:p w14:paraId="324305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夯实基层党组织基础。</w:t>
      </w:r>
      <w:r>
        <w:rPr>
          <w:rFonts w:hint="default" w:ascii="仿宋_GB2312" w:hAnsi="仿宋_GB2312" w:eastAsia="仿宋_GB2312" w:cs="仿宋_GB2312"/>
          <w:sz w:val="32"/>
          <w:szCs w:val="32"/>
          <w:lang w:val="en-US" w:eastAsia="zh-CN"/>
        </w:rPr>
        <w:t>巩固</w:t>
      </w:r>
      <w:r>
        <w:rPr>
          <w:rFonts w:hint="eastAsia" w:ascii="仿宋_GB2312" w:hAnsi="仿宋_GB2312" w:eastAsia="仿宋_GB2312" w:cs="仿宋_GB2312"/>
          <w:sz w:val="32"/>
          <w:szCs w:val="32"/>
          <w:lang w:val="en-US" w:eastAsia="zh-CN"/>
        </w:rPr>
        <w:t>提升</w:t>
      </w:r>
      <w:r>
        <w:rPr>
          <w:rFonts w:hint="default" w:ascii="仿宋_GB2312" w:hAnsi="仿宋_GB2312" w:eastAsia="仿宋_GB2312" w:cs="仿宋_GB2312"/>
          <w:sz w:val="32"/>
          <w:szCs w:val="32"/>
          <w:lang w:val="en-US" w:eastAsia="zh-CN"/>
        </w:rPr>
        <w:t>党支部标准化规范化建设</w:t>
      </w:r>
      <w:r>
        <w:rPr>
          <w:rFonts w:hint="eastAsia" w:ascii="仿宋_GB2312" w:hAnsi="仿宋_GB2312" w:eastAsia="仿宋_GB2312" w:cs="仿宋_GB2312"/>
          <w:sz w:val="32"/>
          <w:szCs w:val="32"/>
          <w:lang w:val="en-US" w:eastAsia="zh-CN"/>
        </w:rPr>
        <w:t>成果，</w:t>
      </w:r>
      <w:r>
        <w:rPr>
          <w:rFonts w:hint="default" w:ascii="仿宋_GB2312" w:hAnsi="仿宋_GB2312" w:eastAsia="仿宋_GB2312" w:cs="仿宋_GB2312"/>
          <w:sz w:val="32"/>
          <w:szCs w:val="32"/>
          <w:lang w:val="en-US" w:eastAsia="zh-CN"/>
        </w:rPr>
        <w:t>规范组织生活，提高</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三会一课</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质量，落实民主评议党员和主题党日等制度。指导</w:t>
      </w:r>
      <w:r>
        <w:rPr>
          <w:rFonts w:hint="eastAsia" w:ascii="仿宋_GB2312" w:hAnsi="仿宋_GB2312" w:eastAsia="仿宋_GB2312" w:cs="仿宋_GB2312"/>
          <w:sz w:val="32"/>
          <w:szCs w:val="32"/>
          <w:lang w:val="en-US" w:eastAsia="zh-CN"/>
        </w:rPr>
        <w:t>系统内各党组织</w:t>
      </w:r>
      <w:r>
        <w:rPr>
          <w:rFonts w:hint="default" w:ascii="仿宋_GB2312" w:hAnsi="仿宋_GB2312" w:eastAsia="仿宋_GB2312" w:cs="仿宋_GB2312"/>
          <w:sz w:val="32"/>
          <w:szCs w:val="32"/>
          <w:lang w:val="en-US" w:eastAsia="zh-CN"/>
        </w:rPr>
        <w:t>找准党建与业务深度融合切入点，</w:t>
      </w:r>
      <w:r>
        <w:rPr>
          <w:rFonts w:hint="eastAsia" w:ascii="仿宋_GB2312" w:hAnsi="仿宋_GB2312" w:eastAsia="仿宋_GB2312" w:cs="仿宋_GB2312"/>
          <w:sz w:val="32"/>
          <w:szCs w:val="32"/>
          <w:lang w:val="en-US" w:eastAsia="zh-CN"/>
        </w:rPr>
        <w:t>切实提高党建工作水平</w:t>
      </w:r>
      <w:r>
        <w:rPr>
          <w:rFonts w:hint="default" w:ascii="仿宋_GB2312" w:hAnsi="仿宋_GB2312" w:eastAsia="仿宋_GB2312" w:cs="仿宋_GB2312"/>
          <w:sz w:val="32"/>
          <w:szCs w:val="32"/>
          <w:lang w:val="en-US" w:eastAsia="zh-CN"/>
        </w:rPr>
        <w:t>。</w:t>
      </w:r>
    </w:p>
    <w:p w14:paraId="011FE38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提升意识形态工作实效。</w:t>
      </w:r>
      <w:r>
        <w:rPr>
          <w:rFonts w:hint="default" w:ascii="仿宋_GB2312" w:hAnsi="仿宋_GB2312" w:eastAsia="仿宋_GB2312" w:cs="仿宋_GB2312"/>
          <w:sz w:val="32"/>
          <w:szCs w:val="32"/>
          <w:lang w:val="en-US" w:eastAsia="zh-CN"/>
        </w:rPr>
        <w:t>定期</w:t>
      </w:r>
      <w:r>
        <w:rPr>
          <w:rFonts w:hint="eastAsia" w:ascii="仿宋_GB2312" w:hAnsi="仿宋_GB2312" w:eastAsia="仿宋_GB2312" w:cs="仿宋_GB2312"/>
          <w:sz w:val="32"/>
          <w:szCs w:val="32"/>
          <w:lang w:val="en-US" w:eastAsia="zh-CN"/>
        </w:rPr>
        <w:t>进行教育系统</w:t>
      </w:r>
      <w:r>
        <w:rPr>
          <w:rFonts w:hint="default" w:ascii="仿宋_GB2312" w:hAnsi="仿宋_GB2312" w:eastAsia="仿宋_GB2312" w:cs="仿宋_GB2312"/>
          <w:sz w:val="32"/>
          <w:szCs w:val="32"/>
          <w:lang w:val="en-US" w:eastAsia="zh-CN"/>
        </w:rPr>
        <w:t>意识形态</w:t>
      </w:r>
      <w:r>
        <w:rPr>
          <w:rFonts w:hint="eastAsia" w:ascii="仿宋_GB2312" w:hAnsi="仿宋_GB2312" w:eastAsia="仿宋_GB2312" w:cs="仿宋_GB2312"/>
          <w:sz w:val="32"/>
          <w:szCs w:val="32"/>
          <w:lang w:val="en-US" w:eastAsia="zh-CN"/>
        </w:rPr>
        <w:t>工作研判</w:t>
      </w:r>
      <w:r>
        <w:rPr>
          <w:rFonts w:hint="default" w:ascii="仿宋_GB2312" w:hAnsi="仿宋_GB2312" w:eastAsia="仿宋_GB2312" w:cs="仿宋_GB2312"/>
          <w:sz w:val="32"/>
          <w:szCs w:val="32"/>
          <w:lang w:val="en-US" w:eastAsia="zh-CN"/>
        </w:rPr>
        <w:t>，做好社</w:t>
      </w:r>
      <w:r>
        <w:rPr>
          <w:rFonts w:hint="eastAsia" w:ascii="仿宋_GB2312" w:hAnsi="仿宋_GB2312" w:eastAsia="仿宋_GB2312" w:cs="仿宋_GB2312"/>
          <w:sz w:val="32"/>
          <w:szCs w:val="32"/>
          <w:lang w:val="en-US" w:eastAsia="zh-CN"/>
        </w:rPr>
        <w:t>会</w:t>
      </w:r>
      <w:r>
        <w:rPr>
          <w:rFonts w:hint="default" w:ascii="仿宋_GB2312" w:hAnsi="仿宋_GB2312" w:eastAsia="仿宋_GB2312" w:cs="仿宋_GB2312"/>
          <w:sz w:val="32"/>
          <w:szCs w:val="32"/>
          <w:lang w:val="en-US" w:eastAsia="zh-CN"/>
        </w:rPr>
        <w:t>舆情热点信息监测，严格管控微博、微信、QQ等网络社交平台使用。</w:t>
      </w:r>
      <w:r>
        <w:rPr>
          <w:rFonts w:hint="eastAsia" w:ascii="仿宋_GB2312" w:hAnsi="仿宋_GB2312" w:eastAsia="仿宋_GB2312" w:cs="仿宋_GB2312"/>
          <w:sz w:val="32"/>
          <w:szCs w:val="32"/>
          <w:lang w:val="en-US" w:eastAsia="zh-CN"/>
        </w:rPr>
        <w:t>优化对外宣传工作机制，拓宽传播渠道、丰富发布形式，及时传播昭化教育“好声音”。</w:t>
      </w:r>
    </w:p>
    <w:p w14:paraId="4E267D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普及普惠发展学前教育。</w:t>
      </w:r>
      <w:r>
        <w:rPr>
          <w:rFonts w:hint="default" w:ascii="仿宋_GB2312" w:hAnsi="仿宋_GB2312" w:eastAsia="仿宋_GB2312" w:cs="仿宋_GB2312"/>
          <w:sz w:val="32"/>
          <w:szCs w:val="32"/>
          <w:lang w:val="en-US" w:eastAsia="zh-CN"/>
        </w:rPr>
        <w:t>规范民办园、小学附属园保教行为</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健全幼儿园保教质量评估体系，完善区域教研和园本教研制度，</w:t>
      </w:r>
      <w:r>
        <w:rPr>
          <w:rFonts w:hint="eastAsia" w:ascii="仿宋_GB2312" w:hAnsi="仿宋_GB2312" w:eastAsia="仿宋_GB2312" w:cs="仿宋_GB2312"/>
          <w:sz w:val="32"/>
          <w:szCs w:val="32"/>
          <w:lang w:val="en-US" w:eastAsia="zh-CN"/>
        </w:rPr>
        <w:t>持续</w:t>
      </w:r>
      <w:r>
        <w:rPr>
          <w:rFonts w:hint="default" w:ascii="仿宋_GB2312" w:hAnsi="仿宋_GB2312" w:eastAsia="仿宋_GB2312" w:cs="仿宋_GB2312"/>
          <w:sz w:val="32"/>
          <w:szCs w:val="32"/>
          <w:lang w:val="en-US" w:eastAsia="zh-CN"/>
        </w:rPr>
        <w:t>推进星级幼儿园创建</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促进城乡园协同发展。加大普惠性民办幼儿园认定和扶持力度，推进国家学前教育普及普惠发展县（区）创建工作。</w:t>
      </w:r>
    </w:p>
    <w:p w14:paraId="274816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优质均衡发展义务教育。持续深化基础教育学校布局调整，推进闲置教育资源转化利用。深入推进</w:t>
      </w:r>
      <w:r>
        <w:rPr>
          <w:rFonts w:hint="default" w:ascii="仿宋_GB2312" w:hAnsi="仿宋_GB2312" w:eastAsia="仿宋_GB2312" w:cs="仿宋_GB2312"/>
          <w:sz w:val="32"/>
          <w:szCs w:val="32"/>
          <w:lang w:val="en-US" w:eastAsia="zh-CN"/>
        </w:rPr>
        <w:t>学区制改革</w:t>
      </w:r>
      <w:r>
        <w:rPr>
          <w:rFonts w:hint="eastAsia" w:ascii="仿宋_GB2312" w:hAnsi="仿宋_GB2312" w:eastAsia="仿宋_GB2312" w:cs="仿宋_GB2312"/>
          <w:sz w:val="32"/>
          <w:szCs w:val="32"/>
          <w:lang w:val="en-US" w:eastAsia="zh-CN"/>
        </w:rPr>
        <w:t>和</w:t>
      </w:r>
      <w:r>
        <w:rPr>
          <w:rFonts w:hint="default" w:ascii="仿宋_GB2312" w:hAnsi="仿宋_GB2312" w:eastAsia="仿宋_GB2312" w:cs="仿宋_GB2312"/>
          <w:sz w:val="32"/>
          <w:szCs w:val="32"/>
          <w:lang w:val="en-US" w:eastAsia="zh-CN"/>
        </w:rPr>
        <w:t>集团</w:t>
      </w:r>
      <w:r>
        <w:rPr>
          <w:rFonts w:hint="eastAsia" w:ascii="仿宋_GB2312" w:hAnsi="仿宋_GB2312" w:eastAsia="仿宋_GB2312" w:cs="仿宋_GB2312"/>
          <w:sz w:val="32"/>
          <w:szCs w:val="32"/>
          <w:lang w:val="en-US" w:eastAsia="zh-CN"/>
        </w:rPr>
        <w:t>化办学，加强城乡学校共同体建设。</w:t>
      </w:r>
      <w:r>
        <w:rPr>
          <w:rFonts w:hint="default" w:ascii="仿宋_GB2312" w:hAnsi="仿宋_GB2312" w:eastAsia="仿宋_GB2312" w:cs="仿宋_GB2312"/>
          <w:sz w:val="32"/>
          <w:szCs w:val="32"/>
          <w:lang w:val="en-US" w:eastAsia="zh-CN"/>
        </w:rPr>
        <w:t>制定《义务教育新优质学校成长发展规划》，培育一批新优质学校</w:t>
      </w:r>
      <w:r>
        <w:rPr>
          <w:rFonts w:hint="eastAsia" w:ascii="仿宋_GB2312" w:hAnsi="仿宋_GB2312" w:eastAsia="仿宋_GB2312" w:cs="仿宋_GB2312"/>
          <w:sz w:val="32"/>
          <w:szCs w:val="32"/>
          <w:lang w:val="en-US" w:eastAsia="zh-CN"/>
        </w:rPr>
        <w:t>，深化城区中小学特色塑造。</w:t>
      </w:r>
      <w:r>
        <w:rPr>
          <w:rFonts w:hint="default" w:ascii="仿宋_GB2312" w:hAnsi="仿宋_GB2312" w:eastAsia="仿宋_GB2312" w:cs="仿宋_GB2312"/>
          <w:sz w:val="32"/>
          <w:szCs w:val="32"/>
          <w:lang w:val="en-US" w:eastAsia="zh-CN"/>
        </w:rPr>
        <w:t>健全控辍保学常态</w:t>
      </w:r>
      <w:r>
        <w:rPr>
          <w:rFonts w:hint="eastAsia" w:ascii="仿宋_GB2312" w:hAnsi="仿宋_GB2312" w:eastAsia="仿宋_GB2312" w:cs="仿宋_GB2312"/>
          <w:sz w:val="32"/>
          <w:szCs w:val="32"/>
          <w:lang w:val="en-US" w:eastAsia="zh-CN"/>
        </w:rPr>
        <w:t>化</w:t>
      </w:r>
      <w:r>
        <w:rPr>
          <w:rFonts w:hint="default" w:ascii="仿宋_GB2312" w:hAnsi="仿宋_GB2312" w:eastAsia="仿宋_GB2312" w:cs="仿宋_GB2312"/>
          <w:sz w:val="32"/>
          <w:szCs w:val="32"/>
          <w:lang w:val="en-US" w:eastAsia="zh-CN"/>
        </w:rPr>
        <w:t>机制，全面规范中小学校招生入学管理，做好进城务工人员随迁子女就学工作。巩固深化</w:t>
      </w:r>
      <w:r>
        <w:rPr>
          <w:rFonts w:hint="eastAsia" w:ascii="仿宋_GB2312" w:hAnsi="仿宋_GB2312" w:eastAsia="仿宋_GB2312" w:cs="仿宋_GB2312"/>
          <w:sz w:val="32"/>
          <w:szCs w:val="32"/>
          <w:lang w:val="en-US" w:eastAsia="zh-CN"/>
        </w:rPr>
        <w:t>“双减</w:t>
      </w:r>
      <w:r>
        <w:rPr>
          <w:rFonts w:hint="default" w:ascii="仿宋_GB2312" w:hAnsi="仿宋_GB2312" w:eastAsia="仿宋_GB2312" w:cs="仿宋_GB2312"/>
          <w:sz w:val="32"/>
          <w:szCs w:val="32"/>
          <w:lang w:val="en-US" w:eastAsia="zh-CN"/>
        </w:rPr>
        <w:t>双规</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五项管理</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工作，切实减轻学生课业负担，提升课后服务质量。</w:t>
      </w:r>
    </w:p>
    <w:p w14:paraId="4A637EB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深入实施高中提升计划。构建小初高生源稳控联动机制，完善拔尖创新人才培养体系。</w:t>
      </w:r>
      <w:r>
        <w:rPr>
          <w:rFonts w:hint="default" w:ascii="仿宋_GB2312" w:hAnsi="仿宋_GB2312" w:eastAsia="仿宋_GB2312" w:cs="仿宋_GB2312"/>
          <w:sz w:val="32"/>
          <w:szCs w:val="32"/>
          <w:lang w:val="en-US" w:eastAsia="zh-CN"/>
        </w:rPr>
        <w:t>深化公民办合作办学，推动元坝中学“文化+艺体”错位发展，加快德育、教科研、课堂教学改革</w:t>
      </w:r>
      <w:r>
        <w:rPr>
          <w:rFonts w:hint="eastAsia" w:ascii="仿宋_GB2312" w:hAnsi="仿宋_GB2312" w:eastAsia="仿宋_GB2312" w:cs="仿宋_GB2312"/>
          <w:sz w:val="32"/>
          <w:szCs w:val="32"/>
          <w:lang w:val="en-US" w:eastAsia="zh-CN"/>
        </w:rPr>
        <w:t>，构建高效管理模块</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加强</w:t>
      </w:r>
      <w:r>
        <w:rPr>
          <w:rFonts w:hint="default" w:ascii="仿宋_GB2312" w:hAnsi="仿宋_GB2312" w:eastAsia="仿宋_GB2312" w:cs="仿宋_GB2312"/>
          <w:sz w:val="32"/>
          <w:szCs w:val="32"/>
          <w:lang w:val="en-US" w:eastAsia="zh-CN"/>
        </w:rPr>
        <w:t>高考</w:t>
      </w:r>
      <w:r>
        <w:rPr>
          <w:rFonts w:hint="eastAsia" w:ascii="仿宋_GB2312" w:hAnsi="仿宋_GB2312" w:eastAsia="仿宋_GB2312" w:cs="仿宋_GB2312"/>
          <w:sz w:val="32"/>
          <w:szCs w:val="32"/>
          <w:lang w:val="en-US" w:eastAsia="zh-CN"/>
        </w:rPr>
        <w:t>政策宣传和研究，旨在进一步提高高考质量</w:t>
      </w:r>
      <w:r>
        <w:rPr>
          <w:rFonts w:hint="default" w:ascii="仿宋_GB2312" w:hAnsi="仿宋_GB2312" w:eastAsia="仿宋_GB2312" w:cs="仿宋_GB2312"/>
          <w:sz w:val="32"/>
          <w:szCs w:val="32"/>
          <w:lang w:val="en-US" w:eastAsia="zh-CN"/>
        </w:rPr>
        <w:t>。</w:t>
      </w:r>
    </w:p>
    <w:p w14:paraId="3CDA2D9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突破性发展职业教育。完善校企合作拓展生源渠道办法，巩固壮大昭化职中办学规模</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深化产教融合、校企合作，</w:t>
      </w:r>
      <w:r>
        <w:rPr>
          <w:rFonts w:hint="default" w:ascii="仿宋_GB2312" w:hAnsi="仿宋_GB2312" w:eastAsia="仿宋_GB2312" w:cs="仿宋_GB2312"/>
          <w:sz w:val="32"/>
          <w:szCs w:val="32"/>
          <w:lang w:val="en-US" w:eastAsia="zh-CN"/>
        </w:rPr>
        <w:t>推动专业共建</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深化联合办学，建强家具设计与制作专业，壮大数控技术应用</w:t>
      </w:r>
      <w:r>
        <w:rPr>
          <w:rFonts w:hint="eastAsia" w:ascii="仿宋_GB2312" w:hAnsi="仿宋_GB2312" w:eastAsia="仿宋_GB2312" w:cs="仿宋_GB2312"/>
          <w:sz w:val="32"/>
          <w:szCs w:val="32"/>
          <w:lang w:val="en-US" w:eastAsia="zh-CN"/>
        </w:rPr>
        <w:t>专业</w:t>
      </w:r>
      <w:r>
        <w:rPr>
          <w:rFonts w:hint="default" w:ascii="仿宋_GB2312" w:hAnsi="仿宋_GB2312" w:eastAsia="仿宋_GB2312" w:cs="仿宋_GB2312"/>
          <w:sz w:val="32"/>
          <w:szCs w:val="32"/>
          <w:lang w:val="en-US" w:eastAsia="zh-CN"/>
        </w:rPr>
        <w:t>、计算机网络技术专业</w:t>
      </w:r>
      <w:r>
        <w:rPr>
          <w:rFonts w:hint="eastAsia" w:ascii="仿宋_GB2312" w:hAnsi="仿宋_GB2312" w:eastAsia="仿宋_GB2312" w:cs="仿宋_GB2312"/>
          <w:sz w:val="32"/>
          <w:szCs w:val="32"/>
          <w:lang w:val="en-US" w:eastAsia="zh-CN"/>
        </w:rPr>
        <w:t>。推动学历教育、社区教育和老年教育高质量融合发展，同时</w:t>
      </w:r>
      <w:r>
        <w:rPr>
          <w:rFonts w:hint="default"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lang w:val="en-US" w:eastAsia="zh-CN"/>
        </w:rPr>
        <w:t>全民终身学习活动周，推进学习型社会建设。</w:t>
      </w:r>
    </w:p>
    <w:p w14:paraId="2E97FD96">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规范发展民办教育。</w:t>
      </w:r>
      <w:r>
        <w:rPr>
          <w:rFonts w:hint="default" w:ascii="仿宋_GB2312" w:hAnsi="仿宋_GB2312" w:eastAsia="仿宋_GB2312" w:cs="仿宋_GB2312"/>
          <w:sz w:val="32"/>
          <w:szCs w:val="32"/>
          <w:lang w:val="en-US" w:eastAsia="zh-CN"/>
        </w:rPr>
        <w:t>推进民办学校分类登记改革、学校年检工作，探索民办教育大数据管理</w:t>
      </w:r>
      <w:r>
        <w:rPr>
          <w:rFonts w:hint="eastAsia" w:ascii="仿宋_GB2312" w:hAnsi="仿宋_GB2312" w:eastAsia="仿宋_GB2312" w:cs="仿宋_GB2312"/>
          <w:sz w:val="32"/>
          <w:szCs w:val="32"/>
          <w:lang w:val="en-US" w:eastAsia="zh-CN"/>
        </w:rPr>
        <w:t>策略</w:t>
      </w:r>
      <w:r>
        <w:rPr>
          <w:rFonts w:hint="default" w:ascii="仿宋_GB2312" w:hAnsi="仿宋_GB2312" w:eastAsia="仿宋_GB2312" w:cs="仿宋_GB2312"/>
          <w:sz w:val="32"/>
          <w:szCs w:val="32"/>
          <w:lang w:val="en-US" w:eastAsia="zh-CN"/>
        </w:rPr>
        <w:t>，构建信息共享、部门协作的管理体系和行业健康规范发展生态。</w:t>
      </w:r>
      <w:r>
        <w:rPr>
          <w:rFonts w:hint="eastAsia" w:ascii="仿宋_GB2312" w:hAnsi="仿宋_GB2312" w:eastAsia="仿宋_GB2312" w:cs="仿宋_GB2312"/>
          <w:sz w:val="32"/>
          <w:szCs w:val="32"/>
          <w:lang w:val="en-US" w:eastAsia="zh-CN"/>
        </w:rPr>
        <w:t>发挥</w:t>
      </w:r>
      <w:r>
        <w:rPr>
          <w:rFonts w:hint="default" w:ascii="仿宋_GB2312" w:hAnsi="仿宋_GB2312" w:eastAsia="仿宋_GB2312" w:cs="仿宋_GB2312"/>
          <w:sz w:val="32"/>
          <w:szCs w:val="32"/>
          <w:lang w:val="en-US" w:eastAsia="zh-CN"/>
        </w:rPr>
        <w:t>行业组织在</w:t>
      </w:r>
      <w:r>
        <w:rPr>
          <w:rFonts w:hint="eastAsia" w:ascii="仿宋_GB2312" w:hAnsi="仿宋_GB2312" w:eastAsia="仿宋_GB2312" w:cs="仿宋_GB2312"/>
          <w:sz w:val="32"/>
          <w:szCs w:val="32"/>
          <w:lang w:val="en-US" w:eastAsia="zh-CN"/>
        </w:rPr>
        <w:t>民办教育</w:t>
      </w:r>
      <w:r>
        <w:rPr>
          <w:rFonts w:hint="default" w:ascii="仿宋_GB2312" w:hAnsi="仿宋_GB2312" w:eastAsia="仿宋_GB2312" w:cs="仿宋_GB2312"/>
          <w:sz w:val="32"/>
          <w:szCs w:val="32"/>
          <w:lang w:val="en-US" w:eastAsia="zh-CN"/>
        </w:rPr>
        <w:t>管理中的积极作用，</w:t>
      </w:r>
      <w:r>
        <w:rPr>
          <w:rFonts w:hint="eastAsia" w:ascii="仿宋_GB2312" w:hAnsi="仿宋_GB2312" w:eastAsia="仿宋_GB2312" w:cs="仿宋_GB2312"/>
          <w:sz w:val="32"/>
          <w:szCs w:val="32"/>
          <w:lang w:val="en-US" w:eastAsia="zh-CN"/>
        </w:rPr>
        <w:t>因地制宜</w:t>
      </w:r>
      <w:r>
        <w:rPr>
          <w:rFonts w:hint="default" w:ascii="仿宋_GB2312" w:hAnsi="仿宋_GB2312" w:eastAsia="仿宋_GB2312" w:cs="仿宋_GB2312"/>
          <w:sz w:val="32"/>
          <w:szCs w:val="32"/>
          <w:lang w:val="en-US" w:eastAsia="zh-CN"/>
        </w:rPr>
        <w:t>培育民办教育优质品牌。</w:t>
      </w:r>
    </w:p>
    <w:p w14:paraId="6570D8EA">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推进乡村振兴。全面落实各类学生资助政策，健全学生资助长效机制，落实控辍保学“六长”责任制，完善落实防止返贫监测和帮扶机制，用好教育救助基金，持续实施“爱·圆梦”“金秋助学”等助学项目，确保困难家庭学生应助尽助、应学尽学，九年义务教育适龄学生入学率、巩固率达100%。</w:t>
      </w:r>
    </w:p>
    <w:p w14:paraId="251D3499">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规范后勤管理。实施办好师生满意学校食堂三年行动计划，全面完成学校食堂智能化建设，加强学校食堂精细化管理，实施好国家营养改善计划。推进学生宿舍（公寓）规范化管理、学校生态环境治理，扎实开展节能减排、“光盘行动”“一木环保”和垃圾分类等工作，建设生态文明校园。 </w:t>
      </w:r>
    </w:p>
    <w:p w14:paraId="0D1ED1FC">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抓好招生考试。加强新高考政策宣传，强化“三大专项计划”及各类特殊招生资格审查。做好巡查系统高清升级和标准化考点硬件维护管理，提升突发事件应急处置水平，确保各类国家教育考试万无一失。</w:t>
      </w:r>
    </w:p>
    <w:p w14:paraId="30A905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31063"/>
      <w:r>
        <w:rPr>
          <w:rFonts w:hint="eastAsia" w:ascii="黑体" w:hAnsi="黑体" w:eastAsia="黑体" w:cs="黑体"/>
          <w:sz w:val="32"/>
          <w:szCs w:val="32"/>
          <w:lang w:val="en-US" w:eastAsia="zh-CN"/>
        </w:rPr>
        <w:t>二、部门预算单位构成</w:t>
      </w:r>
      <w:bookmarkEnd w:id="3"/>
    </w:p>
    <w:p w14:paraId="643DFA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教育局下属二级预算单位41个，其中行政单位1个，参照公务员法管理的事业单位0个，其他事业单位40个。主要包括：教育局机关、元坝中学、昭化职中、王家中学、卫子中学、太公中学、虎跳中学、昭化中学、元坝一小、元坝二小、实验小学、柳桥小学、观音小学、小新小学、王家小学、文村小学、晋贤小学、卫子小学、梅树小学、白果小学、石井小学、柏林小学、太公小学、张家小学、清水小学、香溪小学、虎跳小学、青牛小学、陈江小学、黄龙小学、丁家小学、昭化小学、朝阳小学、明觉小学、射箭小学、红岩小学、沙坝小学、机关幼儿园、东城幼儿园、葭萌幼儿园、民盟烛光初级中学。</w:t>
      </w:r>
    </w:p>
    <w:p w14:paraId="3CC9FD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2763"/>
      <w:r>
        <w:rPr>
          <w:rFonts w:hint="eastAsia" w:ascii="黑体" w:hAnsi="黑体" w:eastAsia="黑体" w:cs="黑体"/>
          <w:sz w:val="32"/>
          <w:szCs w:val="32"/>
          <w:lang w:val="en-US" w:eastAsia="zh-CN"/>
        </w:rPr>
        <w:t>三、收支预算情况说明</w:t>
      </w:r>
      <w:bookmarkEnd w:id="4"/>
    </w:p>
    <w:p w14:paraId="751D19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广元市昭化区教育局所有收入和支出均纳入部门预算管理。收入包括：一般公共预算拨款收入；支出包括：教育支出。广元市昭化区教育局2025年收支预算总数28072.16万元，比2024年收支预算总数减少11.47万元，主要原因是项目支出减少。</w:t>
      </w:r>
    </w:p>
    <w:p w14:paraId="3CEFA5F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22169"/>
      <w:r>
        <w:rPr>
          <w:rFonts w:hint="eastAsia" w:ascii="楷体_GB2312" w:hAnsi="楷体_GB2312" w:eastAsia="楷体_GB2312" w:cs="楷体_GB2312"/>
          <w:sz w:val="32"/>
          <w:szCs w:val="32"/>
          <w:lang w:val="en-US" w:eastAsia="zh-CN"/>
        </w:rPr>
        <w:t>（一）收入预算情况</w:t>
      </w:r>
      <w:bookmarkEnd w:id="5"/>
    </w:p>
    <w:p w14:paraId="6AD03B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广元市昭化区教育局2025年收入预算28072.16万元，其中：一般公共预算拨款收入28072.16万元，占100%；</w:t>
      </w:r>
    </w:p>
    <w:p w14:paraId="49CA5FA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9633"/>
      <w:r>
        <w:rPr>
          <w:rFonts w:hint="eastAsia" w:ascii="楷体_GB2312" w:hAnsi="楷体_GB2312" w:eastAsia="楷体_GB2312" w:cs="楷体_GB2312"/>
          <w:sz w:val="32"/>
          <w:szCs w:val="32"/>
          <w:lang w:val="en-US" w:eastAsia="zh-CN"/>
        </w:rPr>
        <w:t>（二）支出预算情况</w:t>
      </w:r>
      <w:bookmarkEnd w:id="6"/>
    </w:p>
    <w:p w14:paraId="764E8E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广元市昭化区教育局2025年支出预算28072.16万元，其中：基本支出23872.41万元，占85.04%；项目支出4199.74万元，占14.96%</w:t>
      </w:r>
      <w:r>
        <w:rPr>
          <w:rFonts w:hint="eastAsia" w:ascii="仿宋_GB2312" w:hAnsi="仿宋_GB2312" w:eastAsia="仿宋_GB2312" w:cs="仿宋_GB2312"/>
          <w:b w:val="0"/>
          <w:bCs w:val="0"/>
          <w:sz w:val="32"/>
          <w:szCs w:val="32"/>
          <w:lang w:val="en-US" w:eastAsia="zh-CN"/>
        </w:rPr>
        <w:t>。</w:t>
      </w:r>
    </w:p>
    <w:p w14:paraId="7AB6FBE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4066"/>
      <w:r>
        <w:rPr>
          <w:rFonts w:hint="eastAsia" w:ascii="黑体" w:hAnsi="黑体" w:eastAsia="黑体" w:cs="黑体"/>
          <w:sz w:val="32"/>
          <w:szCs w:val="32"/>
          <w:lang w:val="en-US" w:eastAsia="zh-CN"/>
        </w:rPr>
        <w:t>四、财政拨款收支预算情况说明</w:t>
      </w:r>
      <w:bookmarkEnd w:id="7"/>
    </w:p>
    <w:p w14:paraId="11A939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广元市昭化区教育局2025年财政拨款收支预算总数28072.16万元，比2024年财政拨款收支预算总数减少11.47万元，主要原因是项目支出减少。</w:t>
      </w:r>
    </w:p>
    <w:p w14:paraId="64EA4BE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收入包括：本年一般公共预算拨款收入28072.16万元；支出包括：教育支出28072.16万元。</w:t>
      </w:r>
    </w:p>
    <w:p w14:paraId="7AC3A53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7823"/>
      <w:r>
        <w:rPr>
          <w:rFonts w:hint="eastAsia" w:ascii="黑体" w:hAnsi="黑体" w:eastAsia="黑体" w:cs="黑体"/>
          <w:sz w:val="32"/>
          <w:szCs w:val="32"/>
          <w:lang w:val="en-US" w:eastAsia="zh-CN"/>
        </w:rPr>
        <w:t>五、一般公共预算当年拨款情况说明</w:t>
      </w:r>
      <w:bookmarkEnd w:id="8"/>
    </w:p>
    <w:p w14:paraId="2991E25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20406"/>
      <w:r>
        <w:rPr>
          <w:rFonts w:hint="eastAsia" w:ascii="楷体_GB2312" w:hAnsi="楷体_GB2312" w:eastAsia="楷体_GB2312" w:cs="楷体_GB2312"/>
          <w:sz w:val="32"/>
          <w:szCs w:val="32"/>
          <w:lang w:val="en-US" w:eastAsia="zh-CN"/>
        </w:rPr>
        <w:t>（一）一般公共预算当年拨款规模变化情况</w:t>
      </w:r>
      <w:bookmarkEnd w:id="9"/>
    </w:p>
    <w:p w14:paraId="262390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广元市昭化区教育局2025年一般公共预算当年拨款28072.16万元，比2024年预算数减少11.47万元，主要原因是项目支出减少。</w:t>
      </w:r>
    </w:p>
    <w:p w14:paraId="3880C1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3032"/>
      <w:r>
        <w:rPr>
          <w:rFonts w:hint="eastAsia" w:ascii="楷体_GB2312" w:hAnsi="楷体_GB2312" w:eastAsia="楷体_GB2312" w:cs="楷体_GB2312"/>
          <w:sz w:val="32"/>
          <w:szCs w:val="32"/>
          <w:lang w:val="en-US" w:eastAsia="zh-CN"/>
        </w:rPr>
        <w:t>（二）一般公共预算当年拨款结构情况</w:t>
      </w:r>
      <w:bookmarkEnd w:id="10"/>
    </w:p>
    <w:p w14:paraId="25AA774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教育支出28072.16万元，占100%；</w:t>
      </w:r>
    </w:p>
    <w:p w14:paraId="111993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5054"/>
      <w:r>
        <w:rPr>
          <w:rFonts w:hint="eastAsia" w:ascii="楷体_GB2312" w:hAnsi="楷体_GB2312" w:eastAsia="楷体_GB2312" w:cs="楷体_GB2312"/>
          <w:sz w:val="32"/>
          <w:szCs w:val="32"/>
          <w:lang w:val="en-US" w:eastAsia="zh-CN"/>
        </w:rPr>
        <w:t>（三）一般公共预算当年拨款具体使用情况</w:t>
      </w:r>
      <w:bookmarkEnd w:id="11"/>
    </w:p>
    <w:p w14:paraId="44129E1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教育支出（类）教育管理事务（款）行政运行（项）2025年预算数为1374.59万元，主要用于：</w:t>
      </w:r>
      <w:r>
        <w:rPr>
          <w:rFonts w:hint="eastAsia" w:ascii="仿宋_GB2312" w:hAnsi="仿宋_GB2312" w:eastAsia="仿宋_GB2312" w:cs="仿宋_GB2312"/>
          <w:color w:val="auto"/>
          <w:sz w:val="32"/>
          <w:szCs w:val="32"/>
          <w:lang w:val="en-US" w:eastAsia="zh-CN"/>
        </w:rPr>
        <w:t>局机关正常运转的基本支出，包括基本工资、津贴补贴等人员经费以及办公费、印刷费、水电费等日常公用经费，保障部门正常运转。</w:t>
      </w:r>
    </w:p>
    <w:p w14:paraId="163F51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color w:val="auto"/>
          <w:sz w:val="32"/>
          <w:szCs w:val="32"/>
          <w:lang w:val="en-US" w:eastAsia="zh-CN"/>
        </w:rPr>
        <w:t>教育支出（类）普通教育（款）学前教育（项）</w:t>
      </w:r>
      <w:r>
        <w:rPr>
          <w:rFonts w:hint="eastAsia" w:ascii="仿宋_GB2312" w:hAnsi="仿宋_GB2312" w:eastAsia="仿宋_GB2312" w:cs="仿宋_GB2312"/>
          <w:sz w:val="32"/>
          <w:szCs w:val="32"/>
          <w:lang w:val="en-US" w:eastAsia="zh-CN"/>
        </w:rPr>
        <w:t>2025年预算数为1348.06万元，主要用于：</w:t>
      </w:r>
      <w:r>
        <w:rPr>
          <w:rFonts w:hint="eastAsia" w:ascii="仿宋_GB2312" w:hAnsi="仿宋_GB2312" w:eastAsia="仿宋_GB2312" w:cs="仿宋_GB2312"/>
          <w:color w:val="auto"/>
          <w:sz w:val="32"/>
          <w:szCs w:val="32"/>
          <w:lang w:val="en-US" w:eastAsia="zh-CN"/>
        </w:rPr>
        <w:t>全区学前教育机构的基本支出，包括基本工资、津贴补贴、基础绩效奖等人员经费以及机构运行所需的办公费、印刷费、维修（护）费、工会经费等运行补助经费。</w:t>
      </w:r>
    </w:p>
    <w:p w14:paraId="5E1DA1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color w:val="auto"/>
          <w:sz w:val="32"/>
          <w:szCs w:val="32"/>
          <w:lang w:val="en-US" w:eastAsia="zh-CN"/>
        </w:rPr>
        <w:t>教育支出（类）普通教育（款）小学教育（项）</w:t>
      </w:r>
      <w:r>
        <w:rPr>
          <w:rFonts w:hint="eastAsia" w:ascii="仿宋_GB2312" w:hAnsi="仿宋_GB2312" w:eastAsia="仿宋_GB2312" w:cs="仿宋_GB2312"/>
          <w:sz w:val="32"/>
          <w:szCs w:val="32"/>
          <w:lang w:val="en-US" w:eastAsia="zh-CN"/>
        </w:rPr>
        <w:t>2025年预算数为14878.47万元，主要用于：</w:t>
      </w:r>
      <w:r>
        <w:rPr>
          <w:rFonts w:hint="eastAsia" w:ascii="仿宋_GB2312" w:hAnsi="仿宋_GB2312" w:eastAsia="仿宋_GB2312" w:cs="仿宋_GB2312"/>
          <w:color w:val="auto"/>
          <w:sz w:val="32"/>
          <w:szCs w:val="32"/>
          <w:lang w:val="en-US" w:eastAsia="zh-CN"/>
        </w:rPr>
        <w:t>全区小学教育机构的基本支出，包括基本工资、津贴补贴、基础绩效奖等人员经费以及机构运行所需的办公费、印刷费、维修（护）费、工会经费等运行补助经费。</w:t>
      </w:r>
    </w:p>
    <w:p w14:paraId="4BE55B0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color w:val="auto"/>
          <w:sz w:val="32"/>
          <w:szCs w:val="32"/>
          <w:lang w:val="en-US" w:eastAsia="zh-CN"/>
        </w:rPr>
        <w:t>教育支出（类）普通教育（款）初中教育（项）</w:t>
      </w:r>
      <w:r>
        <w:rPr>
          <w:rFonts w:hint="eastAsia" w:ascii="仿宋_GB2312" w:hAnsi="仿宋_GB2312" w:eastAsia="仿宋_GB2312" w:cs="仿宋_GB2312"/>
          <w:sz w:val="32"/>
          <w:szCs w:val="32"/>
          <w:lang w:val="en-US" w:eastAsia="zh-CN"/>
        </w:rPr>
        <w:t>2025年预算数为4989.9万元，主要用于：</w:t>
      </w:r>
      <w:r>
        <w:rPr>
          <w:rFonts w:hint="eastAsia" w:ascii="仿宋_GB2312" w:hAnsi="仿宋_GB2312" w:eastAsia="仿宋_GB2312" w:cs="仿宋_GB2312"/>
          <w:color w:val="auto"/>
          <w:sz w:val="32"/>
          <w:szCs w:val="32"/>
          <w:lang w:val="en-US" w:eastAsia="zh-CN"/>
        </w:rPr>
        <w:t>全区初中教育机构的基本支出，包括基本工资、津贴补贴、基础绩效奖等人员经费以及机构运行所需的办公费、印刷费、维修（护）费、工会经费等运行补助经费。</w:t>
      </w:r>
    </w:p>
    <w:p w14:paraId="637AFD1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color w:val="auto"/>
          <w:sz w:val="32"/>
          <w:szCs w:val="32"/>
          <w:lang w:val="en-US" w:eastAsia="zh-CN"/>
        </w:rPr>
        <w:t>教育支出（类）普通教育（款）高中教育（项）</w:t>
      </w:r>
      <w:r>
        <w:rPr>
          <w:rFonts w:hint="eastAsia" w:ascii="仿宋_GB2312" w:hAnsi="仿宋_GB2312" w:eastAsia="仿宋_GB2312" w:cs="仿宋_GB2312"/>
          <w:sz w:val="32"/>
          <w:szCs w:val="32"/>
          <w:lang w:val="en-US" w:eastAsia="zh-CN"/>
        </w:rPr>
        <w:t>2025年预算数为3750.67万元，主要用于：</w:t>
      </w:r>
      <w:r>
        <w:rPr>
          <w:rFonts w:hint="eastAsia" w:ascii="仿宋_GB2312" w:hAnsi="仿宋_GB2312" w:eastAsia="仿宋_GB2312" w:cs="仿宋_GB2312"/>
          <w:color w:val="auto"/>
          <w:sz w:val="32"/>
          <w:szCs w:val="32"/>
          <w:lang w:val="en-US" w:eastAsia="zh-CN"/>
        </w:rPr>
        <w:t>全区高中教育机构的基本支出，包括基本工资、津贴补贴、基础绩效奖等人员经费以及机构运行所需的办公费、印刷费、维修（护）费、工会经费等运行补助经费。</w:t>
      </w:r>
    </w:p>
    <w:p w14:paraId="20E178E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color w:val="auto"/>
          <w:sz w:val="32"/>
          <w:szCs w:val="32"/>
          <w:lang w:val="en-US" w:eastAsia="zh-CN"/>
        </w:rPr>
        <w:t>教育支出（类）职业教育（款） 中等职业教育（项）</w:t>
      </w:r>
      <w:r>
        <w:rPr>
          <w:rFonts w:hint="eastAsia" w:ascii="仿宋_GB2312" w:hAnsi="仿宋_GB2312" w:eastAsia="仿宋_GB2312" w:cs="仿宋_GB2312"/>
          <w:sz w:val="32"/>
          <w:szCs w:val="32"/>
          <w:lang w:val="en-US" w:eastAsia="zh-CN"/>
        </w:rPr>
        <w:t>2025年预算数为1730.47万元，主要用于：</w:t>
      </w:r>
      <w:r>
        <w:rPr>
          <w:rFonts w:hint="eastAsia" w:ascii="仿宋_GB2312" w:hAnsi="仿宋_GB2312" w:eastAsia="仿宋_GB2312" w:cs="仿宋_GB2312"/>
          <w:color w:val="auto"/>
          <w:sz w:val="32"/>
          <w:szCs w:val="32"/>
          <w:lang w:val="en-US" w:eastAsia="zh-CN"/>
        </w:rPr>
        <w:t>全区中等职业教育机构的基本支出，包括基本工资、津贴补贴、基础绩效奖等人员经费以及机构运行所需的办公费、印刷费、维修（护）费、工会经费等运行补助经费。</w:t>
      </w:r>
    </w:p>
    <w:p w14:paraId="4DD34A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3671"/>
      <w:r>
        <w:rPr>
          <w:rFonts w:hint="eastAsia" w:ascii="黑体" w:hAnsi="黑体" w:eastAsia="黑体" w:cs="黑体"/>
          <w:sz w:val="32"/>
          <w:szCs w:val="32"/>
          <w:lang w:val="en-US" w:eastAsia="zh-CN"/>
        </w:rPr>
        <w:t>六、一般公共预算基本支出情况说明</w:t>
      </w:r>
      <w:bookmarkEnd w:id="12"/>
    </w:p>
    <w:p w14:paraId="2383D9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广元市昭化区教育局2025年一般公共预算基本支出23872.41万元，其中：</w:t>
      </w:r>
    </w:p>
    <w:p w14:paraId="06AD7F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人员经费23791.67万元，主要包括：基本工资、津贴补贴、奖金、社会保险缴费、离休费、住房公积金、抚恤金等支出。</w:t>
      </w:r>
    </w:p>
    <w:p w14:paraId="62106B5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公用经费80.74万元，主要包括：办公费、印刷费、手续费、水费、电费、邮电费、差旅费、维修（护）费、会议费、培训费、公务接待费、劳务费、工会经费、其他交通费用等支出。</w:t>
      </w:r>
    </w:p>
    <w:p w14:paraId="23210BF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4859"/>
      <w:r>
        <w:rPr>
          <w:rFonts w:hint="eastAsia" w:ascii="黑体" w:hAnsi="黑体" w:eastAsia="黑体" w:cs="黑体"/>
          <w:sz w:val="32"/>
          <w:szCs w:val="32"/>
          <w:lang w:val="en-US" w:eastAsia="zh-CN"/>
        </w:rPr>
        <w:t>七、“三公”经费财政拨款预算安排情况说明</w:t>
      </w:r>
      <w:bookmarkEnd w:id="13"/>
    </w:p>
    <w:p w14:paraId="141C777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广元市昭化区教育局2025年“三公”经费财政拨款预算数5.95万元，其中：公务接待费5.95万元，公务用车购置及运行维护费0万元，因公出国（境）经费0万元。</w:t>
      </w:r>
    </w:p>
    <w:p w14:paraId="390E663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160"/>
      <w:r>
        <w:rPr>
          <w:rFonts w:hint="eastAsia" w:ascii="楷体_GB2312" w:hAnsi="楷体_GB2312" w:eastAsia="楷体_GB2312" w:cs="楷体_GB2312"/>
          <w:sz w:val="32"/>
          <w:szCs w:val="32"/>
          <w:lang w:val="en-US" w:eastAsia="zh-CN"/>
        </w:rPr>
        <w:t>（一）公务接待费</w:t>
      </w:r>
      <w:bookmarkEnd w:id="14"/>
    </w:p>
    <w:p w14:paraId="3CE49B1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公务接待费与2024年预算相比下降，主要原因是</w:t>
      </w:r>
      <w:r>
        <w:rPr>
          <w:rFonts w:hint="eastAsia" w:ascii="仿宋" w:hAnsi="仿宋" w:eastAsia="仿宋" w:cs="仿宋"/>
          <w:color w:val="auto"/>
          <w:sz w:val="32"/>
          <w:szCs w:val="32"/>
          <w:lang w:val="en-US" w:eastAsia="zh-CN"/>
        </w:rPr>
        <w:t>奉行节约理念，严格执行三公经费压减政策。</w:t>
      </w:r>
    </w:p>
    <w:p w14:paraId="269B51B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02A6E0DF">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31210"/>
      <w:r>
        <w:rPr>
          <w:rFonts w:hint="eastAsia" w:ascii="楷体_GB2312" w:hAnsi="楷体_GB2312" w:eastAsia="楷体_GB2312" w:cs="楷体_GB2312"/>
          <w:sz w:val="32"/>
          <w:szCs w:val="32"/>
          <w:lang w:val="en-US" w:eastAsia="zh-CN"/>
        </w:rPr>
        <w:t>公务用车购置及运行维护费</w:t>
      </w:r>
      <w:bookmarkEnd w:id="15"/>
    </w:p>
    <w:p w14:paraId="653CB578">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1F113C4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064FED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145B76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4815BD52">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8790"/>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14:paraId="7F8387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6C64635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6988"/>
      <w:r>
        <w:rPr>
          <w:rFonts w:hint="eastAsia" w:ascii="黑体" w:hAnsi="黑体" w:eastAsia="黑体" w:cs="黑体"/>
          <w:sz w:val="32"/>
          <w:szCs w:val="32"/>
          <w:lang w:val="en-US" w:eastAsia="zh-CN"/>
        </w:rPr>
        <w:t>八、政府性基金预算支出情况说明</w:t>
      </w:r>
      <w:bookmarkEnd w:id="17"/>
    </w:p>
    <w:p w14:paraId="7D1336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广元市昭化区教育局2025年无政府性基金预算拨款安排的支出。</w:t>
      </w:r>
    </w:p>
    <w:p w14:paraId="7EB62E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30190"/>
      <w:r>
        <w:rPr>
          <w:rFonts w:hint="eastAsia" w:ascii="黑体" w:hAnsi="黑体" w:eastAsia="黑体" w:cs="黑体"/>
          <w:sz w:val="32"/>
          <w:szCs w:val="32"/>
          <w:lang w:val="en-US" w:eastAsia="zh-CN"/>
        </w:rPr>
        <w:t>九、国有资本经营预算支出情况说明</w:t>
      </w:r>
      <w:bookmarkEnd w:id="18"/>
    </w:p>
    <w:p w14:paraId="45CBFB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广元市昭化区教育局2025年无国有资本经营预算拨款安排的支出。</w:t>
      </w:r>
    </w:p>
    <w:p w14:paraId="75B3E2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235"/>
      <w:r>
        <w:rPr>
          <w:rFonts w:hint="eastAsia" w:ascii="黑体" w:hAnsi="黑体" w:eastAsia="黑体" w:cs="黑体"/>
          <w:sz w:val="32"/>
          <w:szCs w:val="32"/>
          <w:lang w:val="en-US" w:eastAsia="zh-CN"/>
        </w:rPr>
        <w:t>十、其他重要事项的情况说明</w:t>
      </w:r>
      <w:bookmarkEnd w:id="19"/>
    </w:p>
    <w:p w14:paraId="4F4C064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3321"/>
      <w:r>
        <w:rPr>
          <w:rFonts w:hint="eastAsia" w:ascii="楷体_GB2312" w:hAnsi="楷体_GB2312" w:eastAsia="楷体_GB2312" w:cs="楷体_GB2312"/>
          <w:sz w:val="32"/>
          <w:szCs w:val="32"/>
          <w:lang w:val="en-US" w:eastAsia="zh-CN"/>
        </w:rPr>
        <w:t>（一）机关运行经费</w:t>
      </w:r>
      <w:bookmarkEnd w:id="20"/>
    </w:p>
    <w:p w14:paraId="539220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2025年，广元市昭化区教育局运行经费财政拨款预算为68.6万元，比2024年预算增加18.2万元，增长36.11%。主要原因人员增加。</w:t>
      </w:r>
    </w:p>
    <w:p w14:paraId="7D33979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0417"/>
      <w:r>
        <w:rPr>
          <w:rFonts w:hint="eastAsia" w:ascii="楷体_GB2312" w:hAnsi="楷体_GB2312" w:eastAsia="楷体_GB2312" w:cs="楷体_GB2312"/>
          <w:sz w:val="32"/>
          <w:szCs w:val="32"/>
          <w:lang w:val="en-US" w:eastAsia="zh-CN"/>
        </w:rPr>
        <w:t>（二）政府采购情况</w:t>
      </w:r>
      <w:bookmarkEnd w:id="21"/>
    </w:p>
    <w:p w14:paraId="5E1660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2025年，广元市昭化区教育局安排政府采购预算0万元。</w:t>
      </w:r>
    </w:p>
    <w:p w14:paraId="7944D6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277"/>
      <w:r>
        <w:rPr>
          <w:rFonts w:hint="eastAsia" w:ascii="楷体_GB2312" w:hAnsi="楷体_GB2312" w:eastAsia="楷体_GB2312" w:cs="楷体_GB2312"/>
          <w:sz w:val="32"/>
          <w:szCs w:val="32"/>
          <w:lang w:val="en-US" w:eastAsia="zh-CN"/>
        </w:rPr>
        <w:t>（三）国有资产占有使用情况</w:t>
      </w:r>
      <w:bookmarkEnd w:id="22"/>
    </w:p>
    <w:p w14:paraId="7D219C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截至2024年底，广元市昭化区教育局共有车辆0辆。无价值200万元以上的大型设备。</w:t>
      </w:r>
    </w:p>
    <w:p w14:paraId="18AC92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3006A7B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3" w:name="_Toc29619"/>
      <w:r>
        <w:rPr>
          <w:rFonts w:hint="eastAsia" w:ascii="楷体_GB2312" w:hAnsi="楷体_GB2312" w:eastAsia="楷体_GB2312" w:cs="楷体_GB2312"/>
          <w:sz w:val="32"/>
          <w:szCs w:val="32"/>
          <w:lang w:val="en-US" w:eastAsia="zh-CN"/>
        </w:rPr>
        <w:t>（四）绩效目标设置情况</w:t>
      </w:r>
      <w:bookmarkEnd w:id="23"/>
    </w:p>
    <w:p w14:paraId="3E9EC49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2025年广元市昭化区教育局开展绩效目标管理的项目43个，涉及预算28072.16万元。其中：人员类项目9个，涉及预算23791.67万元；运转类项目32个，涉及预算4217.99万元；特定目标类项目2个，涉及预算62.5万元。因部分项目内容涉密，不予公开。</w:t>
      </w:r>
    </w:p>
    <w:p w14:paraId="526CA4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27948"/>
      <w:r>
        <w:rPr>
          <w:rFonts w:hint="eastAsia" w:ascii="黑体" w:hAnsi="黑体" w:eastAsia="黑体" w:cs="黑体"/>
          <w:sz w:val="32"/>
          <w:szCs w:val="32"/>
          <w:lang w:val="en-US" w:eastAsia="zh-CN"/>
        </w:rPr>
        <w:t>十一、名词解释</w:t>
      </w:r>
      <w:bookmarkEnd w:id="24"/>
    </w:p>
    <w:p w14:paraId="1D51E7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w:t>
      </w:r>
      <w:bookmarkStart w:id="25" w:name="_GoBack"/>
      <w:bookmarkEnd w:id="25"/>
      <w:r>
        <w:rPr>
          <w:rFonts w:hint="eastAsia" w:ascii="仿宋_GB2312" w:hAnsi="仿宋_GB2312" w:eastAsia="仿宋_GB2312" w:cs="仿宋_GB2312"/>
          <w:sz w:val="32"/>
          <w:szCs w:val="32"/>
          <w:lang w:val="en-US" w:eastAsia="zh-CN"/>
        </w:rPr>
        <w:t>政拨款包括一般公共预算拨款和政府性基金预算拨款。</w:t>
      </w:r>
    </w:p>
    <w:p w14:paraId="6D29D1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773FBED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指除上述“一般公共预算拨款收入和事业收入”等以外的收入。如银行存款利息收入、社会考试服务收入、校企合作收入、课时收入等。</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w:t>
      </w:r>
      <w:r>
        <w:rPr>
          <w:rFonts w:hint="eastAsia" w:ascii="楷体_GB2312" w:hAnsi="楷体_GB2312" w:eastAsia="楷体_GB2312" w:cs="楷体_GB2312"/>
          <w:color w:val="auto"/>
          <w:sz w:val="32"/>
          <w:szCs w:val="32"/>
          <w:lang w:val="en-US" w:eastAsia="zh-CN"/>
        </w:rPr>
        <w:t>教育（类）教育管理事务（款）行政运行（项）：</w:t>
      </w:r>
      <w:r>
        <w:rPr>
          <w:rFonts w:hint="eastAsia" w:ascii="仿宋_GB2312" w:hAnsi="仿宋_GB2312" w:eastAsia="仿宋_GB2312" w:cs="仿宋_GB2312"/>
          <w:color w:val="auto"/>
          <w:sz w:val="32"/>
          <w:szCs w:val="32"/>
          <w:lang w:val="en-US" w:eastAsia="zh-CN"/>
        </w:rPr>
        <w:t>指教育局机关单位用于保障机构正常运行、开展日常工作的基本支出。</w:t>
      </w:r>
    </w:p>
    <w:p w14:paraId="158D34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（六）教育支出（类）普通教育（款）学前教育（项）：</w:t>
      </w:r>
      <w:r>
        <w:rPr>
          <w:rFonts w:hint="eastAsia" w:ascii="仿宋_GB2312" w:hAnsi="仿宋_GB2312" w:eastAsia="仿宋_GB2312" w:cs="仿宋_GB2312"/>
          <w:color w:val="auto"/>
          <w:sz w:val="32"/>
          <w:szCs w:val="32"/>
          <w:lang w:val="en-US" w:eastAsia="zh-CN"/>
        </w:rPr>
        <w:t>指全区学前教育发展的基本支出，包括基本工资、津贴补贴等人员经费以及办公费、印刷费、水电费等日常公用经费。</w:t>
      </w:r>
    </w:p>
    <w:p w14:paraId="56407C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（七）教育支出（类）普通教育（款）小学教育（项）：</w:t>
      </w:r>
      <w:r>
        <w:rPr>
          <w:rFonts w:hint="eastAsia" w:ascii="仿宋_GB2312" w:hAnsi="仿宋_GB2312" w:eastAsia="仿宋_GB2312" w:cs="仿宋_GB2312"/>
          <w:color w:val="auto"/>
          <w:sz w:val="32"/>
          <w:szCs w:val="32"/>
          <w:lang w:val="en-US" w:eastAsia="zh-CN"/>
        </w:rPr>
        <w:t>指全区小学教育发展的基本支出，包括基本工资、津贴补贴等人员经费以及办公费、印刷费、水电费等日常公用经费。</w:t>
      </w:r>
    </w:p>
    <w:p w14:paraId="4F98312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（八）教育支出（类）普通教育（款）初中教育（项）：</w:t>
      </w:r>
      <w:r>
        <w:rPr>
          <w:rFonts w:hint="eastAsia" w:ascii="仿宋_GB2312" w:hAnsi="仿宋_GB2312" w:eastAsia="仿宋_GB2312" w:cs="仿宋_GB2312"/>
          <w:color w:val="auto"/>
          <w:sz w:val="32"/>
          <w:szCs w:val="32"/>
          <w:lang w:val="en-US" w:eastAsia="zh-CN"/>
        </w:rPr>
        <w:t>指全区初中教育发展的基本支出，包括基本工资、津贴补贴等人员经费以及办公费、印刷费、水电费等日常公用经费。</w:t>
      </w:r>
    </w:p>
    <w:p w14:paraId="41AD1E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auto"/>
          <w:spacing w:val="0"/>
          <w:kern w:val="0"/>
          <w:sz w:val="32"/>
          <w:szCs w:val="32"/>
          <w:shd w:val="clear" w:color="auto" w:fill="FFFFFF"/>
          <w:lang w:val="en-US" w:eastAsia="zh-CN"/>
        </w:rPr>
      </w:pPr>
      <w:r>
        <w:rPr>
          <w:rFonts w:hint="eastAsia" w:ascii="楷体_GB2312" w:hAnsi="楷体_GB2312" w:eastAsia="楷体_GB2312" w:cs="楷体_GB2312"/>
          <w:color w:val="auto"/>
          <w:sz w:val="32"/>
          <w:szCs w:val="32"/>
          <w:lang w:val="en-US" w:eastAsia="zh-CN"/>
        </w:rPr>
        <w:t>（九）教育支出（类）普通教育（款）高中教育（项）：</w:t>
      </w:r>
      <w:r>
        <w:rPr>
          <w:rFonts w:hint="eastAsia" w:ascii="仿宋_GB2312" w:hAnsi="仿宋_GB2312" w:eastAsia="仿宋_GB2312" w:cs="仿宋_GB2312"/>
          <w:color w:val="auto"/>
          <w:sz w:val="32"/>
          <w:szCs w:val="32"/>
          <w:lang w:val="en-US" w:eastAsia="zh-CN"/>
        </w:rPr>
        <w:t>指全区高中教育发展的</w:t>
      </w:r>
      <w:r>
        <w:rPr>
          <w:rFonts w:hint="eastAsia" w:ascii="仿宋_GB2312" w:hAnsi="Times New Roman" w:eastAsia="仿宋_GB2312" w:cs="仿宋_GB2312"/>
          <w:i w:val="0"/>
          <w:caps w:val="0"/>
          <w:color w:val="auto"/>
          <w:spacing w:val="0"/>
          <w:kern w:val="0"/>
          <w:sz w:val="32"/>
          <w:szCs w:val="32"/>
          <w:shd w:val="clear" w:color="auto" w:fill="FFFFFF"/>
          <w:lang w:val="en-US" w:eastAsia="zh-CN"/>
        </w:rPr>
        <w:t>基本支出，包括基本工资、津贴补贴等人员经费以及办公费、印刷费、水电费等日常公用经费。</w:t>
      </w:r>
    </w:p>
    <w:p w14:paraId="030D2F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auto"/>
          <w:spacing w:val="0"/>
          <w:kern w:val="0"/>
          <w:sz w:val="32"/>
          <w:szCs w:val="32"/>
          <w:shd w:val="clear" w:color="auto" w:fill="FFFFFF"/>
          <w:lang w:val="en-US" w:eastAsia="zh-CN"/>
        </w:rPr>
      </w:pPr>
      <w:r>
        <w:rPr>
          <w:rFonts w:hint="eastAsia" w:ascii="楷体_GB2312" w:hAnsi="楷体_GB2312" w:eastAsia="楷体_GB2312" w:cs="楷体_GB2312"/>
          <w:color w:val="auto"/>
          <w:kern w:val="2"/>
          <w:sz w:val="32"/>
          <w:szCs w:val="32"/>
          <w:lang w:val="en-US" w:eastAsia="zh-CN" w:bidi="ar-SA"/>
        </w:rPr>
        <w:t>（十）教育支出（类）普通教育（款）中等职业教育（项）：</w:t>
      </w:r>
      <w:r>
        <w:rPr>
          <w:rFonts w:hint="eastAsia" w:ascii="仿宋_GB2312" w:hAnsi="Times New Roman" w:eastAsia="仿宋_GB2312" w:cs="仿宋_GB2312"/>
          <w:i w:val="0"/>
          <w:caps w:val="0"/>
          <w:color w:val="auto"/>
          <w:spacing w:val="0"/>
          <w:kern w:val="0"/>
          <w:sz w:val="32"/>
          <w:szCs w:val="32"/>
          <w:shd w:val="clear" w:color="auto" w:fill="FFFFFF"/>
          <w:lang w:val="en-US" w:eastAsia="zh-CN"/>
        </w:rPr>
        <w:t>指全区中等职业教育发展的基本支出，包括基本工资、津贴补贴等人员经费以及办公费、印刷费、水电费等日常公用经费。</w:t>
      </w:r>
    </w:p>
    <w:p w14:paraId="6BA33E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（十一）社会保障和就业（类）行政事业单位养老支出（款）机关事业单位基本养老保险缴费支出（项）：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（十二）社会保障和就业（类）行政事业单位养老支出（款）机关事业单位职业年金缴费支出（项）：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（十三）卫生健康（类）行政事业单位医疗（款）事业单位医疗（项）：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（十四）住房保障（类）住房改革支出（款）住房公积金（项）：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（十五）基本支出：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（十六）项目支出：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4F3F3A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（十七）“三公”经费：</w:t>
      </w:r>
      <w:r>
        <w:rPr>
          <w:rFonts w:hint="eastAsia" w:ascii="仿宋_GB2312" w:hAnsi="仿宋_GB2312" w:eastAsia="仿宋_GB2312" w:cs="仿宋_GB2312"/>
          <w:sz w:val="32"/>
          <w:szCs w:val="32"/>
          <w:lang w:val="en-US" w:eastAsia="zh-CN"/>
        </w:rPr>
        <w:t>纳入区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（十八）机关运行经费：</w:t>
      </w:r>
      <w:r>
        <w:rPr>
          <w:rFonts w:hint="eastAsia" w:ascii="仿宋_GB2312" w:hAnsi="仿宋_GB2312" w:eastAsia="仿宋_GB2312" w:cs="仿宋_GB2312"/>
          <w:sz w:val="32"/>
          <w:szCs w:val="32"/>
          <w:lang w:val="en-US" w:eastAsia="zh-CN"/>
        </w:rPr>
        <w:t>为保障行政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14:paraId="73133D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0A06F0B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部门预算公开表</w:t>
      </w:r>
    </w:p>
    <w:p w14:paraId="6CC88DB5">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项目支出绩效目标表</w:t>
      </w:r>
    </w:p>
    <w:p w14:paraId="0E7B70CD">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部门整体支出绩效目标表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auto"/>
    <w:pitch w:val="default"/>
    <w:sig w:usb0="00000000" w:usb1="00000000" w:usb2="00000000" w:usb3="00000000" w:csb0="6000009F" w:csb1="DFD70000"/>
  </w:font>
  <w:font w:name="DejaVu Sans">
    <w:altName w:val="Segoe Print"/>
    <w:panose1 w:val="020B0603030804020204"/>
    <w:charset w:val="00"/>
    <w:family w:val="auto"/>
    <w:pitch w:val="default"/>
    <w:sig w:usb0="00000000" w:usb1="00000000" w:usb2="0A246029" w:usb3="0400200C" w:csb0="600001FF" w:csb1="DFFF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Vijaya">
    <w:panose1 w:val="020B0604020202020204"/>
    <w:charset w:val="00"/>
    <w:family w:val="auto"/>
    <w:pitch w:val="default"/>
    <w:sig w:usb0="00100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F30F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6FFB7372">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XW5UtAAAAAFAQAADwAAAAAAAAABACAAAAAiAAAAZHJzL2Rvd25yZXYueG1sUEsB&#10;AhQAFAAAAAgAh07iQIa1Ccr9AQAAAAQAAA4AAAAAAAAAAQAgAAAAHwEAAGRycy9lMm9Eb2MueG1s&#10;UEsFBgAAAAAGAAYAWQEAAI4FAAAAAA==&#10;">
              <v:fill on="f" focussize="0,0"/>
              <v:stroke on="f"/>
              <v:imagedata o:title=""/>
              <o:lock v:ext="edit" aspectratio="f"/>
              <v:textbox inset="0mm,0mm,0mm,0mm" style="mso-fit-shape-to-text:t;">
                <w:txbxContent>
                  <w:p w14:paraId="6FFB7372">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C59D5"/>
    <w:multiLevelType w:val="singleLevel"/>
    <w:tmpl w:val="907C59D5"/>
    <w:lvl w:ilvl="0" w:tentative="0">
      <w:start w:val="2"/>
      <w:numFmt w:val="decimal"/>
      <w:lvlText w:val="%1."/>
      <w:lvlJc w:val="left"/>
      <w:pPr>
        <w:tabs>
          <w:tab w:val="left" w:pos="312"/>
        </w:tabs>
        <w:ind w:left="1600" w:leftChars="0" w:firstLine="0" w:firstLineChars="0"/>
      </w:pPr>
    </w:lvl>
  </w:abstractNum>
  <w:abstractNum w:abstractNumId="1">
    <w:nsid w:val="2F5381C6"/>
    <w:multiLevelType w:val="singleLevel"/>
    <w:tmpl w:val="2F5381C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xYWNmOTVlNTUwMjFhZGJjZTBiYTkzNWM3ZWY5NjMifQ=="/>
  </w:docVars>
  <w:rsids>
    <w:rsidRoot w:val="00000000"/>
    <w:rsid w:val="1C11590E"/>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autoRedefine/>
    <w:qFormat/>
    <w:uiPriority w:val="0"/>
  </w:style>
  <w:style w:type="paragraph" w:styleId="7">
    <w:name w:val="Normal (Web)"/>
    <w:basedOn w:val="1"/>
    <w:autoRedefine/>
    <w:qFormat/>
    <w:uiPriority w:val="0"/>
    <w:rPr>
      <w:sz w:val="24"/>
    </w:rPr>
  </w:style>
  <w:style w:type="table" w:styleId="9">
    <w:name w:val="Table Grid"/>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
    <w:name w:val="默认段落字体1"/>
    <w:autoRedefine/>
    <w:qFormat/>
    <w:uiPriority w:val="0"/>
  </w:style>
  <w:style w:type="paragraph" w:customStyle="1" w:styleId="12">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customStyle="1" w:styleId="14">
    <w:name w:val="WPSOffice手动目录 1"/>
    <w:autoRedefine/>
    <w:qFormat/>
    <w:uiPriority w:val="0"/>
    <w:pPr>
      <w:ind w:leftChars="0"/>
    </w:pPr>
    <w:rPr>
      <w:rFonts w:ascii="Times New Roman" w:hAnsi="Times New Roman" w:eastAsia="宋体" w:cs="Times New Roman"/>
      <w:sz w:val="20"/>
      <w:szCs w:val="20"/>
    </w:rPr>
  </w:style>
  <w:style w:type="paragraph" w:customStyle="1" w:styleId="15">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6375</Words>
  <Characters>6712</Characters>
  <TotalTime>15</TotalTime>
  <ScaleCrop>false</ScaleCrop>
  <LinksUpToDate>false</LinksUpToDate>
  <CharactersWithSpaces>6799</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丽丽</cp:lastModifiedBy>
  <dcterms:modified xsi:type="dcterms:W3CDTF">2025-02-15T05:54:18Z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