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7344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广元市昭化区职业高级中学</w:t>
      </w:r>
    </w:p>
    <w:p w14:paraId="787662E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48B5554A">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372D7D2C">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一、基本职能及主要工作..............................(3)</w:t>
      </w:r>
    </w:p>
    <w:p w14:paraId="34F8DBF6">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（一）单位职能简介..................................(3)</w:t>
      </w:r>
    </w:p>
    <w:p w14:paraId="72B1D897">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（二）单位2025年重点工作...........................(3)</w:t>
      </w:r>
    </w:p>
    <w:p w14:paraId="6DD17643">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二、部门预算单位构成................................(4)</w:t>
      </w:r>
    </w:p>
    <w:p w14:paraId="32C9E285">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三、收支预算情况说明................................(4)</w:t>
      </w:r>
    </w:p>
    <w:p w14:paraId="07065BDA">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（一）收入预算情况..................................(4)</w:t>
      </w:r>
    </w:p>
    <w:p w14:paraId="2BE90A28">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（二）支出预算情况..................................(4)</w:t>
      </w:r>
    </w:p>
    <w:p w14:paraId="150309B4">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四、财政拨款收支预算情况说明........................(5)</w:t>
      </w:r>
    </w:p>
    <w:p w14:paraId="3EA360D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五、一般公共预算当年拨款情况说明....................(5)</w:t>
      </w:r>
    </w:p>
    <w:p w14:paraId="36555125">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（一）一般公共预算当年拨款规模变化情况..............(5)</w:t>
      </w:r>
    </w:p>
    <w:p w14:paraId="5330EC38">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（二）一般公共预算当年拨款结构情况..................(5)</w:t>
      </w:r>
    </w:p>
    <w:p w14:paraId="224514A0">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（三）一般公共预算当年拨款具体使用情况..............(5)</w:t>
      </w:r>
    </w:p>
    <w:p w14:paraId="276965BE">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六、一般公共预算基本支出情况说明....................(5)</w:t>
      </w:r>
    </w:p>
    <w:p w14:paraId="1C524E84">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七、“三公”经费财政拨款预算安排情况说明............(6)</w:t>
      </w:r>
    </w:p>
    <w:p w14:paraId="4025CE05">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八、政府性基金预算支出情况说明......................(6)</w:t>
      </w:r>
    </w:p>
    <w:p w14:paraId="194B4987">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九、国有资本经营预算支出情况说明....................(6)</w:t>
      </w:r>
    </w:p>
    <w:p w14:paraId="7DAAF78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十、其他重要事项的情况说明........................(7)</w:t>
      </w:r>
    </w:p>
    <w:p w14:paraId="1B71B7ED">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十一、名词解释....................................(7)</w:t>
      </w:r>
    </w:p>
    <w:p w14:paraId="00CD53A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5FC9161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E7C329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55BDC5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CE14D4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431CEB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4CA3CB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294B44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E9E856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D60BE2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E20684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4E5C4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E6653E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C8F303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6B4F46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229D3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一、基本职能及主要工作</w:t>
      </w:r>
    </w:p>
    <w:p w14:paraId="776909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广元市昭化区职业高级中学是由四川省教育厅批准成立，由广元市昭化区人民政府主办的全日制国办中等职业学校，主要培养高中、初中学历技术应用人才，提高社会职业素质；文秘、财会等专业学历教育与相关职业培训。</w:t>
      </w:r>
    </w:p>
    <w:p w14:paraId="3742A9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（二）单位2025年重点工作</w:t>
      </w:r>
    </w:p>
    <w:p w14:paraId="613D57DB">
      <w:pPr>
        <w:pStyle w:val="6"/>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以党员队伍为抓手，带动干部队伍的建设；学校班子成员分工明确，责任落实；各处室各司其职，充分发挥职能作用；班子团结勤奋，作风民主，凝聚力强。全面贯彻了“谁主管，谁负责，责、权高度统一”的原则；全面落实了“块线结合，以块为主，分校分区包干，分年级管理”的管理策略，实现了“规范管理、阳光行政、民主监督”的管理要求，争取2025年职业教育硬件和软件达标。</w:t>
      </w:r>
    </w:p>
    <w:p w14:paraId="0370A3B4">
      <w:pPr>
        <w:pStyle w:val="6"/>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学校教研工作重点围绕促进教师专业化发展这一中心任务，广泛开展校本教研活动，提高教师的教育科研能力。充分利用多媒体教学设备提高教师的教育教学水平和业务能力。</w:t>
      </w:r>
    </w:p>
    <w:p w14:paraId="4EC758A7">
      <w:pPr>
        <w:pStyle w:val="6"/>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始终把“养成”教育放在首位，以精细管理推动养成教育；以学习引导和氛围营造为主线，致力于学生自律意识的培养；围绕“感恩教育·生命教育”的德育主题，深入开展爱国主义教育、感恩教育、礼仪教育和生命教育，切实提高德育工作的针对性、主动性和实效性。</w:t>
      </w:r>
    </w:p>
    <w:p w14:paraId="245760D8">
      <w:pPr>
        <w:pStyle w:val="6"/>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学校坚持以人为本，牢固树立“安全第一，预防为主”</w:t>
      </w:r>
    </w:p>
    <w:p w14:paraId="2EE44E4F">
      <w:pPr>
        <w:pStyle w:val="6"/>
        <w:pageBreakBefore w:val="0"/>
        <w:numPr>
          <w:ilvl w:val="0"/>
          <w:numId w:val="0"/>
        </w:numPr>
        <w:kinsoku/>
        <w:wordWrap/>
        <w:overflowPunct/>
        <w:topLinePunct w:val="0"/>
        <w:autoSpaceDE/>
        <w:autoSpaceDN/>
        <w:bidi w:val="0"/>
        <w:adjustRightInd w:val="0"/>
        <w:snapToGrid w:val="0"/>
        <w:spacing w:before="93" w:beforeLines="0" w:line="560" w:lineRule="exact"/>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思想，明确责任，强化措施，常抓不懈，确保不发生安全责任事故。</w:t>
      </w:r>
    </w:p>
    <w:p w14:paraId="309360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14:paraId="5594A8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昭化职中为广元市昭化区教育局的下属二级预算单位，属于公益二类事业单位，无下属机构。</w:t>
      </w:r>
    </w:p>
    <w:p w14:paraId="4962B6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我单位共有编制95名，全部为事业编制。2025年预算实有在职编制内人员84人，其中：专业技术人员83人，事业工勤编制1人；按财政供给率分，财政全额供给84人。我单位退休16人，全部为事业人员。</w:t>
      </w:r>
    </w:p>
    <w:p w14:paraId="522A73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14:paraId="62A65B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按照综合预算的原则，昭化职中所有收入和支出均纳入部门预算管理。收入包括：一般公共预算拨款收入；支出包括：教育支出。昭化职中2025年收支预算总数</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万元，比2024年收支预算总数增加</w:t>
      </w:r>
      <w:r>
        <w:rPr>
          <w:rFonts w:hint="eastAsia" w:ascii="Times New Roman" w:hAnsi="Times New Roman" w:eastAsia="仿宋_GB2312" w:cs="Times New Roman"/>
          <w:color w:val="000000"/>
          <w:kern w:val="2"/>
          <w:sz w:val="32"/>
          <w:szCs w:val="32"/>
          <w:highlight w:val="none"/>
          <w:lang w:val="en-US" w:eastAsia="zh-CN" w:bidi="ar-SA"/>
        </w:rPr>
        <w:t>180.58</w:t>
      </w:r>
      <w:r>
        <w:rPr>
          <w:rFonts w:hint="eastAsia" w:ascii="仿宋_GB2312" w:hAnsi="仿宋_GB2312" w:eastAsia="仿宋_GB2312" w:cs="仿宋_GB2312"/>
          <w:sz w:val="32"/>
          <w:szCs w:val="32"/>
          <w:lang w:val="en-US" w:eastAsia="zh-CN"/>
        </w:rPr>
        <w:t>万元，主要原因是新增加在编人员经费。</w:t>
      </w:r>
    </w:p>
    <w:p w14:paraId="6DEF5D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14:paraId="046AD8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昭化职中2025年收入预算</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万元，其中：一般公共预算拨款收入</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万元，占100%。</w:t>
      </w:r>
    </w:p>
    <w:p w14:paraId="54B86A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14:paraId="3B9C3B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昭化职中2025年支出预算</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万元，其中：基本支出</w:t>
      </w:r>
      <w:r>
        <w:rPr>
          <w:rFonts w:hint="eastAsia" w:ascii="Times New Roman" w:hAnsi="Times New Roman" w:eastAsia="仿宋_GB2312" w:cs="Times New Roman"/>
          <w:color w:val="000000"/>
          <w:kern w:val="2"/>
          <w:sz w:val="32"/>
          <w:szCs w:val="32"/>
          <w:highlight w:val="none"/>
          <w:lang w:val="en-US" w:eastAsia="zh-CN" w:bidi="ar-SA"/>
        </w:rPr>
        <w:t>1179.40</w:t>
      </w:r>
      <w:r>
        <w:rPr>
          <w:rFonts w:hint="eastAsia" w:ascii="仿宋_GB2312" w:hAnsi="仿宋_GB2312" w:eastAsia="仿宋_GB2312" w:cs="仿宋_GB2312"/>
          <w:sz w:val="32"/>
          <w:szCs w:val="32"/>
          <w:lang w:val="en-US" w:eastAsia="zh-CN"/>
        </w:rPr>
        <w:t>万元，占68.15%；项目支出</w:t>
      </w:r>
      <w:r>
        <w:rPr>
          <w:rFonts w:hint="eastAsia" w:ascii="Times New Roman" w:hAnsi="Times New Roman" w:eastAsia="仿宋_GB2312" w:cs="Times New Roman"/>
          <w:color w:val="000000"/>
          <w:kern w:val="2"/>
          <w:sz w:val="32"/>
          <w:szCs w:val="32"/>
          <w:highlight w:val="none"/>
          <w:lang w:val="en-US" w:eastAsia="zh-CN" w:bidi="ar-SA"/>
        </w:rPr>
        <w:t>551.07</w:t>
      </w:r>
      <w:r>
        <w:rPr>
          <w:rFonts w:hint="eastAsia" w:ascii="仿宋_GB2312" w:hAnsi="仿宋_GB2312" w:eastAsia="仿宋_GB2312" w:cs="仿宋_GB2312"/>
          <w:sz w:val="32"/>
          <w:szCs w:val="32"/>
          <w:lang w:val="en-US" w:eastAsia="zh-CN"/>
        </w:rPr>
        <w:t>万元，占31.85%</w:t>
      </w:r>
      <w:r>
        <w:rPr>
          <w:rFonts w:hint="eastAsia" w:ascii="仿宋_GB2312" w:hAnsi="仿宋_GB2312" w:eastAsia="仿宋_GB2312" w:cs="仿宋_GB2312"/>
          <w:b w:val="0"/>
          <w:bCs w:val="0"/>
          <w:sz w:val="32"/>
          <w:szCs w:val="32"/>
          <w:lang w:val="en-US" w:eastAsia="zh-CN"/>
        </w:rPr>
        <w:t>。</w:t>
      </w:r>
    </w:p>
    <w:p w14:paraId="63F3F6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14:paraId="72A94F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昭化职中2025年财政拨款收支预算总数</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万元，比2024年财政拨款收支预算总数增加</w:t>
      </w:r>
      <w:r>
        <w:rPr>
          <w:rFonts w:hint="eastAsia" w:ascii="Times New Roman" w:hAnsi="Times New Roman" w:eastAsia="仿宋_GB2312" w:cs="Times New Roman"/>
          <w:color w:val="000000"/>
          <w:kern w:val="2"/>
          <w:sz w:val="32"/>
          <w:szCs w:val="32"/>
          <w:highlight w:val="none"/>
          <w:lang w:val="en-US" w:eastAsia="zh-CN" w:bidi="ar-SA"/>
        </w:rPr>
        <w:t>180.58</w:t>
      </w:r>
      <w:r>
        <w:rPr>
          <w:rFonts w:hint="eastAsia" w:ascii="仿宋_GB2312" w:hAnsi="仿宋_GB2312" w:eastAsia="仿宋_GB2312" w:cs="仿宋_GB2312"/>
          <w:sz w:val="32"/>
          <w:szCs w:val="32"/>
          <w:lang w:val="en-US" w:eastAsia="zh-CN"/>
        </w:rPr>
        <w:t>万元，主要原因是新增加在编教师人员经费。</w:t>
      </w:r>
    </w:p>
    <w:p w14:paraId="2F66E6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万元；支出包括：教育支出</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w:t>
      </w:r>
    </w:p>
    <w:p w14:paraId="647FD6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14:paraId="7250BC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14:paraId="215B16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昭化职中2025年一般公共预算当年拨款</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万元，比2024年预算数增加</w:t>
      </w:r>
      <w:r>
        <w:rPr>
          <w:rFonts w:hint="eastAsia" w:ascii="Times New Roman" w:hAnsi="Times New Roman" w:eastAsia="仿宋_GB2312" w:cs="Times New Roman"/>
          <w:color w:val="000000"/>
          <w:kern w:val="2"/>
          <w:sz w:val="32"/>
          <w:szCs w:val="32"/>
          <w:highlight w:val="none"/>
          <w:lang w:val="en-US" w:eastAsia="zh-CN" w:bidi="ar-SA"/>
        </w:rPr>
        <w:t>180.58</w:t>
      </w:r>
      <w:r>
        <w:rPr>
          <w:rFonts w:hint="eastAsia" w:ascii="仿宋_GB2312" w:hAnsi="仿宋_GB2312" w:eastAsia="仿宋_GB2312" w:cs="仿宋_GB2312"/>
          <w:sz w:val="32"/>
          <w:szCs w:val="32"/>
          <w:lang w:val="en-US" w:eastAsia="zh-CN"/>
        </w:rPr>
        <w:t>万元，主要原因是新增加在编教师人员经费。</w:t>
      </w:r>
    </w:p>
    <w:p w14:paraId="0B0031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14:paraId="7DF169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万元，占100%。</w:t>
      </w:r>
    </w:p>
    <w:p w14:paraId="68AC07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14:paraId="7B8413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教育205（类）职业教育03（款）中等职业教育02（项），2025年预算数为</w:t>
      </w:r>
      <w:r>
        <w:rPr>
          <w:rFonts w:hint="eastAsia" w:ascii="Times New Roman" w:hAnsi="Times New Roman" w:eastAsia="仿宋_GB2312" w:cs="Times New Roman"/>
          <w:color w:val="000000"/>
          <w:kern w:val="2"/>
          <w:sz w:val="32"/>
          <w:szCs w:val="32"/>
          <w:highlight w:val="none"/>
          <w:lang w:val="en-US" w:eastAsia="zh-CN" w:bidi="ar-SA"/>
        </w:rPr>
        <w:t>1730.47</w:t>
      </w:r>
      <w:r>
        <w:rPr>
          <w:rFonts w:hint="eastAsia" w:ascii="仿宋_GB2312" w:hAnsi="仿宋_GB2312" w:eastAsia="仿宋_GB2312" w:cs="仿宋_GB2312"/>
          <w:sz w:val="32"/>
          <w:szCs w:val="32"/>
          <w:lang w:val="en-US" w:eastAsia="zh-CN"/>
        </w:rPr>
        <w:t>万元，主要用于：对事业单位经常性补助，包括：工资福利支出、商品服务支出；对个人和家庭补助支出，包括：社会福利和补助、助学金。</w:t>
      </w:r>
    </w:p>
    <w:p w14:paraId="1EB0BD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14:paraId="4B1704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昭化职中2025年一般公共预算基本支出</w:t>
      </w:r>
      <w:r>
        <w:rPr>
          <w:rFonts w:hint="eastAsia" w:ascii="Times New Roman" w:hAnsi="Times New Roman" w:eastAsia="仿宋_GB2312" w:cs="Times New Roman"/>
          <w:color w:val="000000"/>
          <w:kern w:val="2"/>
          <w:sz w:val="32"/>
          <w:szCs w:val="32"/>
          <w:highlight w:val="none"/>
          <w:lang w:val="en-US" w:eastAsia="zh-CN" w:bidi="ar-SA"/>
        </w:rPr>
        <w:t>1179.4</w:t>
      </w:r>
      <w:r>
        <w:rPr>
          <w:rFonts w:hint="eastAsia" w:ascii="仿宋_GB2312" w:hAnsi="仿宋_GB2312" w:eastAsia="仿宋_GB2312" w:cs="仿宋_GB2312"/>
          <w:sz w:val="32"/>
          <w:szCs w:val="32"/>
          <w:lang w:val="en-US" w:eastAsia="zh-CN"/>
        </w:rPr>
        <w:t>万元，其中：</w:t>
      </w:r>
    </w:p>
    <w:p w14:paraId="080863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w:t>
      </w:r>
      <w:r>
        <w:rPr>
          <w:rFonts w:hint="eastAsia" w:ascii="Times New Roman" w:hAnsi="Times New Roman" w:eastAsia="仿宋_GB2312" w:cs="Times New Roman"/>
          <w:color w:val="000000"/>
          <w:kern w:val="2"/>
          <w:sz w:val="32"/>
          <w:szCs w:val="32"/>
          <w:highlight w:val="none"/>
          <w:lang w:val="en-US" w:eastAsia="zh-CN" w:bidi="ar-SA"/>
        </w:rPr>
        <w:t>1179.4</w:t>
      </w:r>
      <w:r>
        <w:rPr>
          <w:rFonts w:hint="eastAsia" w:ascii="仿宋_GB2312" w:hAnsi="仿宋_GB2312" w:eastAsia="仿宋_GB2312" w:cs="仿宋_GB2312"/>
          <w:sz w:val="32"/>
          <w:szCs w:val="32"/>
          <w:lang w:val="en-US" w:eastAsia="zh-CN"/>
        </w:rPr>
        <w:t>万元，主要包括：基本工资、津贴补贴、奖金、绩效工资、社会保险缴费、住房公积金、对个人和家庭的补助等支出。</w:t>
      </w:r>
    </w:p>
    <w:p w14:paraId="51863C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14:paraId="4B11F0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昭化职中2025年“三公”经费财政拨款预算数0万元，其中：公务接待费0万元，公务用车购置及运行维护费0万元，因公出国（境）经费0万元。</w:t>
      </w:r>
    </w:p>
    <w:p w14:paraId="5C5F9A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14:paraId="602E41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公务接待费与2024年预算相比持平，主要原因是奉行节约，严格执行三公经费压减政策。</w:t>
      </w:r>
    </w:p>
    <w:p w14:paraId="5CBF75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2025年未预算公务接待费。</w:t>
      </w:r>
    </w:p>
    <w:p w14:paraId="1CECBB80">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14:paraId="50B53217">
      <w:pPr>
        <w:pStyle w:val="10"/>
        <w:widowControl/>
        <w:numPr>
          <w:ilvl w:val="0"/>
          <w:numId w:val="0"/>
        </w:numPr>
        <w:spacing w:before="120" w:line="576" w:lineRule="exact"/>
        <w:ind w:right="0" w:righ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185A3649">
      <w:pPr>
        <w:pStyle w:val="10"/>
        <w:widowControl/>
        <w:numPr>
          <w:ilvl w:val="0"/>
          <w:numId w:val="0"/>
        </w:numPr>
        <w:spacing w:before="120" w:line="576" w:lineRule="exact"/>
        <w:ind w:right="0" w:rightChars="0" w:firstLine="640" w:firstLineChars="200"/>
        <w:rPr>
          <w:rFonts w:hint="default" w:ascii="Times New Roman" w:hAnsi="Times New Roman" w:eastAsia="楷体" w:cs="Times New Roman"/>
          <w:sz w:val="32"/>
          <w:szCs w:val="32"/>
          <w:lang w:val="en-US"/>
        </w:rPr>
      </w:pPr>
      <w:r>
        <w:rPr>
          <w:rFonts w:hint="default" w:ascii="Times New Roman" w:hAnsi="Times New Roman" w:eastAsia="仿宋_GB2312" w:cs="Times New Roman"/>
          <w:kern w:val="2"/>
          <w:sz w:val="32"/>
          <w:szCs w:val="32"/>
          <w:lang w:val="en-US" w:eastAsia="zh-CN" w:bidi="ar-SA"/>
        </w:rPr>
        <w:t>因无公务车，未预算公务用车运行维护费</w:t>
      </w:r>
      <w:r>
        <w:rPr>
          <w:rFonts w:hint="eastAsia" w:ascii="Times New Roman" w:hAnsi="Times New Roman" w:eastAsia="仿宋_GB2312" w:cs="Times New Roman"/>
          <w:kern w:val="2"/>
          <w:sz w:val="32"/>
          <w:szCs w:val="32"/>
          <w:lang w:val="en-US" w:eastAsia="zh-CN" w:bidi="ar-SA"/>
        </w:rPr>
        <w:t>。</w:t>
      </w:r>
    </w:p>
    <w:p w14:paraId="7DB9A3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r>
        <w:rPr>
          <w:rFonts w:hint="eastAsia" w:ascii="Times New Roman" w:hAnsi="Times New Roman" w:eastAsia="仿宋_GB2312" w:cs="Times New Roman"/>
          <w:kern w:val="2"/>
          <w:sz w:val="32"/>
          <w:szCs w:val="32"/>
          <w:lang w:val="en-US" w:eastAsia="zh-CN" w:bidi="ar-SA"/>
        </w:rPr>
        <w:t>。</w:t>
      </w:r>
      <w:r>
        <w:rPr>
          <w:rFonts w:hint="eastAsia" w:ascii="仿宋_GB2312" w:hAnsi="仿宋_GB2312" w:eastAsia="仿宋_GB2312" w:cs="仿宋_GB2312"/>
          <w:sz w:val="32"/>
          <w:szCs w:val="32"/>
          <w:lang w:val="en-US" w:eastAsia="zh-CN"/>
        </w:rPr>
        <w:t>2025年未安排公务用车购置费。</w:t>
      </w:r>
    </w:p>
    <w:p w14:paraId="14AB6B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859565B">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14:paraId="097AD9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1C8FEE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14:paraId="228487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昭化职中2025年无政府性基金预算拨款安排的支出。</w:t>
      </w:r>
    </w:p>
    <w:p w14:paraId="6B915D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14:paraId="1A59D7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昭化职中2025年无国有资本经营预算拨款安排的支出。</w:t>
      </w:r>
    </w:p>
    <w:p w14:paraId="57F110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14:paraId="00EE18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14:paraId="477EB2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2025年，本单位属公益二类事业单位无机关运行经费。</w:t>
      </w:r>
    </w:p>
    <w:p w14:paraId="75F5B7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14:paraId="3FDED2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2025年，本单位未安排政府采购预算。</w:t>
      </w:r>
    </w:p>
    <w:p w14:paraId="505A94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14:paraId="611461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截至2024年底，本单位共有车辆0辆，单位无价值200万元以上的大型设备。</w:t>
      </w:r>
    </w:p>
    <w:p w14:paraId="4093CD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0A083D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14:paraId="0EFFB6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2025年本单位开展绩效目标管理的项目5个，涉及预算</w:t>
      </w:r>
      <w:r>
        <w:rPr>
          <w:rFonts w:hint="eastAsia" w:ascii="Times New Roman" w:hAnsi="Times New Roman" w:eastAsia="仿宋_GB2312" w:cs="Times New Roman"/>
          <w:color w:val="000000"/>
          <w:kern w:val="2"/>
          <w:sz w:val="32"/>
          <w:szCs w:val="32"/>
          <w:highlight w:val="none"/>
          <w:lang w:val="en-US" w:eastAsia="zh-CN" w:bidi="ar-SA"/>
        </w:rPr>
        <w:t>551.07</w:t>
      </w:r>
      <w:r>
        <w:rPr>
          <w:rFonts w:hint="eastAsia" w:ascii="仿宋_GB2312" w:hAnsi="仿宋_GB2312" w:eastAsia="仿宋_GB2312" w:cs="仿宋_GB2312"/>
          <w:sz w:val="32"/>
          <w:szCs w:val="32"/>
          <w:lang w:val="en-US" w:eastAsia="zh-CN"/>
        </w:rPr>
        <w:t>万元。其中：人员类项目1个，涉及预算</w:t>
      </w:r>
      <w:r>
        <w:rPr>
          <w:rFonts w:hint="eastAsia" w:ascii="Times New Roman" w:hAnsi="Times New Roman" w:eastAsia="仿宋_GB2312" w:cs="Times New Roman"/>
          <w:color w:val="000000"/>
          <w:kern w:val="2"/>
          <w:sz w:val="32"/>
          <w:szCs w:val="32"/>
          <w:highlight w:val="none"/>
          <w:lang w:val="en-US" w:eastAsia="zh-CN" w:bidi="ar-SA"/>
        </w:rPr>
        <w:t>11.15</w:t>
      </w:r>
      <w:r>
        <w:rPr>
          <w:rFonts w:hint="eastAsia" w:ascii="仿宋_GB2312" w:hAnsi="仿宋_GB2312" w:eastAsia="仿宋_GB2312" w:cs="仿宋_GB2312"/>
          <w:sz w:val="32"/>
          <w:szCs w:val="32"/>
          <w:lang w:val="en-US" w:eastAsia="zh-CN"/>
        </w:rPr>
        <w:t>万元；运转类项目4个，涉及预算539.92万元；</w:t>
      </w:r>
    </w:p>
    <w:p w14:paraId="4E6B86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14:paraId="6F9529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4D9AAC7D">
      <w:pPr>
        <w:pStyle w:val="10"/>
        <w:keepNext w:val="0"/>
        <w:keepLines w:val="0"/>
        <w:pageBreakBefore w:val="0"/>
        <w:widowControl/>
        <w:suppressLineNumbers w:val="0"/>
        <w:shd w:val="clear" w:color="auto" w:fill="auto"/>
        <w:kinsoku/>
        <w:wordWrap/>
        <w:overflowPunct/>
        <w:topLinePunct w:val="0"/>
        <w:autoSpaceDE/>
        <w:autoSpaceDN/>
        <w:bidi w:val="0"/>
        <w:adjustRightInd/>
        <w:snapToGrid/>
        <w:spacing w:before="0" w:beforeLines="0" w:beforeAutospacing="0" w:after="0" w:afterLines="0" w:afterAutospacing="0" w:line="560" w:lineRule="exact"/>
        <w:ind w:left="0" w:leftChars="0"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color w:val="auto"/>
          <w:kern w:val="2"/>
          <w:sz w:val="32"/>
          <w:szCs w:val="32"/>
          <w:lang w:val="en-US" w:eastAsia="zh-CN" w:bidi="ar-SA"/>
        </w:rPr>
        <w:t>教育支出（类）普通教育（款）中等职业教育（项）：</w:t>
      </w:r>
      <w:r>
        <w:rPr>
          <w:rFonts w:hint="eastAsia" w:ascii="仿宋_GB2312" w:hAnsi="Times New Roman" w:eastAsia="仿宋_GB2312" w:cs="仿宋_GB2312"/>
          <w:i w:val="0"/>
          <w:caps w:val="0"/>
          <w:color w:val="auto"/>
          <w:spacing w:val="0"/>
          <w:kern w:val="0"/>
          <w:sz w:val="32"/>
          <w:szCs w:val="32"/>
          <w:shd w:val="clear" w:color="auto" w:fill="FFFFFF"/>
          <w:lang w:val="en-US" w:eastAsia="zh-CN"/>
        </w:rPr>
        <w:t>指</w:t>
      </w:r>
      <w:bookmarkStart w:id="0" w:name="_GoBack"/>
      <w:bookmarkEnd w:id="0"/>
      <w:r>
        <w:rPr>
          <w:rFonts w:hint="eastAsia" w:ascii="仿宋_GB2312" w:hAnsi="Times New Roman" w:eastAsia="仿宋_GB2312" w:cs="仿宋_GB2312"/>
          <w:i w:val="0"/>
          <w:caps w:val="0"/>
          <w:color w:val="auto"/>
          <w:spacing w:val="0"/>
          <w:kern w:val="0"/>
          <w:sz w:val="32"/>
          <w:szCs w:val="32"/>
          <w:shd w:val="clear" w:color="auto" w:fill="FFFFFF"/>
          <w:lang w:val="en-US" w:eastAsia="zh-CN"/>
        </w:rPr>
        <w:t>中等职业教育发展的基本支出，</w:t>
      </w:r>
      <w:r>
        <w:rPr>
          <w:rFonts w:hint="eastAsia" w:ascii="仿宋_GB2312" w:hAnsi="仿宋_GB2312" w:eastAsia="仿宋_GB2312" w:cs="仿宋_GB2312"/>
          <w:color w:val="auto"/>
          <w:kern w:val="2"/>
          <w:sz w:val="32"/>
          <w:szCs w:val="32"/>
          <w:lang w:val="en-US" w:eastAsia="zh-CN" w:bidi="ar-SA"/>
        </w:rPr>
        <w:t>包括人员工资、社会保险、学生助学金、办公费、差旅费、培训费、日常维修费、专用材料及一般设备购置费、办公用房水电费、办公用房物业管理费以及其他费用。</w:t>
      </w:r>
    </w:p>
    <w:p w14:paraId="51CB93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70C05B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68CA52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3F5B78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630FA111">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CC5D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8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F908BC7">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DNh/Lr9AQAAAAQAAA4AAAAAAAAAAQAgAAAAHwEAAGRycy9lMm9Eb2MueG1s&#10;UEsFBgAAAAAGAAYAWQEAAI4FAAAAAA==&#10;">
              <v:fill on="f" focussize="0,0"/>
              <v:stroke on="f"/>
              <v:imagedata o:title=""/>
              <o:lock v:ext="edit" aspectratio="f"/>
              <v:textbox inset="0mm,0mm,0mm,0mm" style="mso-fit-shape-to-text:t;">
                <w:txbxContent>
                  <w:p w14:paraId="4F908BC7">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pPr>
        <w:ind w:left="168"/>
      </w:pPr>
    </w:lvl>
  </w:abstractNum>
  <w:abstractNum w:abstractNumId="2">
    <w:nsid w:val="59ADCABA"/>
    <w:multiLevelType w:val="singleLevel"/>
    <w:tmpl w:val="59ADCABA"/>
    <w:lvl w:ilvl="0" w:tentative="0">
      <w:start w:val="2"/>
      <w:numFmt w:val="decimal"/>
      <w:lvlText w:val="%1."/>
      <w:lvlJc w:val="left"/>
      <w:pPr>
        <w:tabs>
          <w:tab w:val="left" w:pos="312"/>
        </w:tabs>
        <w:ind w:left="1600"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 w:name="KSO_WPS_MARK_KEY" w:val="dcfb3404-58b5-4ff5-8c3c-88a07977da29"/>
  </w:docVars>
  <w:rsids>
    <w:rsidRoot w:val="00000000"/>
    <w:rsid w:val="284A66C4"/>
    <w:rsid w:val="346E4102"/>
    <w:rsid w:val="478E68BF"/>
    <w:rsid w:val="684263E5"/>
    <w:rsid w:val="76E50C20"/>
    <w:rsid w:val="7E593B47"/>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3">
    <w:name w:val="Default Paragraph Font"/>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2">
    <w:name w:val="BodyText1I2"/>
    <w:basedOn w:val="3"/>
    <w:next w:val="1"/>
    <w:autoRedefine/>
    <w:qFormat/>
    <w:uiPriority w:val="0"/>
    <w:pPr>
      <w:ind w:left="420" w:leftChars="200" w:firstLine="420" w:firstLineChars="200"/>
      <w:jc w:val="both"/>
      <w:textAlignment w:val="baseline"/>
    </w:pPr>
  </w:style>
  <w:style w:type="paragraph" w:customStyle="1" w:styleId="3">
    <w:name w:val="BodyTextIndent"/>
    <w:basedOn w:val="1"/>
    <w:next w:val="2"/>
    <w:qFormat/>
    <w:uiPriority w:val="0"/>
    <w:pPr>
      <w:ind w:left="420" w:leftChars="200"/>
      <w:jc w:val="both"/>
      <w:textAlignment w:val="baseline"/>
    </w:pPr>
  </w:style>
  <w:style w:type="paragraph" w:styleId="5">
    <w:name w:val="caption"/>
    <w:basedOn w:val="1"/>
    <w:next w:val="1"/>
    <w:autoRedefine/>
    <w:qFormat/>
    <w:uiPriority w:val="0"/>
    <w:pPr>
      <w:widowControl w:val="0"/>
      <w:suppressLineNumbers/>
      <w:suppressAutoHyphens/>
      <w:spacing w:before="120" w:after="120"/>
    </w:pPr>
    <w:rPr>
      <w:i/>
      <w:iCs/>
      <w:sz w:val="24"/>
      <w:szCs w:val="24"/>
    </w:rPr>
  </w:style>
  <w:style w:type="paragraph" w:styleId="6">
    <w:name w:val="Body Text"/>
    <w:basedOn w:val="1"/>
    <w:autoRedefine/>
    <w:qFormat/>
    <w:uiPriority w:val="0"/>
    <w:pPr>
      <w:spacing w:before="0" w:after="140" w:line="276" w:lineRule="auto"/>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autoRedefine/>
    <w:qFormat/>
    <w:uiPriority w:val="0"/>
  </w:style>
  <w:style w:type="paragraph" w:styleId="10">
    <w:name w:val="Normal (Web)"/>
    <w:basedOn w:val="1"/>
    <w:autoRedefine/>
    <w:qFormat/>
    <w:uiPriority w:val="0"/>
    <w:rPr>
      <w:sz w:val="24"/>
    </w:rPr>
  </w:style>
  <w:style w:type="table" w:styleId="12">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默认段落字体1"/>
    <w:autoRedefine/>
    <w:qFormat/>
    <w:uiPriority w:val="0"/>
  </w:style>
  <w:style w:type="paragraph" w:customStyle="1" w:styleId="15">
    <w:name w:val="Heading"/>
    <w:basedOn w:val="1"/>
    <w:next w:val="6"/>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2425</Words>
  <Characters>3142</Characters>
  <TotalTime>0</TotalTime>
  <ScaleCrop>false</ScaleCrop>
  <LinksUpToDate>false</LinksUpToDate>
  <CharactersWithSpaces>3155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2025-02-15T05:57:53Z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757F8A3913104C50A6E3D5E83768C13D_13</vt:lpwstr>
  </property>
  <property fmtid="{D5CDD505-2E9C-101B-9397-08002B2CF9AE}" pid="4" name="KSOTemplateDocerSaveRecord">
    <vt:lpwstr>eyJoZGlkIjoiOTlhNTlmMWMwY2NkZGNhOTM0ZTIzOTMwM2UwMjVlYzgiLCJ1c2VySWQiOiI2MDAwNDk2NTIifQ==</vt:lpwstr>
  </property>
</Properties>
</file>