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626B78">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bCs/>
          <w:i w:val="0"/>
          <w:caps w:val="0"/>
          <w:color w:val="000000" w:themeColor="text1"/>
          <w:spacing w:val="0"/>
          <w:sz w:val="44"/>
          <w:szCs w:val="44"/>
          <w:highlight w:val="none"/>
          <w:lang w:val="en-US"/>
          <w14:textFill>
            <w14:solidFill>
              <w14:schemeClr w14:val="tx1"/>
            </w14:solidFill>
          </w14:textFill>
        </w:rPr>
      </w:pPr>
      <w:bookmarkStart w:id="0" w:name="_Toc21225"/>
      <w:r>
        <w:rPr>
          <w:rFonts w:hint="eastAsia" w:ascii="方正小标宋简体" w:hAnsi="方正小标宋简体" w:eastAsia="方正小标宋简体" w:cs="方正小标宋简体"/>
          <w:b/>
          <w:bCs/>
          <w:i w:val="0"/>
          <w:caps w:val="0"/>
          <w:color w:val="000000" w:themeColor="text1"/>
          <w:spacing w:val="0"/>
          <w:kern w:val="0"/>
          <w:sz w:val="44"/>
          <w:szCs w:val="44"/>
          <w:highlight w:val="none"/>
          <w:shd w:val="clear" w:color="auto" w:fill="FFFFFF"/>
          <w:lang w:val="en-US" w:eastAsia="zh-CN"/>
          <w14:textFill>
            <w14:solidFill>
              <w14:schemeClr w14:val="tx1"/>
            </w14:solidFill>
          </w14:textFill>
        </w:rPr>
        <w:t>广元市昭化区葭萌幼儿园</w:t>
      </w:r>
      <w:bookmarkEnd w:id="0"/>
    </w:p>
    <w:p w14:paraId="5F639DCE">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bCs/>
          <w:i w:val="0"/>
          <w:caps w:val="0"/>
          <w:color w:val="000000" w:themeColor="text1"/>
          <w:spacing w:val="0"/>
          <w:kern w:val="0"/>
          <w:sz w:val="44"/>
          <w:szCs w:val="44"/>
          <w:highlight w:val="none"/>
          <w:shd w:val="clear" w:color="auto" w:fill="FFFFFF"/>
          <w:lang w:val="en-US" w:eastAsia="zh-CN"/>
          <w14:textFill>
            <w14:solidFill>
              <w14:schemeClr w14:val="tx1"/>
            </w14:solidFill>
          </w14:textFill>
        </w:rPr>
      </w:pPr>
      <w:r>
        <w:rPr>
          <w:rFonts w:hint="eastAsia" w:ascii="方正小标宋简体" w:hAnsi="方正小标宋简体" w:eastAsia="方正小标宋简体" w:cs="方正小标宋简体"/>
          <w:b/>
          <w:bCs/>
          <w:i w:val="0"/>
          <w:caps w:val="0"/>
          <w:color w:val="000000" w:themeColor="text1"/>
          <w:spacing w:val="0"/>
          <w:kern w:val="0"/>
          <w:sz w:val="44"/>
          <w:szCs w:val="44"/>
          <w:highlight w:val="none"/>
          <w:shd w:val="clear" w:color="auto" w:fill="FFFFFF"/>
          <w:lang w:val="en-US" w:eastAsia="zh-CN"/>
          <w14:textFill>
            <w14:solidFill>
              <w14:schemeClr w14:val="tx1"/>
            </w14:solidFill>
          </w14:textFill>
        </w:rPr>
        <w:t>2025年部门预算编制说明</w:t>
      </w:r>
    </w:p>
    <w:p w14:paraId="74057B01">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14:textFill>
            <w14:solidFill>
              <w14:schemeClr w14:val="tx1"/>
            </w14:solidFill>
          </w14:textFill>
        </w:rPr>
        <w:t>目   录</w:t>
      </w:r>
    </w:p>
    <w:sdt>
      <w:sdtPr>
        <w:rPr>
          <w:rFonts w:ascii="宋体" w:hAnsi="宋体" w:eastAsia="宋体" w:cs="Times New Roman"/>
          <w:color w:val="auto"/>
          <w:kern w:val="2"/>
          <w:sz w:val="21"/>
          <w:szCs w:val="24"/>
          <w:lang w:val="en-US" w:eastAsia="zh-CN" w:bidi="ar-SA"/>
        </w:rPr>
        <w:id w:val="147456345"/>
        <w:docPartObj>
          <w:docPartGallery w:val="Table of Contents"/>
          <w:docPartUnique/>
        </w:docPartObj>
      </w:sdtPr>
      <w:sdtEndPr>
        <w:rPr>
          <w:rFonts w:hint="eastAsia" w:ascii="仿宋_GB2312" w:hAnsi="仿宋_GB2312" w:eastAsia="仿宋_GB2312" w:cs="仿宋_GB2312"/>
          <w:color w:val="auto"/>
          <w:kern w:val="2"/>
          <w:sz w:val="32"/>
          <w:szCs w:val="32"/>
          <w:lang w:val="en-US" w:eastAsia="zh-CN" w:bidi="ar-SA"/>
        </w:rPr>
      </w:sdtEndPr>
      <w:sdtContent>
        <w:p w14:paraId="01AB862D">
          <w:pPr>
            <w:spacing w:before="0" w:beforeLines="0" w:after="0" w:afterLines="0" w:line="240" w:lineRule="auto"/>
            <w:ind w:left="0" w:leftChars="0" w:right="0" w:rightChars="0" w:firstLine="0" w:firstLineChars="0"/>
            <w:jc w:val="center"/>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TOC \o "1-2" \h \u</w:instrText>
          </w:r>
          <w:r>
            <w:rPr>
              <w:rFonts w:hint="eastAsia" w:ascii="仿宋_GB2312" w:hAnsi="仿宋_GB2312" w:eastAsia="仿宋_GB2312" w:cs="仿宋_GB2312"/>
              <w:color w:val="auto"/>
              <w:kern w:val="2"/>
              <w:sz w:val="32"/>
              <w:szCs w:val="32"/>
              <w:lang w:val="en-US" w:eastAsia="zh-CN" w:bidi="ar-SA"/>
            </w:rPr>
            <w:fldChar w:fldCharType="separate"/>
          </w:r>
        </w:p>
        <w:p w14:paraId="577310EB">
          <w:pPr>
            <w:pStyle w:val="16"/>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"_Toc23913" </w:instrText>
          </w:r>
          <w:r>
            <w:fldChar w:fldCharType="separate"/>
          </w:r>
          <w:r>
            <w:rPr>
              <w:rFonts w:hint="eastAsia" w:ascii="仿宋_GB2312" w:hAnsi="仿宋_GB2312" w:eastAsia="仿宋_GB2312" w:cs="仿宋_GB2312"/>
              <w:color w:val="auto"/>
              <w:kern w:val="2"/>
              <w:sz w:val="32"/>
              <w:szCs w:val="32"/>
              <w:lang w:val="en-US" w:eastAsia="zh-CN" w:bidi="ar-SA"/>
            </w:rPr>
            <w:t>一、基本职能及主要工作</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_Toc23913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3</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6DA048F4">
          <w:pPr>
            <w:pStyle w:val="17"/>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"_Toc23197" </w:instrText>
          </w:r>
          <w:r>
            <w:fldChar w:fldCharType="separate"/>
          </w:r>
          <w:r>
            <w:rPr>
              <w:rFonts w:hint="eastAsia" w:ascii="仿宋_GB2312" w:hAnsi="仿宋_GB2312" w:eastAsia="仿宋_GB2312" w:cs="仿宋_GB2312"/>
              <w:color w:val="auto"/>
              <w:kern w:val="2"/>
              <w:sz w:val="32"/>
              <w:szCs w:val="32"/>
              <w:lang w:val="en-US" w:eastAsia="zh-CN" w:bidi="ar-SA"/>
            </w:rPr>
            <w:t>（一）单位职能简介</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_Toc23197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3</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5F3F6DAF">
          <w:pPr>
            <w:pStyle w:val="17"/>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"_Toc7706" </w:instrText>
          </w:r>
          <w:r>
            <w:fldChar w:fldCharType="separate"/>
          </w:r>
          <w:r>
            <w:rPr>
              <w:rFonts w:hint="eastAsia" w:ascii="仿宋_GB2312" w:hAnsi="仿宋_GB2312" w:eastAsia="仿宋_GB2312" w:cs="仿宋_GB2312"/>
              <w:color w:val="auto"/>
              <w:kern w:val="2"/>
              <w:sz w:val="32"/>
              <w:szCs w:val="32"/>
              <w:lang w:val="en-US" w:eastAsia="zh-CN" w:bidi="ar-SA"/>
            </w:rPr>
            <w:t>（二）2025年重点工作</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_Toc7706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3</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39D05D82">
          <w:pPr>
            <w:pStyle w:val="16"/>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"_Toc11978" </w:instrText>
          </w:r>
          <w:r>
            <w:fldChar w:fldCharType="separate"/>
          </w:r>
          <w:r>
            <w:rPr>
              <w:rFonts w:hint="eastAsia" w:ascii="仿宋_GB2312" w:hAnsi="仿宋_GB2312" w:eastAsia="仿宋_GB2312" w:cs="仿宋_GB2312"/>
              <w:color w:val="auto"/>
              <w:kern w:val="2"/>
              <w:sz w:val="32"/>
              <w:szCs w:val="32"/>
              <w:lang w:val="en-US" w:eastAsia="zh-CN" w:bidi="ar-SA"/>
            </w:rPr>
            <w:t>二、部门预算单位构成</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_Toc11978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7</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52E878FE">
          <w:pPr>
            <w:pStyle w:val="16"/>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"_Toc1524" </w:instrText>
          </w:r>
          <w:r>
            <w:fldChar w:fldCharType="separate"/>
          </w:r>
          <w:r>
            <w:rPr>
              <w:rFonts w:hint="eastAsia" w:ascii="仿宋_GB2312" w:hAnsi="仿宋_GB2312" w:eastAsia="仿宋_GB2312" w:cs="仿宋_GB2312"/>
              <w:color w:val="auto"/>
              <w:kern w:val="2"/>
              <w:sz w:val="32"/>
              <w:szCs w:val="32"/>
              <w:lang w:val="en-US" w:eastAsia="zh-CN" w:bidi="ar-SA"/>
            </w:rPr>
            <w:t>三、收支预算情况说明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_Toc1524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7</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4EE4BCC6">
          <w:pPr>
            <w:pStyle w:val="17"/>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"_Toc21683" </w:instrText>
          </w:r>
          <w:r>
            <w:fldChar w:fldCharType="separate"/>
          </w:r>
          <w:r>
            <w:rPr>
              <w:rFonts w:hint="eastAsia" w:ascii="仿宋_GB2312" w:hAnsi="仿宋_GB2312" w:eastAsia="仿宋_GB2312" w:cs="仿宋_GB2312"/>
              <w:color w:val="auto"/>
              <w:kern w:val="2"/>
              <w:sz w:val="32"/>
              <w:szCs w:val="32"/>
              <w:lang w:val="en-US" w:eastAsia="zh-CN" w:bidi="ar-SA"/>
            </w:rPr>
            <w:t>（一）收入预算情况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_Toc21683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7</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559D9F37">
          <w:pPr>
            <w:pStyle w:val="17"/>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"_Toc23532" </w:instrText>
          </w:r>
          <w:r>
            <w:fldChar w:fldCharType="separate"/>
          </w:r>
          <w:r>
            <w:rPr>
              <w:rFonts w:hint="eastAsia" w:ascii="仿宋_GB2312" w:hAnsi="仿宋_GB2312" w:eastAsia="仿宋_GB2312" w:cs="仿宋_GB2312"/>
              <w:color w:val="auto"/>
              <w:kern w:val="2"/>
              <w:sz w:val="32"/>
              <w:szCs w:val="32"/>
              <w:lang w:val="en-US" w:eastAsia="zh-CN" w:bidi="ar-SA"/>
            </w:rPr>
            <w:t>（二）支出预算情况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_Toc23532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7</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746E1363">
          <w:pPr>
            <w:pStyle w:val="16"/>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"_Toc23378" </w:instrText>
          </w:r>
          <w:r>
            <w:fldChar w:fldCharType="separate"/>
          </w:r>
          <w:r>
            <w:rPr>
              <w:rFonts w:hint="eastAsia" w:ascii="仿宋_GB2312" w:hAnsi="仿宋_GB2312" w:eastAsia="仿宋_GB2312" w:cs="仿宋_GB2312"/>
              <w:color w:val="auto"/>
              <w:kern w:val="2"/>
              <w:sz w:val="32"/>
              <w:szCs w:val="32"/>
              <w:lang w:val="en-US" w:eastAsia="zh-CN" w:bidi="ar-SA"/>
            </w:rPr>
            <w:t>四、财政拨款收支预算情况说明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_Toc23378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7</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5F011081">
          <w:pPr>
            <w:pStyle w:val="16"/>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"_Toc3998" </w:instrText>
          </w:r>
          <w:r>
            <w:fldChar w:fldCharType="separate"/>
          </w:r>
          <w:r>
            <w:rPr>
              <w:rFonts w:hint="eastAsia" w:ascii="仿宋_GB2312" w:hAnsi="仿宋_GB2312" w:eastAsia="仿宋_GB2312" w:cs="仿宋_GB2312"/>
              <w:color w:val="auto"/>
              <w:kern w:val="2"/>
              <w:sz w:val="32"/>
              <w:szCs w:val="32"/>
              <w:lang w:val="en-US" w:eastAsia="zh-CN" w:bidi="ar-SA"/>
            </w:rPr>
            <w:t>五、一般公共预算当年拨款情况说明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_Toc3998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7</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14653B81">
          <w:pPr>
            <w:pStyle w:val="17"/>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"_Toc17969" </w:instrText>
          </w:r>
          <w:r>
            <w:fldChar w:fldCharType="separate"/>
          </w:r>
          <w:r>
            <w:rPr>
              <w:rFonts w:hint="eastAsia" w:ascii="仿宋_GB2312" w:hAnsi="仿宋_GB2312" w:eastAsia="仿宋_GB2312" w:cs="仿宋_GB2312"/>
              <w:color w:val="auto"/>
              <w:kern w:val="2"/>
              <w:sz w:val="32"/>
              <w:szCs w:val="32"/>
              <w:lang w:val="en-US" w:eastAsia="zh-CN" w:bidi="ar-SA"/>
            </w:rPr>
            <w:t>（一）一般公共预算当年拨款规模变化情况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_Toc17969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7</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7858CDB8">
          <w:pPr>
            <w:pStyle w:val="17"/>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"_Toc10052" </w:instrText>
          </w:r>
          <w:r>
            <w:fldChar w:fldCharType="separate"/>
          </w:r>
          <w:r>
            <w:rPr>
              <w:rFonts w:hint="eastAsia" w:ascii="仿宋_GB2312" w:hAnsi="仿宋_GB2312" w:eastAsia="仿宋_GB2312" w:cs="仿宋_GB2312"/>
              <w:color w:val="auto"/>
              <w:kern w:val="2"/>
              <w:sz w:val="32"/>
              <w:szCs w:val="32"/>
              <w:lang w:val="en-US" w:eastAsia="zh-CN" w:bidi="ar-SA"/>
            </w:rPr>
            <w:t>（二）一般公共预算当年拨款结构情况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_Toc10052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8</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77067C5D">
          <w:pPr>
            <w:pStyle w:val="17"/>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"_Toc14355" </w:instrText>
          </w:r>
          <w:r>
            <w:fldChar w:fldCharType="separate"/>
          </w:r>
          <w:r>
            <w:rPr>
              <w:rFonts w:hint="eastAsia" w:ascii="仿宋_GB2312" w:hAnsi="仿宋_GB2312" w:eastAsia="仿宋_GB2312" w:cs="仿宋_GB2312"/>
              <w:color w:val="auto"/>
              <w:kern w:val="2"/>
              <w:sz w:val="32"/>
              <w:szCs w:val="32"/>
              <w:lang w:val="en-US" w:eastAsia="zh-CN" w:bidi="ar-SA"/>
            </w:rPr>
            <w:t>（三）一般公共预算当年拨款具体使用情况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_Toc14355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8</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390943AE">
          <w:pPr>
            <w:pStyle w:val="16"/>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"_Toc25155" </w:instrText>
          </w:r>
          <w:r>
            <w:fldChar w:fldCharType="separate"/>
          </w:r>
          <w:r>
            <w:rPr>
              <w:rFonts w:hint="eastAsia" w:ascii="仿宋_GB2312" w:hAnsi="仿宋_GB2312" w:eastAsia="仿宋_GB2312" w:cs="仿宋_GB2312"/>
              <w:color w:val="auto"/>
              <w:kern w:val="2"/>
              <w:sz w:val="32"/>
              <w:szCs w:val="32"/>
              <w:lang w:val="en-US" w:eastAsia="zh-CN" w:bidi="ar-SA"/>
            </w:rPr>
            <w:t>六、一般公共预算基本支出情况说明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_Toc25155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8</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4B3EAE66">
          <w:pPr>
            <w:pStyle w:val="16"/>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"_Toc9163" </w:instrText>
          </w:r>
          <w:r>
            <w:fldChar w:fldCharType="separate"/>
          </w:r>
          <w:r>
            <w:rPr>
              <w:rFonts w:hint="eastAsia" w:ascii="仿宋_GB2312" w:hAnsi="仿宋_GB2312" w:eastAsia="仿宋_GB2312" w:cs="仿宋_GB2312"/>
              <w:color w:val="auto"/>
              <w:kern w:val="2"/>
              <w:sz w:val="32"/>
              <w:szCs w:val="32"/>
              <w:lang w:val="en-US" w:eastAsia="zh-CN" w:bidi="ar-SA"/>
            </w:rPr>
            <w:t>七、“三公”经费财政拨款预算安排情况说明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_Toc9163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8</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3B78CC61">
          <w:pPr>
            <w:pStyle w:val="16"/>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"_Toc28557" </w:instrText>
          </w:r>
          <w:r>
            <w:fldChar w:fldCharType="separate"/>
          </w:r>
          <w:r>
            <w:rPr>
              <w:rFonts w:hint="eastAsia" w:ascii="仿宋_GB2312" w:hAnsi="仿宋_GB2312" w:eastAsia="仿宋_GB2312" w:cs="仿宋_GB2312"/>
              <w:color w:val="auto"/>
              <w:kern w:val="2"/>
              <w:sz w:val="32"/>
              <w:szCs w:val="32"/>
              <w:lang w:val="en-US" w:eastAsia="zh-CN" w:bidi="ar-SA"/>
            </w:rPr>
            <w:t>八、政府性基金预算支出情况说明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_Toc28557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9</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45C80F53">
          <w:pPr>
            <w:pStyle w:val="16"/>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"_Toc10063" </w:instrText>
          </w:r>
          <w:r>
            <w:fldChar w:fldCharType="separate"/>
          </w:r>
          <w:r>
            <w:rPr>
              <w:rFonts w:hint="eastAsia" w:ascii="仿宋_GB2312" w:hAnsi="仿宋_GB2312" w:eastAsia="仿宋_GB2312" w:cs="仿宋_GB2312"/>
              <w:color w:val="auto"/>
              <w:kern w:val="2"/>
              <w:sz w:val="32"/>
              <w:szCs w:val="32"/>
              <w:lang w:val="en-US" w:eastAsia="zh-CN" w:bidi="ar-SA"/>
            </w:rPr>
            <w:t>九、国有资本经营预算支出情况说明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_Toc10063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9</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765B375F">
          <w:pPr>
            <w:pStyle w:val="16"/>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"_Toc7198" </w:instrText>
          </w:r>
          <w:r>
            <w:fldChar w:fldCharType="separate"/>
          </w:r>
          <w:r>
            <w:rPr>
              <w:rFonts w:hint="eastAsia" w:ascii="仿宋_GB2312" w:hAnsi="仿宋_GB2312" w:eastAsia="仿宋_GB2312" w:cs="仿宋_GB2312"/>
              <w:color w:val="auto"/>
              <w:kern w:val="2"/>
              <w:sz w:val="32"/>
              <w:szCs w:val="32"/>
              <w:lang w:val="en-US" w:eastAsia="zh-CN" w:bidi="ar-SA"/>
            </w:rPr>
            <w:t>十、其他重要事项的情况说明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_Toc7198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9</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6DB0AF78">
          <w:pPr>
            <w:pStyle w:val="16"/>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"_Toc12686" </w:instrText>
          </w:r>
          <w:r>
            <w:fldChar w:fldCharType="separate"/>
          </w:r>
          <w:r>
            <w:rPr>
              <w:rFonts w:hint="eastAsia" w:ascii="仿宋_GB2312" w:hAnsi="仿宋_GB2312" w:eastAsia="仿宋_GB2312" w:cs="仿宋_GB2312"/>
              <w:color w:val="auto"/>
              <w:kern w:val="2"/>
              <w:sz w:val="32"/>
              <w:szCs w:val="32"/>
              <w:lang w:val="en-US" w:eastAsia="zh-CN" w:bidi="ar-SA"/>
            </w:rPr>
            <w:t>十一、名词解释</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_Toc12686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10</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1743F3A3">
          <w:pPr>
            <w:pStyle w:val="17"/>
            <w:tabs>
              <w:tab w:val="right" w:leader="dot" w:pos="8845"/>
            </w:tabs>
            <w:ind w:left="0" w:leftChars="0" w:firstLine="0" w:firstLineChars="0"/>
            <w:rPr>
              <w:rFonts w:hint="eastAsia" w:ascii="仿宋_GB2312" w:hAnsi="仿宋_GB2312" w:eastAsia="仿宋_GB2312" w:cs="仿宋_GB2312"/>
              <w:color w:val="auto"/>
              <w:kern w:val="2"/>
              <w:sz w:val="32"/>
              <w:szCs w:val="32"/>
              <w:lang w:val="en-US" w:eastAsia="zh-CN" w:bidi="ar-SA"/>
            </w:rPr>
          </w:pPr>
        </w:p>
        <w:p w14:paraId="176C6472">
          <w:pPr>
            <w:jc w:val="both"/>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fldChar w:fldCharType="end"/>
          </w:r>
        </w:p>
      </w:sdtContent>
    </w:sdt>
    <w:p w14:paraId="769FE103">
      <w:pPr>
        <w:jc w:val="both"/>
        <w:rPr>
          <w:rFonts w:hint="eastAsia" w:ascii="仿宋_GB2312" w:hAnsi="仿宋_GB2312" w:eastAsia="仿宋_GB2312" w:cs="仿宋_GB2312"/>
          <w:color w:val="auto"/>
          <w:kern w:val="2"/>
          <w:sz w:val="32"/>
          <w:szCs w:val="32"/>
          <w:lang w:val="en-US" w:eastAsia="zh-CN" w:bidi="ar-SA"/>
        </w:rPr>
      </w:pPr>
    </w:p>
    <w:p w14:paraId="775AA735">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 xml:space="preserve">    </w:t>
      </w:r>
    </w:p>
    <w:p w14:paraId="2180F2B4">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0" w:firstLineChars="200"/>
        <w:jc w:val="both"/>
        <w:rPr>
          <w:rFonts w:hint="eastAsia" w:ascii="仿宋_GB2312" w:hAnsi="仿宋_GB2312" w:eastAsia="仿宋_GB2312" w:cs="仿宋_GB2312"/>
          <w:color w:val="auto"/>
          <w:kern w:val="2"/>
          <w:sz w:val="32"/>
          <w:szCs w:val="32"/>
          <w:lang w:val="en-US" w:eastAsia="zh-CN" w:bidi="ar-SA"/>
        </w:rPr>
      </w:pPr>
    </w:p>
    <w:p w14:paraId="7A26D314">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0" w:firstLineChars="200"/>
        <w:jc w:val="both"/>
        <w:rPr>
          <w:rFonts w:hint="eastAsia" w:ascii="仿宋_GB2312" w:hAnsi="仿宋_GB2312" w:eastAsia="仿宋_GB2312" w:cs="仿宋_GB2312"/>
          <w:color w:val="auto"/>
          <w:kern w:val="2"/>
          <w:sz w:val="32"/>
          <w:szCs w:val="32"/>
          <w:lang w:val="en-US" w:eastAsia="zh-CN" w:bidi="ar-SA"/>
        </w:rPr>
      </w:pPr>
    </w:p>
    <w:p w14:paraId="6E04D098">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0" w:firstLineChars="200"/>
        <w:jc w:val="both"/>
        <w:rPr>
          <w:rFonts w:hint="eastAsia" w:ascii="仿宋_GB2312" w:hAnsi="仿宋_GB2312" w:eastAsia="仿宋_GB2312" w:cs="仿宋_GB2312"/>
          <w:color w:val="auto"/>
          <w:kern w:val="2"/>
          <w:sz w:val="32"/>
          <w:szCs w:val="32"/>
          <w:lang w:val="en-US" w:eastAsia="zh-CN" w:bidi="ar-SA"/>
        </w:rPr>
      </w:pPr>
    </w:p>
    <w:p w14:paraId="07562FA1">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0" w:firstLineChars="200"/>
        <w:jc w:val="both"/>
        <w:rPr>
          <w:rFonts w:hint="eastAsia" w:ascii="仿宋_GB2312" w:hAnsi="仿宋_GB2312" w:eastAsia="仿宋_GB2312" w:cs="仿宋_GB2312"/>
          <w:color w:val="auto"/>
          <w:kern w:val="2"/>
          <w:sz w:val="32"/>
          <w:szCs w:val="32"/>
          <w:lang w:val="en-US" w:eastAsia="zh-CN" w:bidi="ar-SA"/>
        </w:rPr>
      </w:pPr>
    </w:p>
    <w:p w14:paraId="651A07A1">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0" w:firstLineChars="200"/>
        <w:jc w:val="both"/>
        <w:rPr>
          <w:rFonts w:hint="eastAsia" w:ascii="仿宋_GB2312" w:hAnsi="仿宋_GB2312" w:eastAsia="仿宋_GB2312" w:cs="仿宋_GB2312"/>
          <w:color w:val="auto"/>
          <w:kern w:val="2"/>
          <w:sz w:val="32"/>
          <w:szCs w:val="32"/>
          <w:lang w:val="en-US" w:eastAsia="zh-CN" w:bidi="ar-SA"/>
        </w:rPr>
      </w:pPr>
    </w:p>
    <w:p w14:paraId="5695D891">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0" w:firstLineChars="200"/>
        <w:jc w:val="both"/>
        <w:rPr>
          <w:rFonts w:hint="eastAsia" w:ascii="仿宋_GB2312" w:hAnsi="仿宋_GB2312" w:eastAsia="仿宋_GB2312" w:cs="仿宋_GB2312"/>
          <w:color w:val="auto"/>
          <w:kern w:val="2"/>
          <w:sz w:val="32"/>
          <w:szCs w:val="32"/>
          <w:lang w:val="en-US" w:eastAsia="zh-CN" w:bidi="ar-SA"/>
        </w:rPr>
      </w:pPr>
    </w:p>
    <w:p w14:paraId="22F9ED7E">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0" w:firstLineChars="200"/>
        <w:jc w:val="both"/>
        <w:rPr>
          <w:rFonts w:hint="eastAsia" w:ascii="仿宋_GB2312" w:hAnsi="仿宋_GB2312" w:eastAsia="仿宋_GB2312" w:cs="仿宋_GB2312"/>
          <w:color w:val="auto"/>
          <w:kern w:val="2"/>
          <w:sz w:val="32"/>
          <w:szCs w:val="32"/>
          <w:lang w:val="en-US" w:eastAsia="zh-CN" w:bidi="ar-SA"/>
        </w:rPr>
      </w:pPr>
    </w:p>
    <w:p w14:paraId="6D05AC0D">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0" w:firstLineChars="200"/>
        <w:jc w:val="both"/>
        <w:rPr>
          <w:rFonts w:hint="eastAsia" w:ascii="仿宋_GB2312" w:hAnsi="仿宋_GB2312" w:eastAsia="仿宋_GB2312" w:cs="仿宋_GB2312"/>
          <w:color w:val="auto"/>
          <w:kern w:val="2"/>
          <w:sz w:val="32"/>
          <w:szCs w:val="32"/>
          <w:lang w:val="en-US" w:eastAsia="zh-CN" w:bidi="ar-SA"/>
        </w:rPr>
      </w:pPr>
    </w:p>
    <w:p w14:paraId="16DB18B9">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0" w:firstLineChars="200"/>
        <w:jc w:val="both"/>
        <w:rPr>
          <w:rFonts w:hint="eastAsia" w:ascii="仿宋_GB2312" w:hAnsi="仿宋_GB2312" w:eastAsia="仿宋_GB2312" w:cs="仿宋_GB2312"/>
          <w:color w:val="auto"/>
          <w:kern w:val="2"/>
          <w:sz w:val="32"/>
          <w:szCs w:val="32"/>
          <w:lang w:val="en-US" w:eastAsia="zh-CN" w:bidi="ar-SA"/>
        </w:rPr>
      </w:pPr>
    </w:p>
    <w:p w14:paraId="053CBEF2">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0" w:firstLineChars="200"/>
        <w:jc w:val="both"/>
        <w:rPr>
          <w:rFonts w:hint="eastAsia" w:ascii="仿宋_GB2312" w:hAnsi="仿宋_GB2312" w:eastAsia="仿宋_GB2312" w:cs="仿宋_GB2312"/>
          <w:color w:val="auto"/>
          <w:kern w:val="2"/>
          <w:sz w:val="32"/>
          <w:szCs w:val="32"/>
          <w:lang w:val="en-US" w:eastAsia="zh-CN" w:bidi="ar-SA"/>
        </w:rPr>
      </w:pPr>
    </w:p>
    <w:p w14:paraId="64BDCA89">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025A60A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 w:name="_Toc23913"/>
    </w:p>
    <w:p w14:paraId="63251E3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r>
        <w:rPr>
          <w:rFonts w:hint="eastAsia" w:ascii="黑体" w:hAnsi="黑体" w:eastAsia="黑体" w:cs="黑体"/>
          <w:sz w:val="32"/>
          <w:szCs w:val="32"/>
          <w:lang w:val="en-US" w:eastAsia="zh-CN"/>
        </w:rPr>
        <w:t>一、基本职能及主要工作</w:t>
      </w:r>
      <w:bookmarkEnd w:id="1"/>
    </w:p>
    <w:p w14:paraId="193A7B7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 w:name="_Toc23197"/>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单位</w:t>
      </w:r>
      <w:r>
        <w:rPr>
          <w:rFonts w:hint="eastAsia" w:ascii="楷体_GB2312" w:hAnsi="楷体_GB2312" w:eastAsia="楷体_GB2312" w:cs="楷体_GB2312"/>
          <w:sz w:val="32"/>
          <w:szCs w:val="32"/>
        </w:rPr>
        <w:t>职能简介</w:t>
      </w:r>
      <w:bookmarkEnd w:id="2"/>
    </w:p>
    <w:p w14:paraId="0294F47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olor w:val="auto"/>
          <w:sz w:val="32"/>
          <w:szCs w:val="32"/>
          <w:lang w:val="en-US" w:eastAsia="zh-CN"/>
        </w:rPr>
      </w:pPr>
      <w:bookmarkStart w:id="3" w:name="_Toc7706"/>
      <w:r>
        <w:rPr>
          <w:rFonts w:hint="eastAsia" w:ascii="Times New Roman" w:hAnsi="Times New Roman" w:eastAsia="仿宋_GB2312"/>
          <w:color w:val="auto"/>
          <w:sz w:val="32"/>
          <w:szCs w:val="32"/>
          <w:lang w:val="en-US" w:eastAsia="zh-CN"/>
        </w:rPr>
        <w:t>1.对3岁－6周岁幼儿实施保育和教育，促进幼儿体、智、德、美和谐发展，并为辖区幼儿家长安心工作提供便利条件。  　　</w:t>
      </w:r>
    </w:p>
    <w:p w14:paraId="76ABA6A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lang w:val="en-US" w:eastAsia="zh-CN"/>
        </w:rPr>
        <w:t>2.根据上级教育部门的要求和幼儿园的实际，制定幼儿园的发展规划、年度计划、教育教学计划、安全保健卫生等计划。  　　</w:t>
      </w:r>
    </w:p>
    <w:p w14:paraId="35EFBA9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lang w:val="en-US" w:eastAsia="zh-CN"/>
        </w:rPr>
        <w:t>3.合理使用各项经费，有计划地搞好幼儿园建设。  　　</w:t>
      </w:r>
    </w:p>
    <w:p w14:paraId="144BFAD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lang w:val="en-US" w:eastAsia="zh-CN"/>
        </w:rPr>
        <w:t>4.督促检查班组教学计划、教学大纲的贯彻实施，组织总结交流教学经验。  　　</w:t>
      </w:r>
    </w:p>
    <w:p w14:paraId="6203BA3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lang w:val="en-US" w:eastAsia="zh-CN"/>
        </w:rPr>
        <w:t>5.开展教研活动和课题研究，进行教育改革，推广新的幼儿教育训练方案、教材等科研成果，提高教育质量。  　　</w:t>
      </w:r>
    </w:p>
    <w:p w14:paraId="40D9C9E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lang w:val="en-US" w:eastAsia="zh-CN"/>
        </w:rPr>
        <w:t>6.开展多项活动，有计划、有组织地培养提高教师的业务水平和教学能力。  　　</w:t>
      </w:r>
    </w:p>
    <w:p w14:paraId="0F9ED93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lang w:val="en-US" w:eastAsia="zh-CN"/>
        </w:rPr>
        <w:t>7.负责教育教学、生活设施用品的订购、采购和计划供应工作。  　　</w:t>
      </w:r>
    </w:p>
    <w:p w14:paraId="4DA35AD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lang w:val="en-US" w:eastAsia="zh-CN"/>
        </w:rPr>
        <w:t>8.负责幼儿的体检、卫生保健、安全工作，预防传染病的发生。  　　</w:t>
      </w:r>
    </w:p>
    <w:p w14:paraId="334F467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lang w:val="en-US" w:eastAsia="zh-CN"/>
        </w:rPr>
        <w:t>9.保障幼儿一日三餐饮食的科学营养、合理安排。  　　</w:t>
      </w:r>
    </w:p>
    <w:p w14:paraId="0403F2D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lang w:val="en-US" w:eastAsia="zh-CN"/>
        </w:rPr>
        <w:t>10.建立家园联系制度，采取适当的形式与家长沟通，研究幼儿教育对策，实现家园共育。</w:t>
      </w:r>
    </w:p>
    <w:p w14:paraId="19DFD17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rPr>
        <w:t>202</w:t>
      </w:r>
      <w:r>
        <w:rPr>
          <w:rFonts w:hint="eastAsia" w:ascii="楷体_GB2312" w:hAnsi="楷体_GB2312" w:eastAsia="楷体_GB2312" w:cs="楷体_GB2312"/>
          <w:sz w:val="32"/>
          <w:szCs w:val="32"/>
          <w:lang w:val="en-US" w:eastAsia="zh-CN"/>
        </w:rPr>
        <w:t>5</w:t>
      </w:r>
      <w:r>
        <w:rPr>
          <w:rFonts w:hint="eastAsia" w:ascii="楷体_GB2312" w:hAnsi="楷体_GB2312" w:eastAsia="楷体_GB2312" w:cs="楷体_GB2312"/>
          <w:sz w:val="32"/>
          <w:szCs w:val="32"/>
        </w:rPr>
        <w:t>年重点工作</w:t>
      </w:r>
      <w:bookmarkEnd w:id="3"/>
    </w:p>
    <w:p w14:paraId="7C47D6F6">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强化幼儿园保教管理。一是优化“一日活动”。坚持保教并重的原则，继续深化实施主体活动课程，注重课程与环境、区域活动、游戏活动的整合，为幼儿提供安全、健康、丰实的生活和活动环境，满足幼儿多方面的需要，坚决避免小学化倾向。采用多种形式加强对“一日活动”的督查，引导教师真正确立幼儿的主体地位，将教学工作与幼儿的日常生活紧密联系起来，坚持保教结合，促进幼儿身心全面和谐发展。二是规范教学管理。规范每一位教师的教学行为，评价每一位教师的教学成效，充分发挥“六认真”规范要求的导向作用。加强平时考核，并作为期末考核的重要依据。三是强化园本教研。牢固确立教学研究是为教学工作服务的观念，充分发挥教研工作的指导、引领功能。园领导要经常深入保教工作第一线，全面了解教师的日常教育教学工作情况，指导、帮助教师总结教育教学工作的成功经验，查找存在的问题和不足。四是深化游戏管理。遵循幼儿教育发展规律，坚持以游戏为基本形式，寓教育于各项活动之中，加强区域游戏管理的探索与研究，按照“预设——观察——指导——评价——调整”的程序，积极引导幼儿开展自主探索活动，使区域游戏真正成为幼儿自主学习和自主发展的场所。五是营造教育环境。建立与社会、家庭密切联系的有效机制，充分利用幼儿园和社区的资源优势，面向家长开展多种形式的早期教育宣传、指导等服务，不断提高家庭教育质量，形成有利于幼儿成长的良好环境。</w:t>
      </w:r>
    </w:p>
    <w:p w14:paraId="6EE4CD96">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强化幼儿园后勤管理。一是细化安全管理。幼儿园的安全工作要做到意识强烈、制度齐全、责任落实、督查到位并有记录可查。二是加强食堂管理。规范食堂操作流程，确保幼儿伙食营养，幼儿伙食账清楚，专款专用，师幼伙食分开核算。三是重视卫生保健。严格执行卫生保健工作制度，落实卫生保健工作要求，坚持用心把好入园晨检关，恒心把好卫生消毒关，细心把好日常安全关，并配合卫生部门做好春季流感、幼儿手足口病等传染病的防控工作，防止传染病暴发。</w:t>
      </w:r>
    </w:p>
    <w:p w14:paraId="45C561BA">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注重优化保教队伍整体素质。提高保教队伍整体素质。一是注重师德师风建设。广泛开展“学规范、展风采、树形象”师德教育系列活动，营造人人争当人民满意教师的良好氛围。严格执行教师职业道德考核制度，引导、督促教师严格遵守师德规范，塑造师表形象，争当师德先进个人和爱生模范。二是执行持证上岗制度。园长、副园长、教师、保育员、食堂人员、保健医生等持证上岗，持证上岗率100%。三是提高教师学历层次。鼓励支持教师参加学历进修，加快提高学历层次。教师合格学历达100%，鼓励40周岁以下的教师参加本科进修，通过大家的努力提高本科学历的比例。　　</w:t>
      </w:r>
    </w:p>
    <w:p w14:paraId="600A6A59">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加快骨干教师培养步伐。加强骨干教师培养。通过各类培训，尤其是园本培训，变“要我干”为“我要干”，引领教师们走一条由“新教师——合格教师——骨干教师——名教师”的梯队发展之路，使幼儿园骨干教师的比例逐年提高。　　</w:t>
      </w:r>
    </w:p>
    <w:p w14:paraId="136A5BD9">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5.重视保育人员培训。加强保育员的教育与技能培训，让保教人员充分认识到保育工作的重要性，在一日活动各环节中做到保教密切配合，保证幼儿健康、快乐地成长。　　</w:t>
      </w:r>
    </w:p>
    <w:p w14:paraId="586A7273">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6.注重加快效能建设步伐。按照“廉洁、高效、优质”的要求，进一步提高班子作风建设和教育行风建设水平，努力提升教育的社会地位。　　</w:t>
      </w:r>
    </w:p>
    <w:p w14:paraId="064854F4">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7.形成良好作风。</w:t>
      </w:r>
      <w:r>
        <w:commentReference w:id="0"/>
      </w:r>
      <w:r>
        <w:rPr>
          <w:rFonts w:hint="eastAsia" w:ascii="仿宋_GB2312" w:hAnsi="仿宋_GB2312" w:eastAsia="仿宋_GB2312" w:cs="仿宋_GB2312"/>
          <w:sz w:val="32"/>
          <w:szCs w:val="32"/>
          <w:lang w:val="en-US" w:eastAsia="zh-CN"/>
        </w:rPr>
        <w:t>领导班子成员要严格要求，规范行为，严肃纪律，做到“一个榜样，一个标杆”八字总要求：思想上、行动上是教职工的学习榜样，工作实效上是教职工的学习标杆。确立“团结，务实，高效，创新”的八字工作作风。全体班子成员要严于律己，勤奋工作，时时处处讲正气，讲团结，讲奉献。　　</w:t>
      </w:r>
    </w:p>
    <w:p w14:paraId="3CBD24F7">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提高工作能力。班子成员要树立起“工作学习化，学习工作化”的理念，注重理论学习，并将理论与教学实际相结合，与分管工作结合起来，强化幼儿园常规管理，创造办园特色，以特色来支撑办园目标，优化幼儿培养，提高保教质量，提高幼儿园的综合竞争力。　　</w:t>
      </w:r>
    </w:p>
    <w:p w14:paraId="5F9E2D8D">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9.讲究工作实效。要发挥雷厉风行的工作作风，坚持工作标准，细化工作措施，狠抓工作落实，建立健全各项规章制度，坚持以制度管人、管事、管财、管物。　　</w:t>
      </w:r>
    </w:p>
    <w:p w14:paraId="6C646F9F">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优化服务质量。充分发扬民主，虚心听取教职工和家长的意见建议，善于保护和调动教职工的主动性和积极性，引导教职工心往一处想，劲往一处使。深入教师和幼儿，了解他们的困难和问题，努力做好上通下达的桥梁作用，并积极设想帮助解决。　　</w:t>
      </w:r>
    </w:p>
    <w:p w14:paraId="6EFE0D6C">
      <w:pPr>
        <w:pStyle w:val="2"/>
        <w:rPr>
          <w:rFonts w:hint="eastAsia"/>
          <w:lang w:val="en-US" w:eastAsia="zh-CN"/>
        </w:rPr>
      </w:pPr>
    </w:p>
    <w:p w14:paraId="571F183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4" w:name="_Toc11978"/>
      <w:r>
        <w:rPr>
          <w:rFonts w:hint="eastAsia" w:ascii="黑体" w:hAnsi="黑体" w:eastAsia="黑体" w:cs="黑体"/>
          <w:sz w:val="32"/>
          <w:szCs w:val="32"/>
          <w:lang w:val="en-US" w:eastAsia="zh-CN"/>
        </w:rPr>
        <w:t>二、部门预算单位构成</w:t>
      </w:r>
      <w:bookmarkEnd w:id="4"/>
    </w:p>
    <w:p w14:paraId="481B718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我单位为广元市昭化区教育局的下属二级预算单位，属于公益二类事业单位，无下属机构。</w:t>
      </w:r>
    </w:p>
    <w:p w14:paraId="223889F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5" w:name="_Toc1524"/>
      <w:r>
        <w:rPr>
          <w:rFonts w:hint="eastAsia" w:ascii="黑体" w:hAnsi="黑体" w:eastAsia="黑体" w:cs="黑体"/>
          <w:sz w:val="32"/>
          <w:szCs w:val="32"/>
          <w:lang w:val="en-US" w:eastAsia="zh-CN"/>
        </w:rPr>
        <w:t>三、收支预算情况说明</w:t>
      </w:r>
      <w:bookmarkEnd w:id="5"/>
    </w:p>
    <w:p w14:paraId="15C694A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按照综合预算的原则，葭萌幼儿园所有收入和支出均纳入部门预算管理。收入包括：一般公共预算拨款收入；支出包括：教育支出。葭萌幼儿园2025年收支预算总数为111.11万元，比2024年收支预算总数增加25.84万元，主要原因是项目支出预算增加。</w:t>
      </w:r>
    </w:p>
    <w:p w14:paraId="16E8886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6" w:name="_Toc21683"/>
      <w:r>
        <w:rPr>
          <w:rFonts w:hint="eastAsia" w:ascii="楷体_GB2312" w:hAnsi="楷体_GB2312" w:eastAsia="楷体_GB2312" w:cs="楷体_GB2312"/>
          <w:sz w:val="32"/>
          <w:szCs w:val="32"/>
          <w:lang w:val="en-US" w:eastAsia="zh-CN"/>
        </w:rPr>
        <w:t>（一）收入预算情况</w:t>
      </w:r>
      <w:bookmarkEnd w:id="6"/>
    </w:p>
    <w:p w14:paraId="17758AF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葭萌幼儿园2025年收入预算136.95万元，其中：一般公共预算拨款收入136.95万元，占100%。</w:t>
      </w:r>
    </w:p>
    <w:p w14:paraId="0F648F1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7" w:name="_Toc23532"/>
      <w:r>
        <w:rPr>
          <w:rFonts w:hint="eastAsia" w:ascii="楷体_GB2312" w:hAnsi="楷体_GB2312" w:eastAsia="楷体_GB2312" w:cs="楷体_GB2312"/>
          <w:sz w:val="32"/>
          <w:szCs w:val="32"/>
          <w:lang w:val="en-US" w:eastAsia="zh-CN"/>
        </w:rPr>
        <w:t>（二）支出预算情况</w:t>
      </w:r>
      <w:bookmarkEnd w:id="7"/>
    </w:p>
    <w:p w14:paraId="6CB2AEA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葭萌幼儿园2025年支出预算136.95万元，其中：基本支出55.07万元，占40%；项目支出81.88万元，占60%</w:t>
      </w:r>
      <w:r>
        <w:rPr>
          <w:rFonts w:hint="eastAsia" w:ascii="仿宋_GB2312" w:hAnsi="仿宋_GB2312" w:eastAsia="仿宋_GB2312" w:cs="仿宋_GB2312"/>
          <w:b w:val="0"/>
          <w:bCs w:val="0"/>
          <w:sz w:val="32"/>
          <w:szCs w:val="32"/>
          <w:lang w:val="en-US" w:eastAsia="zh-CN"/>
        </w:rPr>
        <w:t>。</w:t>
      </w:r>
    </w:p>
    <w:p w14:paraId="78730B5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8" w:name="_Toc23378"/>
      <w:r>
        <w:rPr>
          <w:rFonts w:hint="eastAsia" w:ascii="黑体" w:hAnsi="黑体" w:eastAsia="黑体" w:cs="黑体"/>
          <w:sz w:val="32"/>
          <w:szCs w:val="32"/>
          <w:lang w:val="en-US" w:eastAsia="zh-CN"/>
        </w:rPr>
        <w:t>四、财政拨款收支预算情况说明</w:t>
      </w:r>
      <w:bookmarkEnd w:id="8"/>
    </w:p>
    <w:p w14:paraId="7AA6192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葭萌幼儿园2025年财政拨款收支预算总数为136.95万元，比2024年财政拨款收支预算总数增加25.84万元，主要原因是项目支出预算增加。</w:t>
      </w:r>
    </w:p>
    <w:p w14:paraId="54FC454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收入包括：本年一般公共预算拨款收入136.95万元。支出包括：教育支出136.95万元。</w:t>
      </w:r>
    </w:p>
    <w:p w14:paraId="4D84095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9" w:name="_Toc3998"/>
      <w:r>
        <w:rPr>
          <w:rFonts w:hint="eastAsia" w:ascii="黑体" w:hAnsi="黑体" w:eastAsia="黑体" w:cs="黑体"/>
          <w:sz w:val="32"/>
          <w:szCs w:val="32"/>
          <w:lang w:val="en-US" w:eastAsia="zh-CN"/>
        </w:rPr>
        <w:t>五、一般公共预算当年拨款情况说明</w:t>
      </w:r>
      <w:bookmarkEnd w:id="9"/>
    </w:p>
    <w:p w14:paraId="2BBB0CE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0" w:name="_Toc17969"/>
      <w:r>
        <w:rPr>
          <w:rFonts w:hint="eastAsia" w:ascii="楷体_GB2312" w:hAnsi="楷体_GB2312" w:eastAsia="楷体_GB2312" w:cs="楷体_GB2312"/>
          <w:sz w:val="32"/>
          <w:szCs w:val="32"/>
          <w:lang w:val="en-US" w:eastAsia="zh-CN"/>
        </w:rPr>
        <w:t>（一）一般公共预算当年拨款规模变化情况</w:t>
      </w:r>
      <w:bookmarkEnd w:id="10"/>
    </w:p>
    <w:p w14:paraId="1937043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葭萌幼儿园2025年一般公共预算当年拨款136.95万元，比2024年预算数增加25.84万元，主要原因是项目支出预算增加。</w:t>
      </w:r>
    </w:p>
    <w:p w14:paraId="2F73B07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1" w:name="_Toc10052"/>
      <w:r>
        <w:rPr>
          <w:rFonts w:hint="eastAsia" w:ascii="楷体_GB2312" w:hAnsi="楷体_GB2312" w:eastAsia="楷体_GB2312" w:cs="楷体_GB2312"/>
          <w:sz w:val="32"/>
          <w:szCs w:val="32"/>
          <w:lang w:val="en-US" w:eastAsia="zh-CN"/>
        </w:rPr>
        <w:t>（二）一般公共预算当年拨款结构情况</w:t>
      </w:r>
      <w:bookmarkEnd w:id="11"/>
    </w:p>
    <w:p w14:paraId="393F53C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一般公共服务支出136.95万元，占100%。</w:t>
      </w:r>
    </w:p>
    <w:p w14:paraId="165ED88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2" w:name="_Toc14355"/>
      <w:r>
        <w:rPr>
          <w:rFonts w:hint="eastAsia" w:ascii="楷体_GB2312" w:hAnsi="楷体_GB2312" w:eastAsia="楷体_GB2312" w:cs="楷体_GB2312"/>
          <w:sz w:val="32"/>
          <w:szCs w:val="32"/>
          <w:lang w:val="en-US" w:eastAsia="zh-CN"/>
        </w:rPr>
        <w:t>（三）一般公共预算当年拨款具体使用情况</w:t>
      </w:r>
      <w:bookmarkEnd w:id="12"/>
    </w:p>
    <w:p w14:paraId="1890FB6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育支出（类）普通教育（款）学前教育（项）2025年预算数为136.95万元，主要用于：学前教育机构的基本支出，包括基本工资、津贴补贴、基础绩效奖等人员经费以及机构运行所需的办公费、印刷费、维修（护）费、工会经费等运行补助经费。</w:t>
      </w:r>
    </w:p>
    <w:p w14:paraId="07D8E1A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3" w:name="_Toc25155"/>
      <w:r>
        <w:rPr>
          <w:rFonts w:hint="eastAsia" w:ascii="黑体" w:hAnsi="黑体" w:eastAsia="黑体" w:cs="黑体"/>
          <w:sz w:val="32"/>
          <w:szCs w:val="32"/>
          <w:lang w:val="en-US" w:eastAsia="zh-CN"/>
        </w:rPr>
        <w:t>六、一般公共预算基本支出情况说明</w:t>
      </w:r>
      <w:bookmarkEnd w:id="13"/>
    </w:p>
    <w:p w14:paraId="7D43425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葭萌幼儿园2025年一般公共预算基本支出136.95万元，其中：</w:t>
      </w:r>
    </w:p>
    <w:p w14:paraId="16ADDBF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人员经费55.07万元，主要包括：基本工资、津贴补贴、奖金、绩效工资、社会保险缴费、住房公积金等支出。</w:t>
      </w:r>
    </w:p>
    <w:p w14:paraId="6EA9A11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sz w:val="32"/>
          <w:szCs w:val="32"/>
          <w:lang w:val="en-US" w:eastAsia="zh-CN"/>
        </w:rPr>
        <w:t>公用经费0万元。</w:t>
      </w:r>
    </w:p>
    <w:p w14:paraId="151E951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4" w:name="_Toc9163"/>
      <w:r>
        <w:rPr>
          <w:rFonts w:hint="eastAsia" w:ascii="黑体" w:hAnsi="黑体" w:eastAsia="黑体" w:cs="黑体"/>
          <w:sz w:val="32"/>
          <w:szCs w:val="32"/>
          <w:lang w:val="en-US" w:eastAsia="zh-CN"/>
        </w:rPr>
        <w:t>七、“三公”经费财政拨款预算安排情况说明</w:t>
      </w:r>
      <w:bookmarkEnd w:id="14"/>
    </w:p>
    <w:p w14:paraId="51EB1AB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葭萌幼儿园2025年“三公”经费财政拨款预算数0.2万元，其中：公务接待费0.2万元。</w:t>
      </w:r>
    </w:p>
    <w:p w14:paraId="7FD6842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5" w:name="_Toc23831"/>
      <w:r>
        <w:rPr>
          <w:rFonts w:hint="eastAsia" w:ascii="楷体_GB2312" w:hAnsi="楷体_GB2312" w:eastAsia="楷体_GB2312" w:cs="楷体_GB2312"/>
          <w:sz w:val="32"/>
          <w:szCs w:val="32"/>
          <w:lang w:val="en-US" w:eastAsia="zh-CN"/>
        </w:rPr>
        <w:t>（一）公务接待费</w:t>
      </w:r>
      <w:bookmarkEnd w:id="15"/>
    </w:p>
    <w:p w14:paraId="1271F78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公务接待费与2024年预算相比下降，奉行节约理念，严格执行三公经费压减政策。</w:t>
      </w:r>
    </w:p>
    <w:p w14:paraId="52FFE08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2025年公务接待费计划用于执行接待考察调研、检查指导等公务活动开支的交通费、住宿费、用餐费等。</w:t>
      </w:r>
    </w:p>
    <w:p w14:paraId="67FE5CC8">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6" w:name="_Toc15611"/>
      <w:r>
        <w:rPr>
          <w:rFonts w:hint="eastAsia" w:ascii="楷体_GB2312" w:hAnsi="楷体_GB2312" w:eastAsia="楷体_GB2312" w:cs="楷体_GB2312"/>
          <w:sz w:val="32"/>
          <w:szCs w:val="32"/>
          <w:lang w:val="en-US" w:eastAsia="zh-CN"/>
        </w:rPr>
        <w:t>公务用车购置及运行维护费</w:t>
      </w:r>
      <w:bookmarkEnd w:id="16"/>
    </w:p>
    <w:p w14:paraId="54EF30CE">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公务用车购置及运行维护费与2024年预算相比持平。</w:t>
      </w:r>
    </w:p>
    <w:p w14:paraId="2109223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单位现有公务用车0辆。</w:t>
      </w:r>
    </w:p>
    <w:p w14:paraId="179DE95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2025年未安排公务用车购置费。</w:t>
      </w:r>
    </w:p>
    <w:p w14:paraId="0D11215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2025年安排公务用车运行维护费0万元。</w:t>
      </w:r>
    </w:p>
    <w:p w14:paraId="7D1C72D8">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17" w:name="_Toc10663"/>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17"/>
    </w:p>
    <w:p w14:paraId="5D471BE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因公出国（境）经费与2024年预算相比持平。</w:t>
      </w:r>
    </w:p>
    <w:p w14:paraId="2CAA602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8" w:name="_Toc28557"/>
      <w:r>
        <w:rPr>
          <w:rFonts w:hint="eastAsia" w:ascii="黑体" w:hAnsi="黑体" w:eastAsia="黑体" w:cs="黑体"/>
          <w:sz w:val="32"/>
          <w:szCs w:val="32"/>
          <w:lang w:val="en-US" w:eastAsia="zh-CN"/>
        </w:rPr>
        <w:t>八、政府性基金预算支出情况说明</w:t>
      </w:r>
      <w:bookmarkEnd w:id="18"/>
    </w:p>
    <w:p w14:paraId="388305F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葭萌幼儿园2025年无政府性基金预算拨款安排的支出。</w:t>
      </w:r>
    </w:p>
    <w:p w14:paraId="6540279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9" w:name="_Toc10063"/>
      <w:r>
        <w:rPr>
          <w:rFonts w:hint="eastAsia" w:ascii="黑体" w:hAnsi="黑体" w:eastAsia="黑体" w:cs="黑体"/>
          <w:sz w:val="32"/>
          <w:szCs w:val="32"/>
          <w:lang w:val="en-US" w:eastAsia="zh-CN"/>
        </w:rPr>
        <w:t>九、国有资本经营预算支出情况说明</w:t>
      </w:r>
      <w:bookmarkEnd w:id="19"/>
    </w:p>
    <w:p w14:paraId="446E730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葭萌幼儿园2025年无国有资本经营预算拨款安排的支出。</w:t>
      </w:r>
    </w:p>
    <w:p w14:paraId="18BB200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0" w:name="_Toc7198"/>
      <w:r>
        <w:rPr>
          <w:rFonts w:hint="eastAsia" w:ascii="黑体" w:hAnsi="黑体" w:eastAsia="黑体" w:cs="黑体"/>
          <w:sz w:val="32"/>
          <w:szCs w:val="32"/>
          <w:lang w:val="en-US" w:eastAsia="zh-CN"/>
        </w:rPr>
        <w:t>十、其他重要事项的情况说明</w:t>
      </w:r>
      <w:bookmarkEnd w:id="20"/>
    </w:p>
    <w:p w14:paraId="780F58E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1" w:name="_Toc31"/>
      <w:r>
        <w:rPr>
          <w:rFonts w:hint="eastAsia" w:ascii="楷体_GB2312" w:hAnsi="楷体_GB2312" w:eastAsia="楷体_GB2312" w:cs="楷体_GB2312"/>
          <w:sz w:val="32"/>
          <w:szCs w:val="32"/>
          <w:lang w:val="en-US" w:eastAsia="zh-CN"/>
        </w:rPr>
        <w:t>（一）机关运行经费</w:t>
      </w:r>
      <w:bookmarkEnd w:id="21"/>
    </w:p>
    <w:p w14:paraId="2881232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2025年，本单位属公益二类事业单位，无机关运行经费。</w:t>
      </w:r>
    </w:p>
    <w:p w14:paraId="4A9AE0A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2" w:name="_Toc2240"/>
      <w:r>
        <w:rPr>
          <w:rFonts w:hint="eastAsia" w:ascii="楷体_GB2312" w:hAnsi="楷体_GB2312" w:eastAsia="楷体_GB2312" w:cs="楷体_GB2312"/>
          <w:sz w:val="32"/>
          <w:szCs w:val="32"/>
          <w:lang w:val="en-US" w:eastAsia="zh-CN"/>
        </w:rPr>
        <w:t>（二）政府采购情况</w:t>
      </w:r>
      <w:bookmarkEnd w:id="22"/>
    </w:p>
    <w:p w14:paraId="032A839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2025年，葭萌幼儿园安排政府采购预算0万元。</w:t>
      </w:r>
    </w:p>
    <w:p w14:paraId="5ABB421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3" w:name="_Toc7453"/>
      <w:r>
        <w:rPr>
          <w:rFonts w:hint="eastAsia" w:ascii="楷体_GB2312" w:hAnsi="楷体_GB2312" w:eastAsia="楷体_GB2312" w:cs="楷体_GB2312"/>
          <w:sz w:val="32"/>
          <w:szCs w:val="32"/>
          <w:lang w:val="en-US" w:eastAsia="zh-CN"/>
        </w:rPr>
        <w:t>（三）国有资产占有使用情况</w:t>
      </w:r>
      <w:bookmarkEnd w:id="23"/>
    </w:p>
    <w:p w14:paraId="1FA0FBC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截至2024年底，葭萌幼儿园共有车辆0辆，单位无价值200万元以上的大型设备。</w:t>
      </w:r>
    </w:p>
    <w:p w14:paraId="16696B9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2025年部门预算未安排购置车辆及单位价值200万元以上大型设备。</w:t>
      </w:r>
    </w:p>
    <w:p w14:paraId="3E37636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4" w:name="_Toc12469"/>
      <w:r>
        <w:rPr>
          <w:rFonts w:hint="eastAsia" w:ascii="楷体_GB2312" w:hAnsi="楷体_GB2312" w:eastAsia="楷体_GB2312" w:cs="楷体_GB2312"/>
          <w:sz w:val="32"/>
          <w:szCs w:val="32"/>
          <w:lang w:val="en-US" w:eastAsia="zh-CN"/>
        </w:rPr>
        <w:t>（四）绩效目标设置情况</w:t>
      </w:r>
      <w:bookmarkEnd w:id="24"/>
    </w:p>
    <w:p w14:paraId="7A28EC3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葭萌幼儿园开展绩效目标管理的项目11个，涉及预算55.07万元。其中：人员类项目9个，涉及预算55.07万元；运转类项目2个，涉及预算81.88万元；特定目标类项目0个，涉及预算0万元。因部分项目内容涉密，不予公开。</w:t>
      </w:r>
    </w:p>
    <w:p w14:paraId="3F3E4EC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5" w:name="_Toc12686"/>
      <w:r>
        <w:rPr>
          <w:rFonts w:hint="eastAsia" w:ascii="黑体" w:hAnsi="黑体" w:eastAsia="黑体" w:cs="黑体"/>
          <w:sz w:val="32"/>
          <w:szCs w:val="32"/>
          <w:lang w:val="en-US" w:eastAsia="zh-CN"/>
        </w:rPr>
        <w:t>十一、名词解释</w:t>
      </w:r>
      <w:bookmarkEnd w:id="25"/>
    </w:p>
    <w:p w14:paraId="57C139F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eastAsia" w:ascii="仿宋_GB2312" w:hAnsi="仿宋_GB2312" w:eastAsia="仿宋_GB2312" w:cs="仿宋_GB2312"/>
          <w:sz w:val="32"/>
          <w:szCs w:val="32"/>
          <w:lang w:val="en-US" w:eastAsia="zh-CN"/>
        </w:rPr>
        <w:t>指区级</w:t>
      </w:r>
      <w:bookmarkStart w:id="27" w:name="_GoBack"/>
      <w:bookmarkEnd w:id="27"/>
      <w:r>
        <w:rPr>
          <w:rFonts w:hint="eastAsia" w:ascii="仿宋_GB2312" w:hAnsi="仿宋_GB2312" w:eastAsia="仿宋_GB2312" w:cs="仿宋_GB2312"/>
          <w:sz w:val="32"/>
          <w:szCs w:val="32"/>
          <w:lang w:val="en-US" w:eastAsia="zh-CN"/>
        </w:rPr>
        <w:t>财政当年安排的财政预算收入。按现行管理制度，部门预算中反映的财政拨款包括一般公共预算拨款和政府性基金预算拨款。</w:t>
      </w:r>
    </w:p>
    <w:p w14:paraId="0D3FB43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（二）事业收入：</w:t>
      </w:r>
      <w:r>
        <w:rPr>
          <w:rFonts w:hint="eastAsia" w:ascii="仿宋_GB2312" w:hAnsi="仿宋_GB2312" w:eastAsia="仿宋_GB2312" w:cs="仿宋_GB2312"/>
          <w:sz w:val="32"/>
          <w:szCs w:val="32"/>
          <w:lang w:val="en-US" w:eastAsia="zh-CN"/>
        </w:rPr>
        <w:t>指事业单位开展专业业务活动及辅助活动所取得的收入。主要为学校根据国家有关部门批准的项目和标准收取的学费、住宿费等。</w:t>
      </w:r>
    </w:p>
    <w:p w14:paraId="3EB0293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（三）其他收入：</w:t>
      </w:r>
      <w:r>
        <w:rPr>
          <w:rFonts w:hint="eastAsia" w:ascii="仿宋_GB2312" w:hAnsi="仿宋_GB2312" w:eastAsia="仿宋_GB2312" w:cs="仿宋_GB2312"/>
          <w:sz w:val="32"/>
          <w:szCs w:val="32"/>
          <w:lang w:val="en-US" w:eastAsia="zh-CN"/>
        </w:rPr>
        <w:t>指除上述“一般公共预算拨款收入和事业收入”等以外的收入，如银行存款利息收入等。</w:t>
      </w:r>
    </w:p>
    <w:p w14:paraId="6BA3204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（四）上年结转：</w:t>
      </w:r>
      <w:r>
        <w:rPr>
          <w:rFonts w:hint="eastAsia" w:ascii="仿宋_GB2312" w:hAnsi="仿宋_GB2312" w:eastAsia="仿宋_GB2312" w:cs="仿宋_GB2312"/>
          <w:sz w:val="32"/>
          <w:szCs w:val="32"/>
          <w:lang w:val="en-US" w:eastAsia="zh-CN"/>
        </w:rPr>
        <w:t>指以前年度尚未完成，结转到本年仍按原规定用途继续使用的资金。</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（五）教育支出（类）普通教育（款）学前教育（项）：</w:t>
      </w:r>
      <w:r>
        <w:rPr>
          <w:rFonts w:hint="eastAsia" w:ascii="仿宋_GB2312" w:hAnsi="仿宋_GB2312" w:eastAsia="仿宋_GB2312" w:cs="仿宋_GB2312"/>
          <w:sz w:val="32"/>
          <w:szCs w:val="32"/>
          <w:lang w:val="en-US" w:eastAsia="zh-CN"/>
        </w:rPr>
        <w:t>指全区学前教育发展的基本支出，包括基本工资、津贴补贴等人员经费以及办公费、印刷费、水电费等日常公用经费。</w:t>
      </w:r>
    </w:p>
    <w:p w14:paraId="757BF88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（六）社会保障和就业（类）行政事业单位养老支出（款）机关事业单位基本养老保险缴费支出（项）：</w:t>
      </w:r>
      <w:r>
        <w:rPr>
          <w:rFonts w:hint="eastAsia" w:ascii="仿宋_GB2312" w:hAnsi="仿宋_GB2312" w:eastAsia="仿宋_GB2312" w:cs="仿宋_GB2312"/>
          <w:sz w:val="32"/>
          <w:szCs w:val="32"/>
          <w:lang w:val="en-US" w:eastAsia="zh-CN"/>
        </w:rPr>
        <w:t>指部门实施养老保险制度由单位缴纳的养老保险费的支出。</w:t>
      </w:r>
      <w:r>
        <w:rPr>
          <w:rFonts w:hint="eastAsia" w:ascii="仿宋_GB2312" w:hAnsi="仿宋_GB2312" w:eastAsia="仿宋_GB2312" w:cs="仿宋_GB2312"/>
          <w:sz w:val="32"/>
          <w:szCs w:val="32"/>
          <w:lang w:val="en-US" w:eastAsia="zh-CN"/>
        </w:rPr>
        <w:br w:type="textWrapping"/>
      </w:r>
      <w:r>
        <w:rPr>
          <w:rFonts w:hint="eastAsia" w:ascii="楷体_GB2312" w:hAnsi="楷体_GB2312" w:eastAsia="楷体_GB2312" w:cs="楷体_GB2312"/>
          <w:sz w:val="32"/>
          <w:szCs w:val="32"/>
          <w:lang w:val="en-US" w:eastAsia="zh-CN"/>
        </w:rPr>
        <w:t>　　（七）社会保障和就业（类）行政事业单位养老支出（款）机关事业单位职业年金缴费支出（项）：指</w:t>
      </w:r>
      <w:r>
        <w:rPr>
          <w:rFonts w:hint="eastAsia" w:ascii="仿宋_GB2312" w:hAnsi="仿宋_GB2312" w:eastAsia="仿宋_GB2312" w:cs="仿宋_GB2312"/>
          <w:sz w:val="32"/>
          <w:szCs w:val="32"/>
          <w:lang w:val="en-US" w:eastAsia="zh-CN"/>
        </w:rPr>
        <w:t>部门实施养老保险制度由单位缴纳的职业年金的支出。</w:t>
      </w:r>
      <w:r>
        <w:rPr>
          <w:rFonts w:hint="eastAsia" w:ascii="仿宋_GB2312" w:hAnsi="仿宋_GB2312" w:eastAsia="仿宋_GB2312" w:cs="仿宋_GB2312"/>
          <w:sz w:val="32"/>
          <w:szCs w:val="32"/>
          <w:lang w:val="en-US" w:eastAsia="zh-CN"/>
        </w:rPr>
        <w:br w:type="textWrapping"/>
      </w:r>
      <w:r>
        <w:rPr>
          <w:rFonts w:hint="eastAsia" w:ascii="楷体_GB2312" w:hAnsi="楷体_GB2312" w:eastAsia="楷体_GB2312" w:cs="楷体_GB2312"/>
          <w:sz w:val="32"/>
          <w:szCs w:val="32"/>
          <w:lang w:val="en-US" w:eastAsia="zh-CN"/>
        </w:rPr>
        <w:t>　　（八）卫生健康（类）行政事业单位医疗（款）事业单位医疗（项）：</w:t>
      </w:r>
      <w:r>
        <w:rPr>
          <w:rFonts w:hint="eastAsia" w:ascii="仿宋_GB2312" w:hAnsi="仿宋_GB2312" w:eastAsia="仿宋_GB2312" w:cs="仿宋_GB2312"/>
          <w:sz w:val="32"/>
          <w:szCs w:val="32"/>
          <w:lang w:val="en-US" w:eastAsia="zh-CN"/>
        </w:rPr>
        <w:t>指事业单位用于单位应缴纳基本医疗保险支出。</w:t>
      </w:r>
      <w:r>
        <w:rPr>
          <w:rFonts w:hint="eastAsia" w:ascii="仿宋_GB2312" w:hAnsi="仿宋_GB2312" w:eastAsia="仿宋_GB2312" w:cs="仿宋_GB2312"/>
          <w:sz w:val="32"/>
          <w:szCs w:val="32"/>
          <w:lang w:val="en-US" w:eastAsia="zh-CN"/>
        </w:rPr>
        <w:br w:type="textWrapping"/>
      </w:r>
      <w:r>
        <w:rPr>
          <w:rFonts w:hint="eastAsia" w:ascii="楷体_GB2312" w:hAnsi="楷体_GB2312" w:eastAsia="楷体_GB2312" w:cs="楷体_GB2312"/>
          <w:sz w:val="32"/>
          <w:szCs w:val="32"/>
          <w:lang w:val="en-US" w:eastAsia="zh-CN"/>
        </w:rPr>
        <w:t>　　（九）住房保障（类）住房改革支出（款）住房公积金（项）：</w:t>
      </w:r>
      <w:r>
        <w:rPr>
          <w:rFonts w:hint="eastAsia" w:ascii="仿宋_GB2312" w:hAnsi="仿宋_GB2312" w:eastAsia="仿宋_GB2312" w:cs="仿宋_GB2312"/>
          <w:sz w:val="32"/>
          <w:szCs w:val="32"/>
          <w:lang w:val="en-US" w:eastAsia="zh-CN"/>
        </w:rPr>
        <w:t>指按照《住房公积金管理条例》的规定，由单位及其在职职工缴存的长期住房储金。</w:t>
      </w:r>
      <w:r>
        <w:rPr>
          <w:rFonts w:hint="eastAsia" w:ascii="仿宋_GB2312" w:hAnsi="仿宋_GB2312" w:eastAsia="仿宋_GB2312" w:cs="仿宋_GB2312"/>
          <w:sz w:val="32"/>
          <w:szCs w:val="32"/>
          <w:lang w:val="en-US" w:eastAsia="zh-CN"/>
        </w:rPr>
        <w:br w:type="textWrapping"/>
      </w:r>
      <w:r>
        <w:rPr>
          <w:rFonts w:hint="eastAsia" w:ascii="楷体_GB2312" w:hAnsi="楷体_GB2312" w:eastAsia="楷体_GB2312" w:cs="楷体_GB2312"/>
          <w:sz w:val="32"/>
          <w:szCs w:val="32"/>
          <w:lang w:val="en-US" w:eastAsia="zh-CN"/>
        </w:rPr>
        <w:t>　　（十）基本支出：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楷体_GB2312" w:hAnsi="楷体_GB2312" w:eastAsia="楷体_GB2312" w:cs="楷体_GB2312"/>
          <w:sz w:val="32"/>
          <w:szCs w:val="32"/>
          <w:lang w:val="en-US" w:eastAsia="zh-CN"/>
        </w:rPr>
        <w:t>　　（十一）项目支出：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14:paraId="56767DC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（十二）“三公”经费：</w:t>
      </w:r>
      <w:r>
        <w:rPr>
          <w:rFonts w:hint="eastAsia" w:ascii="仿宋_GB2312" w:hAnsi="仿宋_GB2312" w:eastAsia="仿宋_GB2312" w:cs="仿宋_GB2312"/>
          <w:sz w:val="32"/>
          <w:szCs w:val="32"/>
          <w:lang w:val="en-US" w:eastAsia="zh-CN"/>
        </w:rPr>
        <w:t>纳入本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50A4459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 单位预算公开表</w:t>
      </w:r>
    </w:p>
    <w:p w14:paraId="61CC93ED">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left="1600" w:leftChars="0" w:firstLine="0" w:firstLineChars="0"/>
        <w:textAlignment w:val="auto"/>
        <w:outlineLvl w:val="1"/>
        <w:rPr>
          <w:rFonts w:hint="eastAsia" w:ascii="仿宋_GB2312" w:hAnsi="仿宋_GB2312" w:eastAsia="仿宋_GB2312" w:cs="仿宋_GB2312"/>
          <w:sz w:val="32"/>
          <w:szCs w:val="32"/>
          <w:lang w:val="en-US" w:eastAsia="zh-CN"/>
        </w:rPr>
      </w:pPr>
      <w:bookmarkStart w:id="26" w:name="_Toc13073"/>
      <w:r>
        <w:rPr>
          <w:rFonts w:hint="eastAsia" w:ascii="仿宋_GB2312" w:hAnsi="仿宋_GB2312" w:eastAsia="仿宋_GB2312" w:cs="仿宋_GB2312"/>
          <w:sz w:val="32"/>
          <w:szCs w:val="32"/>
          <w:lang w:val="en-US" w:eastAsia="zh-CN"/>
        </w:rPr>
        <w:t>单位预算项目绩效目标表</w:t>
      </w:r>
      <w:bookmarkEnd w:id="26"/>
    </w:p>
    <w:sectPr>
      <w:footerReference r:id="rId5" w:type="default"/>
      <w:pgSz w:w="11906" w:h="16838"/>
      <w:pgMar w:top="2098" w:right="1474" w:bottom="1984" w:left="1587" w:header="720" w:footer="1559" w:gutter="0"/>
      <w:pgNumType w:fmt="decimal"/>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错敏词信息检测" w:date="2025-02-14T17:57:33Z" w:initials="UC">
    <w:p w14:paraId="00989686">
      <w:r>
        <w:rPr>
          <w:color w:val="FF0000"/>
        </w:rPr>
        <w:t>错敏词:</w:t>
      </w:r>
      <w:r>
        <w:t>班子全体人员</w:t>
      </w:r>
    </w:p>
    <w:p w14:paraId="00989687">
      <w:r>
        <w:rPr>
          <w:color w:val="FF0000"/>
        </w:rPr>
        <w:t>推荐修改:</w:t>
      </w:r>
      <w:r>
        <w:t>全体班子成员</w:t>
      </w:r>
    </w:p>
    <w:p w14:paraId="00989688">
      <w:r>
        <w:rPr>
          <w:color w:val="FF0000"/>
        </w:rPr>
        <w:t>问题类型:</w:t>
      </w:r>
      <w:r>
        <w:t>专用表述错误</w:t>
      </w:r>
    </w:p>
    <w:p w14:paraId="00989689">
      <w:r>
        <w:rPr>
          <w:color w:val="FF0000"/>
        </w:rPr>
        <w:t>严重程度:</w:t>
      </w:r>
      <w:r>
        <w:t>严重</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0989689"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iberation Sans">
    <w:altName w:val="Segoe Print"/>
    <w:panose1 w:val="020B0604020202020204"/>
    <w:charset w:val="00"/>
    <w:family w:val="auto"/>
    <w:pitch w:val="default"/>
    <w:sig w:usb0="00000000" w:usb1="00000000" w:usb2="00000000" w:usb3="00000000" w:csb0="6000009F" w:csb1="DFD70000"/>
  </w:font>
  <w:font w:name="Segoe Print">
    <w:panose1 w:val="02000600000000000000"/>
    <w:charset w:val="00"/>
    <w:family w:val="auto"/>
    <w:pitch w:val="default"/>
    <w:sig w:usb0="0000028F" w:usb1="00000000" w:usb2="00000000" w:usb3="00000000" w:csb0="2000009F" w:csb1="4701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2000000000000000000"/>
    <w:charset w:val="86"/>
    <w:family w:val="auto"/>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D2984D">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10"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475A737A">
                          <w:pPr>
                            <w:pStyle w:val="6"/>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anchor="t" upright="0">
                      <a:spAutoFit/>
                    </wps:bodyPr>
                  </wps:wsp>
                </a:graphicData>
              </a:graphic>
            </wp:anchor>
          </w:drawing>
        </mc:Choice>
        <mc:Fallback>
          <w:pict>
            <v:rect id="文本框 1"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uXW5UtAAAAAFAQAADwAAAAAAAAABACAAAAAiAAAAZHJzL2Rvd25yZXYueG1sUEsB&#10;AhQAFAAAAAgAh07iQGQiMen9AQAAAAQAAA4AAAAAAAAAAQAgAAAAHwEAAGRycy9lMm9Eb2MueG1s&#10;UEsFBgAAAAAGAAYAWQEAAI4FAAAAAA==&#10;">
              <v:fill on="f" focussize="0,0"/>
              <v:stroke on="f"/>
              <v:imagedata o:title=""/>
              <o:lock v:ext="edit" aspectratio="f"/>
              <v:textbox inset="0mm,0mm,0mm,0mm" style="mso-fit-shape-to-text:t;">
                <w:txbxContent>
                  <w:p w14:paraId="475A737A">
                    <w:pPr>
                      <w:pStyle w:val="6"/>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4510E1"/>
    <w:multiLevelType w:val="singleLevel"/>
    <w:tmpl w:val="154510E1"/>
    <w:lvl w:ilvl="0" w:tentative="0">
      <w:start w:val="2"/>
      <w:numFmt w:val="decimal"/>
      <w:lvlText w:val="%1."/>
      <w:lvlJc w:val="left"/>
      <w:pPr>
        <w:tabs>
          <w:tab w:val="left" w:pos="312"/>
        </w:tabs>
        <w:ind w:left="1600" w:leftChars="0" w:firstLine="0" w:firstLineChars="0"/>
      </w:pPr>
    </w:lvl>
  </w:abstractNum>
  <w:abstractNum w:abstractNumId="1">
    <w:nsid w:val="2BA061E9"/>
    <w:multiLevelType w:val="singleLevel"/>
    <w:tmpl w:val="2BA061E9"/>
    <w:lvl w:ilvl="0" w:tentative="0">
      <w:start w:val="2"/>
      <w:numFmt w:val="chineseCounting"/>
      <w:suff w:val="nothing"/>
      <w:lvlText w:val="（%1）"/>
      <w:lvlJc w:val="left"/>
      <w:rPr>
        <w:rFonts w:hint="eastAsia"/>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错敏词信息检测">
    <w15:presenceInfo w15:providerId="None" w15:userId="错敏词信息检测"/>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displayBackgroundShape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
  <w:drawingGridVerticalSpacing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FlOWExYWVlODY4M2VhN2QwNmFkZGYzMGRkNTM1OWYifQ=="/>
  </w:docVars>
  <w:rsids>
    <w:rsidRoot w:val="00000000"/>
    <w:rsid w:val="380F3D4F"/>
  </w:rsids>
  <m:mathPr>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2">
    <w:name w:val="Default Paragraph Font"/>
    <w:autoRedefine/>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99"/>
    <w:pPr>
      <w:spacing w:after="0"/>
      <w:ind w:firstLine="420" w:firstLineChars="200"/>
    </w:pPr>
    <w:rPr>
      <w:sz w:val="32"/>
    </w:rPr>
  </w:style>
  <w:style w:type="paragraph" w:styleId="3">
    <w:name w:val="Body Text Indent"/>
    <w:basedOn w:val="1"/>
    <w:next w:val="2"/>
    <w:qFormat/>
    <w:uiPriority w:val="99"/>
    <w:pPr>
      <w:spacing w:after="120"/>
      <w:ind w:left="420" w:leftChars="200"/>
    </w:pPr>
  </w:style>
  <w:style w:type="paragraph" w:styleId="4">
    <w:name w:val="caption"/>
    <w:basedOn w:val="1"/>
    <w:autoRedefine/>
    <w:qFormat/>
    <w:uiPriority w:val="0"/>
    <w:pPr>
      <w:widowControl w:val="0"/>
      <w:suppressLineNumbers/>
      <w:suppressAutoHyphens/>
      <w:spacing w:before="120" w:after="120"/>
    </w:pPr>
    <w:rPr>
      <w:i/>
      <w:iCs/>
      <w:sz w:val="24"/>
      <w:szCs w:val="24"/>
    </w:rPr>
  </w:style>
  <w:style w:type="paragraph" w:styleId="5">
    <w:name w:val="Body Text"/>
    <w:basedOn w:val="1"/>
    <w:autoRedefine/>
    <w:qFormat/>
    <w:uiPriority w:val="0"/>
    <w:pPr>
      <w:spacing w:before="0" w:after="140" w:line="276" w:lineRule="auto"/>
    </w:pPr>
  </w:style>
  <w:style w:type="paragraph" w:styleId="6">
    <w:name w:val="footer"/>
    <w:basedOn w:val="1"/>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List"/>
    <w:basedOn w:val="5"/>
    <w:autoRedefine/>
    <w:qFormat/>
    <w:uiPriority w:val="0"/>
  </w:style>
  <w:style w:type="paragraph" w:styleId="9">
    <w:name w:val="Normal (Web)"/>
    <w:basedOn w:val="1"/>
    <w:autoRedefine/>
    <w:qFormat/>
    <w:uiPriority w:val="0"/>
    <w:rPr>
      <w:sz w:val="24"/>
    </w:rPr>
  </w:style>
  <w:style w:type="table" w:styleId="11">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3">
    <w:name w:val="默认段落字体1"/>
    <w:autoRedefine/>
    <w:qFormat/>
    <w:uiPriority w:val="0"/>
  </w:style>
  <w:style w:type="paragraph" w:customStyle="1" w:styleId="14">
    <w:name w:val="Heading"/>
    <w:basedOn w:val="1"/>
    <w:next w:val="5"/>
    <w:autoRedefine/>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5">
    <w:name w:val="Index"/>
    <w:basedOn w:val="1"/>
    <w:autoRedefine/>
    <w:qFormat/>
    <w:uiPriority w:val="0"/>
    <w:pPr>
      <w:widowControl w:val="0"/>
      <w:suppressLineNumbers/>
      <w:suppressAutoHyphens/>
    </w:pPr>
  </w:style>
  <w:style w:type="paragraph" w:customStyle="1" w:styleId="16">
    <w:name w:val="WPSOffice手动目录 1"/>
    <w:qFormat/>
    <w:uiPriority w:val="0"/>
    <w:pPr>
      <w:ind w:leftChars="0"/>
    </w:pPr>
    <w:rPr>
      <w:rFonts w:ascii="Times New Roman" w:hAnsi="Times New Roman" w:eastAsia="宋体" w:cs="Times New Roman"/>
      <w:sz w:val="20"/>
      <w:szCs w:val="20"/>
    </w:rPr>
  </w:style>
  <w:style w:type="paragraph" w:customStyle="1" w:styleId="1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12</Pages>
  <Words>4564</Words>
  <Characters>4786</Characters>
  <TotalTime>10</TotalTime>
  <ScaleCrop>false</ScaleCrop>
  <LinksUpToDate>false</LinksUpToDate>
  <CharactersWithSpaces>4916</CharactersWithSpaces>
  <Application>WPS Office_12.1.0.19302_F1E327BC-269C-435d-A152-05C5408002CA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丽丽</cp:lastModifiedBy>
  <dcterms:modified xsi:type="dcterms:W3CDTF">2025-02-15T05:51:33Z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96081F72B7444D3C8C1C7DDAED24732C_13</vt:lpwstr>
  </property>
  <property fmtid="{D5CDD505-2E9C-101B-9397-08002B2CF9AE}" pid="4" name="KSOTemplateDocerSaveRecord">
    <vt:lpwstr>eyJoZGlkIjoiOTlhNTlmMWMwY2NkZGNhOTM0ZTIzOTMwM2UwMjVlYzgiLCJ1c2VySWQiOiI2MDAwNDk2NTIifQ==</vt:lpwstr>
  </property>
</Properties>
</file>