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22B81">
      <w:pPr>
        <w:ind w:firstLine="1767" w:firstLineChars="40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9316"/>
      <w:bookmarkStart w:id="1" w:name="_Toc27351"/>
      <w:bookmarkStart w:id="2" w:name="_Toc17114"/>
      <w:bookmarkStart w:id="3" w:name="_Toc18832"/>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广元市昭化区东城幼儿园</w:t>
      </w:r>
      <w:bookmarkEnd w:id="0"/>
      <w:bookmarkEnd w:id="1"/>
      <w:bookmarkEnd w:id="2"/>
      <w:bookmarkEnd w:id="3"/>
    </w:p>
    <w:p w14:paraId="5FC0EC1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（广元市昭化区东睿托育中心</w:t>
      </w:r>
      <w:r>
        <w:commentReference w:id="0"/>
      </w:r>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w:t>
      </w:r>
    </w:p>
    <w:p w14:paraId="7DD2BB1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4" w:name="_Toc28502"/>
      <w:bookmarkStart w:id="5" w:name="_Toc28250"/>
      <w:bookmarkStart w:id="6" w:name="_Toc12191"/>
      <w:bookmarkStart w:id="7" w:name="_Toc5408"/>
      <w:bookmarkStart w:id="8" w:name="_Toc14721"/>
      <w: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bookmarkEnd w:id="4"/>
      <w:bookmarkEnd w:id="5"/>
      <w:bookmarkEnd w:id="6"/>
      <w:bookmarkEnd w:id="7"/>
      <w:bookmarkEnd w:id="8"/>
    </w:p>
    <w:p w14:paraId="11F8D695">
      <w:pPr>
        <w:keepNext w:val="0"/>
        <w:keepLines w:val="0"/>
        <w:pageBreakBefore w:val="0"/>
        <w:tabs>
          <w:tab w:val="right" w:leader="middleDot" w:pos="8820"/>
        </w:tabs>
        <w:kinsoku/>
        <w:wordWrap/>
        <w:overflowPunct/>
        <w:topLinePunct w:val="0"/>
        <w:autoSpaceDE/>
        <w:autoSpaceDN/>
        <w:bidi w:val="0"/>
        <w:adjustRightInd/>
        <w:snapToGrid/>
        <w:jc w:val="center"/>
        <w:textAlignment w:val="auto"/>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56D0C29D">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p>
    <w:p w14:paraId="5EDA260A">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p>
    <w:p w14:paraId="6F3C8271">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（二）单位2025年重点工作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p>
    <w:p w14:paraId="5C5C60C6">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p>
    <w:p w14:paraId="0362AAE0">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p>
    <w:p w14:paraId="6D2702CC">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p>
    <w:p w14:paraId="5E41DDE6">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p>
    <w:p w14:paraId="4B73AD66">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p>
    <w:p w14:paraId="208C9C41">
      <w:pPr>
        <w:keepNext w:val="0"/>
        <w:keepLines w:val="0"/>
        <w:pageBreakBefore w:val="0"/>
        <w:tabs>
          <w:tab w:val="right" w:leader="middleDot" w:pos="8820"/>
        </w:tabs>
        <w:kinsoku/>
        <w:wordWrap/>
        <w:overflowPunct/>
        <w:topLinePunct w:val="0"/>
        <w:autoSpaceDE/>
        <w:autoSpaceDN/>
        <w:bidi w:val="0"/>
        <w:adjustRightInd/>
        <w:snapToGrid/>
        <w:jc w:val="both"/>
        <w:textAlignment w:val="auto"/>
        <w:outlineLvl w:val="0"/>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p>
    <w:p w14:paraId="06A2C76C">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p>
    <w:p w14:paraId="75A2FAEC">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p>
    <w:p w14:paraId="2C56DE67">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p>
    <w:p w14:paraId="03635163">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p>
    <w:p w14:paraId="0C6E5E38">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p>
    <w:p w14:paraId="3C5AB2FD">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p>
    <w:p w14:paraId="0587EBFA">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p>
    <w:p w14:paraId="45979208">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p>
    <w:p w14:paraId="1BD3F2F5">
      <w:pPr>
        <w:keepNext w:val="0"/>
        <w:keepLines w:val="0"/>
        <w:pageBreakBefore w:val="0"/>
        <w:tabs>
          <w:tab w:val="right" w:leader="middleDot" w:pos="8820"/>
        </w:tabs>
        <w:kinsoku/>
        <w:wordWrap/>
        <w:overflowPunct/>
        <w:topLinePunct w:val="0"/>
        <w:autoSpaceDE/>
        <w:autoSpaceDN/>
        <w:bidi w:val="0"/>
        <w:adjustRightInd/>
        <w:snapToGrid/>
        <w:jc w:val="both"/>
        <w:textAlignment w:val="auto"/>
        <w:rPr>
          <w:rFonts w:hint="default" w:ascii="仿宋_GB2312" w:hAnsi="仿宋_GB2312" w:eastAsia="仿宋_GB2312" w:cs="仿宋_GB2312"/>
          <w:i w:val="0"/>
          <w:caps w:val="0"/>
          <w:color w:val="000000" w:themeColor="text1"/>
          <w:spacing w:val="0"/>
          <w:sz w:val="32"/>
          <w:szCs w:val="32"/>
          <w:highlight w:val="none"/>
          <w:lang w:val="en-US"/>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p>
    <w:p w14:paraId="2CFDBB6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76FBB87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35ED06E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17038C1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1200F26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3CD2582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72FAF40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222D06F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24164DC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48197D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both"/>
        <w:outlineLvl w:val="0"/>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32B4591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5A905C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76E04CD">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0"/>
        <w:rPr>
          <w:rFonts w:hint="eastAsia" w:ascii="黑体" w:hAnsi="黑体" w:eastAsia="黑体" w:cs="黑体"/>
          <w:sz w:val="32"/>
          <w:szCs w:val="32"/>
        </w:rPr>
      </w:pPr>
      <w:bookmarkStart w:id="9" w:name="_Toc23820"/>
      <w:bookmarkStart w:id="10" w:name="_Toc15307"/>
      <w:bookmarkStart w:id="11" w:name="_Toc14869"/>
      <w:bookmarkStart w:id="12" w:name="_Toc15583"/>
      <w:bookmarkStart w:id="13" w:name="_Toc27044"/>
      <w:r>
        <w:rPr>
          <w:rFonts w:hint="eastAsia" w:ascii="黑体" w:hAnsi="黑体" w:eastAsia="黑体" w:cs="黑体"/>
          <w:sz w:val="32"/>
          <w:szCs w:val="32"/>
          <w:lang w:val="en-US" w:eastAsia="zh-CN"/>
        </w:rPr>
        <w:t>一、基本职能及主要工作</w:t>
      </w:r>
      <w:bookmarkEnd w:id="9"/>
      <w:bookmarkEnd w:id="10"/>
      <w:bookmarkEnd w:id="11"/>
      <w:bookmarkEnd w:id="12"/>
      <w:bookmarkEnd w:id="13"/>
    </w:p>
    <w:p w14:paraId="5D3E5A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4" w:name="_Toc3341"/>
      <w:bookmarkStart w:id="15" w:name="_Toc26137"/>
      <w:bookmarkStart w:id="16" w:name="_Toc27484"/>
      <w:bookmarkStart w:id="17" w:name="_Toc18659"/>
      <w:bookmarkStart w:id="18" w:name="_Toc2716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广元市昭化区东城幼儿园</w:t>
      </w:r>
      <w:r>
        <w:rPr>
          <w:rFonts w:hint="eastAsia" w:ascii="楷体_GB2312" w:hAnsi="楷体_GB2312" w:eastAsia="楷体_GB2312" w:cs="楷体_GB2312"/>
          <w:sz w:val="32"/>
          <w:szCs w:val="32"/>
        </w:rPr>
        <w:t>职能简介</w:t>
      </w:r>
      <w:bookmarkEnd w:id="14"/>
      <w:bookmarkEnd w:id="15"/>
      <w:bookmarkEnd w:id="16"/>
      <w:bookmarkEnd w:id="17"/>
      <w:bookmarkEnd w:id="18"/>
    </w:p>
    <w:p w14:paraId="1D9306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5EC623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31FA6E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0DE27E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10363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80CDE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9A668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4D661F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0067E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06AD4A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1B9039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67E9C1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292201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9" w:name="_Toc9517"/>
      <w:bookmarkStart w:id="20" w:name="_Toc23885"/>
      <w:bookmarkStart w:id="21" w:name="_Toc2568"/>
      <w:bookmarkStart w:id="22" w:name="_Toc28493"/>
      <w:bookmarkStart w:id="23" w:name="_Toc2475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19"/>
      <w:bookmarkEnd w:id="20"/>
      <w:bookmarkEnd w:id="21"/>
      <w:bookmarkEnd w:id="22"/>
      <w:bookmarkEnd w:id="23"/>
    </w:p>
    <w:p w14:paraId="065E86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园将以新《3-6岁儿童学习与发展指南》《学前教育法》《教育强国建设规划纲要2024-2035》文化精神为指导，以开发五星课程，培育五星儿童，培养四星教师，携手一星家长为抓手，以创建全国学前教育普及普惠县为工作目标，努力实现学前教育高质量发展。</w:t>
      </w:r>
    </w:p>
    <w:p w14:paraId="6C182F2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一、幼儿园基本情况</w:t>
      </w:r>
    </w:p>
    <w:p w14:paraId="1DCA7450">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本期在园幼儿330人，10个教学班，教职工33人。其中在编在岗教师7人，交流教师4人，临聘教师9人，保育员10人，厨房2人，门卫1人，实习生6人。</w:t>
      </w:r>
    </w:p>
    <w:p w14:paraId="444D8A48">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rPr>
          <w:rFonts w:hint="eastAsia" w:ascii="仿宋_GB2312" w:hAnsi="仿宋_GB2312" w:eastAsia="仿宋_GB2312" w:cs="仿宋_GB2312"/>
          <w:sz w:val="32"/>
          <w:szCs w:val="32"/>
          <w:lang w:val="en-US" w:eastAsia="zh-CN"/>
        </w:rPr>
      </w:pPr>
      <w:r>
        <w:rPr>
          <w:rFonts w:hint="eastAsia"/>
          <w:lang w:eastAsia="zh-CN"/>
        </w:rPr>
        <w:t>（</w:t>
      </w:r>
      <w:r>
        <w:rPr>
          <w:rFonts w:hint="eastAsia"/>
          <w:lang w:val="en-US" w:eastAsia="zh-CN"/>
        </w:rPr>
        <w:t>一</w:t>
      </w:r>
      <w:r>
        <w:rPr>
          <w:rFonts w:hint="eastAsia"/>
          <w:lang w:eastAsia="zh-CN"/>
        </w:rPr>
        <w:t>）</w:t>
      </w:r>
      <w:r>
        <w:rPr>
          <w:rFonts w:hint="eastAsia" w:ascii="仿宋_GB2312" w:hAnsi="仿宋_GB2312" w:eastAsia="仿宋_GB2312" w:cs="仿宋_GB2312"/>
          <w:sz w:val="32"/>
          <w:szCs w:val="32"/>
          <w:lang w:val="en-US" w:eastAsia="zh-CN"/>
        </w:rPr>
        <w:t>管理工作</w:t>
      </w:r>
    </w:p>
    <w:p w14:paraId="211D9A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1.强化目标管理，本期工作目标是创建全国学前教育普及普惠县。</w:t>
      </w:r>
    </w:p>
    <w:p w14:paraId="716E11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2.加强教师队伍建设，注重学习、实践和思考，扎扎实实地做好各项工作。坚持“为幼儿发展服务，为幼儿成长服务”的思想，努力营造学习和研究的良好氛围。</w:t>
      </w:r>
    </w:p>
    <w:p w14:paraId="7D5E8C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3.完善修订幼儿园教职工福利待遇机制；加强园里文化建设，继续优化园里文化环境，创设和谐的幼儿园文化氛围。</w:t>
      </w:r>
    </w:p>
    <w:p w14:paraId="2D2270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4.创建全国学前教育普及普惠县。</w:t>
      </w:r>
    </w:p>
    <w:p w14:paraId="26305B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5.完成一园一品文化建设。</w:t>
      </w:r>
    </w:p>
    <w:p w14:paraId="32A226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（一）保教工作：</w:t>
      </w:r>
    </w:p>
    <w:p w14:paraId="448E6A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1.关注教师专业发展，提高教师教学水平</w:t>
      </w:r>
    </w:p>
    <w:p w14:paraId="58E10C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（１）35岁以下教师拟写个人成长规划。</w:t>
      </w:r>
    </w:p>
    <w:p w14:paraId="1848F0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２）开展教师基本功比赛和分学科分年级教学研讨。努力营造学习化环境，创建学习型组织，让教师在学习中成长，积极开展读书活动，不断丰富文化科学知识，掌握现代教育理论和技术，不断提高其专业素质和能力。</w:t>
      </w:r>
    </w:p>
    <w:p w14:paraId="7EEFA5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（3）转变教师角色和教学方式，实现全园游戏化教学。要求教师每月撰写教育个案、教学反思、典型案例、教育教学论文等，并积极向各级各类报纸杂志投稿。</w:t>
      </w:r>
    </w:p>
    <w:p w14:paraId="783FC22E">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（４）加强区级课题《中华优秀文化绘本阅读实践与研究》和市级课题《幼儿科学活动整体式推进实践与研究》的研究，提升教师的科研能力。</w:t>
      </w:r>
    </w:p>
    <w:p w14:paraId="3FD4B8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2.加强常规管理工作，提高教学管理水平</w:t>
      </w:r>
    </w:p>
    <w:p w14:paraId="79FB2B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以新《纲要》、《规程》精神为指导，以幼儿日常行为规范的养成和常规性教育活动的有序开展为重点，以科学、合理、立体化的管理运行机制为保障，淡化一日活动中的教学活动环节，鼓励教师根据活动的需要自由调整。</w:t>
      </w:r>
    </w:p>
    <w:p w14:paraId="0B322D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（2）开展丰富多彩的主题活动。开学典礼、妇女节、劳动节、儿童节、端午节等。</w:t>
      </w:r>
    </w:p>
    <w:p w14:paraId="38A690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（3）围绕自然科学开发班本课程，形成《探自然，乐成长》园本课程1本。积极利用三八节、劳动节、儿童节等节日开展</w:t>
      </w:r>
      <w:r>
        <w:commentReference w:id="1"/>
      </w:r>
      <w:r>
        <w:rPr>
          <w:rFonts w:hint="eastAsia" w:ascii="仿宋_GB2312" w:hAnsi="仿宋_GB2312" w:eastAsia="仿宋_GB2312" w:cs="仿宋_GB2312"/>
          <w:sz w:val="32"/>
          <w:szCs w:val="32"/>
          <w:lang w:val="en-US" w:eastAsia="zh-CN"/>
        </w:rPr>
        <w:t>主题教育活动，善于利用周边人文资源、社区资源对幼儿进行爱老师、爱他人、爱祖国的教育。</w:t>
      </w:r>
    </w:p>
    <w:p w14:paraId="2642F5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强教学常规考核，督促教师做好常规工作。每位教师要根据我园的教育实际，落实园务计划精神，有针对性地制定主题教育计划、月计划、周计划和班级工作计划等。园长坚持深入教学第一线，加强随堂听课，及时发现问题，分析研究，寻找解决问题的对策，并将检查结果纳入“教师教育工作质量管理”考核体系。</w:t>
      </w:r>
    </w:p>
    <w:p w14:paraId="14356C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3.加强家庭教育指导，通过班级家长会、校园开放日、家长学校培训等方式深入落实《学前教育法》。</w:t>
      </w:r>
    </w:p>
    <w:p w14:paraId="1A5A61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（三）卫生保健安全工作</w:t>
      </w:r>
    </w:p>
    <w:p w14:paraId="086BAF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1.卫生保健</w:t>
      </w:r>
    </w:p>
    <w:p w14:paraId="4CD7CA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（1）认真执行《托儿所、幼儿园卫生保健制度》，结合我园实际情况，制定合理的保健工作计划，把幼儿园安全、卫生、保健工作放在首要位置，确保每个孩子在幼儿园健康、快乐地成长。</w:t>
      </w:r>
    </w:p>
    <w:p w14:paraId="2EB793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做好新生的入园体检、建档工作，对体弱幼儿及心理行为异常的幼儿建立观察记录档案，对有既往病史的幼儿做到心中有数，以便在日常护理中采取必要的措施。继续做好晨检和全日健康观察工作，认真执行一摸、二看、三问、四查的原则。做好流行病的预防工作以及儿童的体格发育测量及检测工作。卫生检查小组随时检查园内环境卫生、班级环境卫生及个人卫生，并记录检查情况，与考核挂钩。</w:t>
      </w:r>
    </w:p>
    <w:p w14:paraId="319244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2.提高安全意识，加强安全工作</w:t>
      </w:r>
    </w:p>
    <w:p w14:paraId="517BA5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（1）完善安全管理网络，健全安全管理机制。定期召开幼儿园安全领导小组会议，讨论及完善幼儿园安全工作制度及各项应急预案，并严格执行。同时，要加大对各项制度落实、执行的检查力度。</w:t>
      </w:r>
    </w:p>
    <w:p w14:paraId="647A5B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不断强化教职工安全责任意识，通过多种途径宣传安全工作。充分利用网络、宣传栏、家长园地等途径向教职工、家长宣传安全防范知识，提高安全意识。每月由保健大夫向教职工进行安全知识讲座，将安全教育渗透在幼儿一日活动之中，不断提高幼儿的自我保护能力。</w:t>
      </w:r>
    </w:p>
    <w:p w14:paraId="602689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３）做好家长接送工作，增设园内各班安全监控系统，定期检查室内照明线路、电器设备及其它设施，并做好记录，强化安全意识和服务意识，杜绝安全事故的发生。园内实行“安全区域责任制”；由各岗位人员负责包干地区的安全工作，并定期向安全员汇报。</w:t>
      </w:r>
    </w:p>
    <w:p w14:paraId="70C73E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（四）家长工作：</w:t>
      </w:r>
    </w:p>
    <w:p w14:paraId="336DCE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要锤炼教师与家长沟通的技巧，进一步提高服务意识与服务质量。重视家园互动的实效性，开展丰富多彩的活动，让家长了解幼儿园。做到每学期一次家长会，一次开放日活动，一次亲子活动，每次活动的流程设计进一步合理化，做到丰富而高效，把每一次活动做精做细，起到引领作用；每周更换一次家长园地，及时向家长宣传幼儿园的教育教学计划，幼儿的表现情况及班级动态；每月至少有一次与每一位家长面对面交流孩子情况的机会；学期中进行一次卫生保健讲座；期末进行一次家长问卷调查，了解家长的意见、建议。继续加强幼儿园及微信群建设，充分发挥网络的信息传递及互动功能，及时向家长介绍幼儿园的活动动态，创设家园之间网络资源的交流平台。</w:t>
      </w:r>
    </w:p>
    <w:p w14:paraId="35F085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8476"/>
      <w:bookmarkStart w:id="25" w:name="_Toc17095"/>
      <w:bookmarkStart w:id="26" w:name="_Toc6449"/>
      <w:bookmarkStart w:id="27" w:name="_Toc28147"/>
      <w:bookmarkStart w:id="28" w:name="_Toc27919"/>
      <w:r>
        <w:rPr>
          <w:rFonts w:hint="eastAsia" w:ascii="黑体" w:hAnsi="黑体" w:eastAsia="黑体" w:cs="黑体"/>
          <w:sz w:val="32"/>
          <w:szCs w:val="32"/>
          <w:lang w:val="en-US" w:eastAsia="zh-CN"/>
        </w:rPr>
        <w:t>二、部门预算单位构成</w:t>
      </w:r>
      <w:bookmarkEnd w:id="24"/>
      <w:bookmarkEnd w:id="25"/>
      <w:bookmarkEnd w:id="26"/>
      <w:bookmarkEnd w:id="27"/>
      <w:bookmarkEnd w:id="28"/>
    </w:p>
    <w:p w14:paraId="5B8E90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0CF241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20282"/>
      <w:bookmarkStart w:id="30" w:name="_Toc12520"/>
      <w:bookmarkStart w:id="31" w:name="_Toc25118"/>
      <w:bookmarkStart w:id="32" w:name="_Toc4411"/>
      <w:bookmarkStart w:id="33" w:name="_Toc22893"/>
      <w:r>
        <w:rPr>
          <w:rFonts w:hint="eastAsia" w:ascii="黑体" w:hAnsi="黑体" w:eastAsia="黑体" w:cs="黑体"/>
          <w:sz w:val="32"/>
          <w:szCs w:val="32"/>
          <w:lang w:val="en-US" w:eastAsia="zh-CN"/>
        </w:rPr>
        <w:t>三、收支预算情况说明</w:t>
      </w:r>
      <w:bookmarkEnd w:id="29"/>
      <w:bookmarkEnd w:id="30"/>
      <w:bookmarkEnd w:id="31"/>
      <w:bookmarkEnd w:id="32"/>
      <w:bookmarkEnd w:id="33"/>
    </w:p>
    <w:p w14:paraId="3FAD2C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东城幼儿园所有收入和支出均纳入部门预算管理。收入包括：一般公共预算拨款收入；支出包括：教育支出。东城幼儿园2025年收支预算总数193.54万元，比2024年收支预算总数增加37.32万元，主要原因是基本支出项目支出预算增加。</w:t>
      </w:r>
    </w:p>
    <w:p w14:paraId="2FC5E4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14188"/>
      <w:bookmarkStart w:id="35" w:name="_Toc15437"/>
      <w:bookmarkStart w:id="36" w:name="_Toc3619"/>
      <w:bookmarkStart w:id="37" w:name="_Toc23400"/>
      <w:bookmarkStart w:id="38" w:name="_Toc8756"/>
      <w:r>
        <w:rPr>
          <w:rFonts w:hint="eastAsia" w:ascii="楷体_GB2312" w:hAnsi="楷体_GB2312" w:eastAsia="楷体_GB2312" w:cs="楷体_GB2312"/>
          <w:sz w:val="32"/>
          <w:szCs w:val="32"/>
          <w:lang w:val="en-US" w:eastAsia="zh-CN"/>
        </w:rPr>
        <w:t>（一）收入预算情况</w:t>
      </w:r>
      <w:bookmarkEnd w:id="34"/>
      <w:bookmarkEnd w:id="35"/>
      <w:bookmarkEnd w:id="36"/>
      <w:bookmarkEnd w:id="37"/>
      <w:bookmarkEnd w:id="38"/>
    </w:p>
    <w:p w14:paraId="263BEF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东城幼儿园2025年收入预算193.54万元，其中一般公共预算拨款收入193.54万元，占100%。</w:t>
      </w:r>
    </w:p>
    <w:p w14:paraId="75C400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9" w:name="_Toc1476"/>
      <w:bookmarkStart w:id="40" w:name="_Toc22903"/>
      <w:bookmarkStart w:id="41" w:name="_Toc14341"/>
      <w:bookmarkStart w:id="42" w:name="_Toc25"/>
      <w:bookmarkStart w:id="43" w:name="_Toc1610"/>
      <w:r>
        <w:rPr>
          <w:rFonts w:hint="eastAsia" w:ascii="楷体_GB2312" w:hAnsi="楷体_GB2312" w:eastAsia="楷体_GB2312" w:cs="楷体_GB2312"/>
          <w:sz w:val="32"/>
          <w:szCs w:val="32"/>
          <w:lang w:val="en-US" w:eastAsia="zh-CN"/>
        </w:rPr>
        <w:t>（二）支出预算情况</w:t>
      </w:r>
      <w:bookmarkEnd w:id="39"/>
      <w:bookmarkEnd w:id="40"/>
      <w:bookmarkEnd w:id="41"/>
      <w:bookmarkEnd w:id="42"/>
      <w:bookmarkEnd w:id="43"/>
    </w:p>
    <w:p w14:paraId="55E25B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东城幼儿园2025年支出预算193.54万元，其中：基本支出87.52万元，占45.2%；项目支出106.02万元，占54.7%</w:t>
      </w:r>
      <w:r>
        <w:rPr>
          <w:rFonts w:hint="eastAsia" w:ascii="仿宋_GB2312" w:hAnsi="仿宋_GB2312" w:eastAsia="仿宋_GB2312" w:cs="仿宋_GB2312"/>
          <w:b w:val="0"/>
          <w:bCs w:val="0"/>
          <w:sz w:val="32"/>
          <w:szCs w:val="32"/>
          <w:lang w:val="en-US" w:eastAsia="zh-CN"/>
        </w:rPr>
        <w:t>。</w:t>
      </w:r>
    </w:p>
    <w:p w14:paraId="0FE9F6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4" w:name="_Toc25746"/>
      <w:bookmarkStart w:id="45" w:name="_Toc514"/>
      <w:bookmarkStart w:id="46" w:name="_Toc15672"/>
      <w:bookmarkStart w:id="47" w:name="_Toc2694"/>
      <w:bookmarkStart w:id="48" w:name="_Toc30820"/>
      <w:r>
        <w:rPr>
          <w:rFonts w:hint="eastAsia" w:ascii="黑体" w:hAnsi="黑体" w:eastAsia="黑体" w:cs="黑体"/>
          <w:sz w:val="32"/>
          <w:szCs w:val="32"/>
          <w:lang w:val="en-US" w:eastAsia="zh-CN"/>
        </w:rPr>
        <w:t>四、财政拨款收支预算情况说明</w:t>
      </w:r>
      <w:bookmarkEnd w:id="44"/>
      <w:bookmarkEnd w:id="45"/>
      <w:bookmarkEnd w:id="46"/>
      <w:bookmarkEnd w:id="47"/>
      <w:bookmarkEnd w:id="48"/>
    </w:p>
    <w:p w14:paraId="1C29AB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东城幼儿园2025年财政拨款收支预算总数193.54万元，比2024年财政拨款收支预算总数增加37.32万元，主要原因是基本支出项目支出预算增加。</w:t>
      </w:r>
    </w:p>
    <w:p w14:paraId="36F772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收入包括：本年一般公共预算拨款收入193.54万元；支出包括：教育支出193.54万元。</w:t>
      </w:r>
    </w:p>
    <w:p w14:paraId="61B150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9" w:name="_Toc30042"/>
      <w:bookmarkStart w:id="50" w:name="_Toc14836"/>
      <w:bookmarkStart w:id="51" w:name="_Toc32373"/>
      <w:bookmarkStart w:id="52" w:name="_Toc10499"/>
      <w:bookmarkStart w:id="53" w:name="_Toc6257"/>
      <w:r>
        <w:rPr>
          <w:rFonts w:hint="eastAsia" w:ascii="黑体" w:hAnsi="黑体" w:eastAsia="黑体" w:cs="黑体"/>
          <w:sz w:val="32"/>
          <w:szCs w:val="32"/>
          <w:lang w:val="en-US" w:eastAsia="zh-CN"/>
        </w:rPr>
        <w:t>五、一般公共预算当年拨款情况说明</w:t>
      </w:r>
      <w:bookmarkEnd w:id="49"/>
      <w:bookmarkEnd w:id="50"/>
      <w:bookmarkEnd w:id="51"/>
      <w:bookmarkEnd w:id="52"/>
      <w:bookmarkEnd w:id="53"/>
    </w:p>
    <w:p w14:paraId="05D115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4" w:name="_Toc7585"/>
      <w:bookmarkStart w:id="55" w:name="_Toc9023"/>
      <w:bookmarkStart w:id="56" w:name="_Toc24372"/>
      <w:bookmarkStart w:id="57" w:name="_Toc29192"/>
      <w:bookmarkStart w:id="58" w:name="_Toc7826"/>
      <w:r>
        <w:rPr>
          <w:rFonts w:hint="eastAsia" w:ascii="楷体_GB2312" w:hAnsi="楷体_GB2312" w:eastAsia="楷体_GB2312" w:cs="楷体_GB2312"/>
          <w:sz w:val="32"/>
          <w:szCs w:val="32"/>
          <w:lang w:val="en-US" w:eastAsia="zh-CN"/>
        </w:rPr>
        <w:t>（一）一般公共预算当年拨款规模变化情况</w:t>
      </w:r>
      <w:bookmarkEnd w:id="54"/>
      <w:bookmarkEnd w:id="55"/>
      <w:bookmarkEnd w:id="56"/>
      <w:bookmarkEnd w:id="57"/>
      <w:bookmarkEnd w:id="58"/>
    </w:p>
    <w:p w14:paraId="76895A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东城幼儿园2025年一般公共预算当年拨款193.54万元，比2024年预算数增加37.32万元，主要原因是基本支出项目支出预算增加。</w:t>
      </w:r>
    </w:p>
    <w:p w14:paraId="255061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9" w:name="_Toc2786"/>
      <w:bookmarkStart w:id="60" w:name="_Toc4087"/>
      <w:bookmarkStart w:id="61" w:name="_Toc21604"/>
      <w:bookmarkStart w:id="62" w:name="_Toc5316"/>
      <w:bookmarkStart w:id="63" w:name="_Toc31236"/>
      <w:r>
        <w:rPr>
          <w:rFonts w:hint="eastAsia" w:ascii="楷体_GB2312" w:hAnsi="楷体_GB2312" w:eastAsia="楷体_GB2312" w:cs="楷体_GB2312"/>
          <w:sz w:val="32"/>
          <w:szCs w:val="32"/>
          <w:lang w:val="en-US" w:eastAsia="zh-CN"/>
        </w:rPr>
        <w:t>（二）一般公共预算当年拨款结构情况</w:t>
      </w:r>
      <w:bookmarkEnd w:id="59"/>
      <w:bookmarkEnd w:id="60"/>
      <w:bookmarkEnd w:id="61"/>
      <w:bookmarkEnd w:id="62"/>
      <w:bookmarkEnd w:id="63"/>
    </w:p>
    <w:p w14:paraId="2C1C2E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教育支出193.54万元，占100%。</w:t>
      </w:r>
    </w:p>
    <w:p w14:paraId="20CC30C0">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4" w:name="_Toc6298"/>
      <w:bookmarkStart w:id="65" w:name="_Toc25269"/>
      <w:bookmarkStart w:id="66" w:name="_Toc20789"/>
      <w:bookmarkStart w:id="67" w:name="_Toc23832"/>
      <w:bookmarkStart w:id="68" w:name="_Toc2714"/>
      <w:r>
        <w:rPr>
          <w:rFonts w:hint="eastAsia" w:ascii="楷体_GB2312" w:hAnsi="楷体_GB2312" w:eastAsia="楷体_GB2312" w:cs="楷体_GB2312"/>
          <w:sz w:val="32"/>
          <w:szCs w:val="32"/>
          <w:lang w:val="en-US" w:eastAsia="zh-CN"/>
        </w:rPr>
        <w:t>一般公共预算当年拨款具体使用情况</w:t>
      </w:r>
      <w:bookmarkEnd w:id="64"/>
      <w:bookmarkEnd w:id="65"/>
      <w:bookmarkEnd w:id="66"/>
      <w:bookmarkEnd w:id="67"/>
      <w:bookmarkEnd w:id="68"/>
    </w:p>
    <w:p w14:paraId="4E70CF0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学前教育（项）2025年预算数为193.54万元，主要用于：学前教育机构的基本支出，包括基本工资、津贴补贴、基础绩效奖等人员经费以及机构运行所需的办公费、印刷费、维修（护）费、工会经费等运行补助经费。</w:t>
      </w:r>
    </w:p>
    <w:p w14:paraId="0F5E97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69" w:name="_Toc29653"/>
      <w:bookmarkStart w:id="70" w:name="_Toc30031"/>
      <w:bookmarkStart w:id="71" w:name="_Toc7913"/>
      <w:bookmarkStart w:id="72" w:name="_Toc10472"/>
      <w:bookmarkStart w:id="73" w:name="_Toc19389"/>
      <w:r>
        <w:rPr>
          <w:rFonts w:hint="eastAsia" w:ascii="黑体" w:hAnsi="黑体" w:eastAsia="黑体" w:cs="黑体"/>
          <w:sz w:val="32"/>
          <w:szCs w:val="32"/>
          <w:lang w:val="en-US" w:eastAsia="zh-CN"/>
        </w:rPr>
        <w:t>六、一般公共预算基本支出情况说明</w:t>
      </w:r>
      <w:bookmarkEnd w:id="69"/>
      <w:bookmarkEnd w:id="70"/>
      <w:bookmarkEnd w:id="71"/>
      <w:bookmarkEnd w:id="72"/>
      <w:bookmarkEnd w:id="73"/>
    </w:p>
    <w:p w14:paraId="3896CC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东城幼儿园2025年一般公共预算基本支出87.52万元，其中：</w:t>
      </w:r>
    </w:p>
    <w:p w14:paraId="0E4A13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人员经费87.52万元，主要包括：基本工资、津贴补贴、奖金、绩效工资、社会保险缴费、住房公积金、奖励金等支出。</w:t>
      </w:r>
    </w:p>
    <w:p w14:paraId="0888F6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026BBA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4" w:name="_Toc7277"/>
      <w:bookmarkStart w:id="75" w:name="_Toc30559"/>
      <w:bookmarkStart w:id="76" w:name="_Toc11733"/>
      <w:bookmarkStart w:id="77" w:name="_Toc30707"/>
      <w:bookmarkStart w:id="78" w:name="_Toc5998"/>
      <w:r>
        <w:rPr>
          <w:rFonts w:hint="eastAsia" w:ascii="黑体" w:hAnsi="黑体" w:eastAsia="黑体" w:cs="黑体"/>
          <w:sz w:val="32"/>
          <w:szCs w:val="32"/>
          <w:lang w:val="en-US" w:eastAsia="zh-CN"/>
        </w:rPr>
        <w:t>七、“三公”经费财政拨款预算安排情况说明</w:t>
      </w:r>
      <w:bookmarkEnd w:id="74"/>
      <w:bookmarkEnd w:id="75"/>
      <w:bookmarkEnd w:id="76"/>
      <w:bookmarkEnd w:id="77"/>
      <w:bookmarkEnd w:id="78"/>
    </w:p>
    <w:p w14:paraId="5C0AE7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东城幼儿园单位2025年“三公”经费财政拨款预算数0.3万元，其中：公务接待费0.3万元，公务用车购置及运行维护费0万元，因公出国（境）经费0万元。</w:t>
      </w:r>
    </w:p>
    <w:p w14:paraId="02428C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9" w:name="_Toc9085"/>
      <w:bookmarkStart w:id="80" w:name="_Toc788"/>
      <w:bookmarkStart w:id="81" w:name="_Toc23914"/>
      <w:bookmarkStart w:id="82" w:name="_Toc2887"/>
      <w:bookmarkStart w:id="83" w:name="_Toc11957"/>
      <w:r>
        <w:rPr>
          <w:rFonts w:hint="eastAsia" w:ascii="楷体_GB2312" w:hAnsi="楷体_GB2312" w:eastAsia="楷体_GB2312" w:cs="楷体_GB2312"/>
          <w:sz w:val="32"/>
          <w:szCs w:val="32"/>
          <w:lang w:val="en-US" w:eastAsia="zh-CN"/>
        </w:rPr>
        <w:t>（一）公务接待费</w:t>
      </w:r>
      <w:bookmarkEnd w:id="79"/>
      <w:bookmarkEnd w:id="80"/>
      <w:bookmarkEnd w:id="81"/>
      <w:bookmarkEnd w:id="82"/>
      <w:bookmarkEnd w:id="83"/>
    </w:p>
    <w:p w14:paraId="3D2431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38F26BB2">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4" w:name="_Toc8550"/>
      <w:bookmarkStart w:id="85" w:name="_Toc3833"/>
      <w:bookmarkStart w:id="86" w:name="_Toc6484"/>
      <w:bookmarkStart w:id="87" w:name="_Toc9878"/>
      <w:bookmarkStart w:id="88" w:name="_Toc12168"/>
      <w:r>
        <w:rPr>
          <w:rFonts w:hint="eastAsia" w:ascii="楷体_GB2312" w:hAnsi="楷体_GB2312" w:eastAsia="楷体_GB2312" w:cs="楷体_GB2312"/>
          <w:sz w:val="32"/>
          <w:szCs w:val="32"/>
          <w:lang w:val="en-US" w:eastAsia="zh-CN"/>
        </w:rPr>
        <w:t>公务用车购置及运行维护费</w:t>
      </w:r>
      <w:bookmarkEnd w:id="84"/>
      <w:bookmarkEnd w:id="85"/>
      <w:bookmarkEnd w:id="86"/>
      <w:bookmarkEnd w:id="87"/>
      <w:bookmarkEnd w:id="88"/>
    </w:p>
    <w:p w14:paraId="25814BE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sz w:val="32"/>
          <w:szCs w:val="32"/>
          <w:lang w:val="en-US" w:eastAsia="zh-CN"/>
        </w:rPr>
        <w:t>公务用车购置及运行维护费与2024年预算相比持平。</w:t>
      </w:r>
    </w:p>
    <w:p w14:paraId="2AA723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5AA676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46CCB9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165A56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89" w:name="_Toc30694"/>
      <w:bookmarkStart w:id="90" w:name="_Toc10425"/>
      <w:bookmarkStart w:id="91" w:name="_Toc12633"/>
      <w:bookmarkStart w:id="92" w:name="_Toc16383"/>
      <w:bookmarkStart w:id="93" w:name="_Toc3143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89"/>
      <w:bookmarkEnd w:id="90"/>
      <w:bookmarkEnd w:id="91"/>
      <w:bookmarkEnd w:id="92"/>
      <w:bookmarkEnd w:id="93"/>
    </w:p>
    <w:p w14:paraId="655175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73A0AE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4" w:name="_Toc32298"/>
      <w:bookmarkStart w:id="95" w:name="_Toc14513"/>
      <w:bookmarkStart w:id="96" w:name="_Toc25932"/>
      <w:bookmarkStart w:id="97" w:name="_Toc3453"/>
      <w:bookmarkStart w:id="98" w:name="_Toc32445"/>
      <w:r>
        <w:rPr>
          <w:rFonts w:hint="eastAsia" w:ascii="黑体" w:hAnsi="黑体" w:eastAsia="黑体" w:cs="黑体"/>
          <w:sz w:val="32"/>
          <w:szCs w:val="32"/>
          <w:lang w:val="en-US" w:eastAsia="zh-CN"/>
        </w:rPr>
        <w:t>八、政府性基金预算支出情况说明</w:t>
      </w:r>
      <w:bookmarkEnd w:id="94"/>
      <w:bookmarkEnd w:id="95"/>
      <w:bookmarkEnd w:id="96"/>
      <w:bookmarkEnd w:id="97"/>
      <w:bookmarkEnd w:id="98"/>
    </w:p>
    <w:p w14:paraId="00CCAF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东城幼儿园2025年无政府性基金预算拨款安排的支出。</w:t>
      </w:r>
    </w:p>
    <w:p w14:paraId="5EFA6E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9" w:name="_Toc2181"/>
      <w:bookmarkStart w:id="100" w:name="_Toc18711"/>
      <w:bookmarkStart w:id="101" w:name="_Toc30415"/>
      <w:bookmarkStart w:id="102" w:name="_Toc12440"/>
      <w:bookmarkStart w:id="103" w:name="_Toc10070"/>
      <w:r>
        <w:rPr>
          <w:rFonts w:hint="eastAsia" w:ascii="黑体" w:hAnsi="黑体" w:eastAsia="黑体" w:cs="黑体"/>
          <w:sz w:val="32"/>
          <w:szCs w:val="32"/>
          <w:lang w:val="en-US" w:eastAsia="zh-CN"/>
        </w:rPr>
        <w:t>九、国有资本经营预算支出情况说明</w:t>
      </w:r>
      <w:bookmarkEnd w:id="99"/>
      <w:bookmarkEnd w:id="100"/>
      <w:bookmarkEnd w:id="101"/>
      <w:bookmarkEnd w:id="102"/>
      <w:bookmarkEnd w:id="103"/>
    </w:p>
    <w:p w14:paraId="34C891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东城幼儿园2025年无国有资本经营预算拨款安排的支出。</w:t>
      </w:r>
    </w:p>
    <w:p w14:paraId="1BCBC8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4" w:name="_Toc11076"/>
      <w:bookmarkStart w:id="105" w:name="_Toc28188"/>
      <w:bookmarkStart w:id="106" w:name="_Toc6211"/>
      <w:bookmarkStart w:id="107" w:name="_Toc32386"/>
      <w:bookmarkStart w:id="108" w:name="_Toc4440"/>
      <w:r>
        <w:rPr>
          <w:rFonts w:hint="eastAsia" w:ascii="黑体" w:hAnsi="黑体" w:eastAsia="黑体" w:cs="黑体"/>
          <w:sz w:val="32"/>
          <w:szCs w:val="32"/>
          <w:lang w:val="en-US" w:eastAsia="zh-CN"/>
        </w:rPr>
        <w:t>十、其他重要事项的情况说明</w:t>
      </w:r>
      <w:bookmarkEnd w:id="104"/>
      <w:bookmarkEnd w:id="105"/>
      <w:bookmarkEnd w:id="106"/>
      <w:bookmarkEnd w:id="107"/>
      <w:bookmarkEnd w:id="108"/>
    </w:p>
    <w:p w14:paraId="223356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9" w:name="_Toc6362"/>
      <w:bookmarkStart w:id="110" w:name="_Toc15588"/>
      <w:bookmarkStart w:id="111" w:name="_Toc14039"/>
      <w:bookmarkStart w:id="112" w:name="_Toc31171"/>
      <w:bookmarkStart w:id="113" w:name="_Toc16451"/>
      <w:r>
        <w:rPr>
          <w:rFonts w:hint="eastAsia" w:ascii="楷体_GB2312" w:hAnsi="楷体_GB2312" w:eastAsia="楷体_GB2312" w:cs="楷体_GB2312"/>
          <w:sz w:val="32"/>
          <w:szCs w:val="32"/>
          <w:lang w:val="en-US" w:eastAsia="zh-CN"/>
        </w:rPr>
        <w:t>（一）机关运行经费</w:t>
      </w:r>
      <w:bookmarkEnd w:id="109"/>
      <w:bookmarkEnd w:id="110"/>
      <w:bookmarkEnd w:id="111"/>
      <w:bookmarkEnd w:id="112"/>
      <w:bookmarkEnd w:id="113"/>
    </w:p>
    <w:p w14:paraId="5FF7AB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2025年，本单位属公益二类事业单位，无机关运行经费。</w:t>
      </w:r>
    </w:p>
    <w:p w14:paraId="1F25FD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4" w:name="_Toc8897"/>
      <w:bookmarkStart w:id="115" w:name="_Toc11715"/>
      <w:bookmarkStart w:id="116" w:name="_Toc2482"/>
      <w:bookmarkStart w:id="117" w:name="_Toc10588"/>
      <w:bookmarkStart w:id="118" w:name="_Toc12036"/>
      <w:r>
        <w:rPr>
          <w:rFonts w:hint="eastAsia" w:ascii="楷体_GB2312" w:hAnsi="楷体_GB2312" w:eastAsia="楷体_GB2312" w:cs="楷体_GB2312"/>
          <w:sz w:val="32"/>
          <w:szCs w:val="32"/>
          <w:lang w:val="en-US" w:eastAsia="zh-CN"/>
        </w:rPr>
        <w:t>（二）政府采购情况</w:t>
      </w:r>
      <w:bookmarkEnd w:id="114"/>
      <w:bookmarkEnd w:id="115"/>
      <w:bookmarkEnd w:id="116"/>
      <w:bookmarkEnd w:id="117"/>
      <w:bookmarkEnd w:id="118"/>
    </w:p>
    <w:p w14:paraId="5B2437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2025年，东城幼儿园单位安排政府采购预算0万元。</w:t>
      </w:r>
    </w:p>
    <w:p w14:paraId="2ACD94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9" w:name="_Toc21285"/>
      <w:bookmarkStart w:id="120" w:name="_Toc2933"/>
      <w:bookmarkStart w:id="121" w:name="_Toc27089"/>
      <w:bookmarkStart w:id="122" w:name="_Toc8752"/>
      <w:bookmarkStart w:id="123" w:name="_Toc13113"/>
      <w:r>
        <w:rPr>
          <w:rFonts w:hint="eastAsia" w:ascii="楷体_GB2312" w:hAnsi="楷体_GB2312" w:eastAsia="楷体_GB2312" w:cs="楷体_GB2312"/>
          <w:sz w:val="32"/>
          <w:szCs w:val="32"/>
          <w:lang w:val="en-US" w:eastAsia="zh-CN"/>
        </w:rPr>
        <w:t>（三）国有资产占有使用情况</w:t>
      </w:r>
      <w:bookmarkEnd w:id="119"/>
      <w:bookmarkEnd w:id="120"/>
      <w:bookmarkEnd w:id="121"/>
      <w:bookmarkEnd w:id="122"/>
      <w:bookmarkEnd w:id="123"/>
    </w:p>
    <w:p w14:paraId="2F3470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截至2024年底，东城幼儿园共有车辆0辆，单位无价值200万元以上的大型设备。</w:t>
      </w:r>
    </w:p>
    <w:p w14:paraId="79AA6C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DE13A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24" w:name="_Toc2800"/>
      <w:bookmarkStart w:id="125" w:name="_Toc22428"/>
      <w:bookmarkStart w:id="126" w:name="_Toc32421"/>
      <w:bookmarkStart w:id="127" w:name="_Toc13443"/>
      <w:bookmarkStart w:id="128" w:name="_Toc5454"/>
      <w:r>
        <w:rPr>
          <w:rFonts w:hint="eastAsia" w:ascii="楷体_GB2312" w:hAnsi="楷体_GB2312" w:eastAsia="楷体_GB2312" w:cs="楷体_GB2312"/>
          <w:sz w:val="32"/>
          <w:szCs w:val="32"/>
          <w:lang w:val="en-US" w:eastAsia="zh-CN"/>
        </w:rPr>
        <w:t>（四）绩效目标设置情况</w:t>
      </w:r>
      <w:bookmarkEnd w:id="124"/>
      <w:bookmarkEnd w:id="125"/>
      <w:bookmarkEnd w:id="126"/>
      <w:bookmarkEnd w:id="127"/>
      <w:bookmarkEnd w:id="128"/>
    </w:p>
    <w:p w14:paraId="0BA2E8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东城幼儿园开展绩效目标管理的项目11个，涉及预算193.54万元。其中：人员类项目9个，涉及预算87.52万元；运转类项目2个，涉及预算106.02万元；特定目标类项目0个，涉及预算0万元。因部分项目内容涉密，不予公开。</w:t>
      </w:r>
    </w:p>
    <w:p w14:paraId="3D32BF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9" w:name="_Toc29149"/>
      <w:bookmarkStart w:id="130" w:name="_Toc30692"/>
      <w:bookmarkStart w:id="131" w:name="_Toc23547"/>
      <w:bookmarkStart w:id="132" w:name="_Toc32374"/>
      <w:bookmarkStart w:id="133" w:name="_Toc32053"/>
      <w:r>
        <w:rPr>
          <w:rFonts w:hint="eastAsia" w:ascii="黑体" w:hAnsi="黑体" w:eastAsia="黑体" w:cs="黑体"/>
          <w:sz w:val="32"/>
          <w:szCs w:val="32"/>
          <w:lang w:val="en-US" w:eastAsia="zh-CN"/>
        </w:rPr>
        <w:t>十一、名词解释</w:t>
      </w:r>
      <w:bookmarkEnd w:id="129"/>
      <w:bookmarkEnd w:id="130"/>
      <w:bookmarkEnd w:id="131"/>
      <w:bookmarkEnd w:id="132"/>
      <w:bookmarkEnd w:id="133"/>
    </w:p>
    <w:p w14:paraId="1A8DC8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0C3CBC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BAAC9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92BE9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597551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　　</w:t>
      </w:r>
    </w:p>
    <w:p w14:paraId="038A13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（七）社会保障和就业（类）行政事业单位养老支出（款）机关事业单位职业年金缴费支</w:t>
      </w:r>
      <w:r>
        <w:rPr>
          <w:rFonts w:hint="eastAsia" w:ascii="仿宋_GB2312" w:hAnsi="仿宋_GB2312" w:eastAsia="仿宋_GB2312" w:cs="仿宋_GB2312"/>
          <w:sz w:val="32"/>
          <w:szCs w:val="32"/>
          <w:lang w:val="en-US" w:eastAsia="zh-CN"/>
        </w:rPr>
        <w:t>出</w:t>
      </w:r>
      <w:r>
        <w:rPr>
          <w:rFonts w:hint="eastAsia" w:ascii="楷体_GB2312" w:hAnsi="楷体_GB2312" w:eastAsia="楷体_GB2312" w:cs="楷体_GB2312"/>
          <w:sz w:val="32"/>
          <w:szCs w:val="32"/>
          <w:lang w:val="en-US" w:eastAsia="zh-CN"/>
        </w:rPr>
        <w:t>（项）：</w:t>
      </w:r>
      <w:r>
        <w:rPr>
          <w:rFonts w:hint="eastAsia" w:ascii="仿宋_GB2312" w:hAnsi="仿宋_GB2312" w:eastAsia="仿宋_GB2312" w:cs="仿宋_GB2312"/>
          <w:sz w:val="32"/>
          <w:szCs w:val="32"/>
          <w:lang w:val="en-US" w:eastAsia="zh-CN"/>
        </w:rPr>
        <w:t>指部门实施养老保险制度由单位缴纳的职业年金的支出。</w:t>
      </w:r>
    </w:p>
    <w:p w14:paraId="74E8C6AD">
      <w:pPr>
        <w:rPr>
          <w:rFonts w:hint="eastAsia" w:ascii="仿宋_GB2312" w:hAnsi="仿宋_GB2312" w:eastAsia="仿宋_GB2312" w:cs="仿宋_GB2312"/>
          <w:sz w:val="32"/>
          <w:szCs w:val="32"/>
          <w:lang w:val="en-US" w:eastAsia="zh-CN"/>
        </w:rPr>
      </w:pPr>
      <w:sdt>
        <w:sdtPr>
          <w:rPr>
            <w:rFonts w:ascii="宋体" w:hAnsi="宋体" w:eastAsia="宋体" w:cs="Times New Roman"/>
            <w:color w:val="auto"/>
            <w:kern w:val="2"/>
            <w:sz w:val="21"/>
            <w:szCs w:val="24"/>
            <w:lang w:val="en-US" w:eastAsia="zh-CN" w:bidi="ar-SA"/>
          </w:rPr>
          <w:id w:val="147467827"/>
          <w:showingPlcHdr/>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r>
            <w:rPr>
              <w:rFonts w:hint="eastAsia" w:ascii="宋体" w:hAnsi="宋体" w:eastAsia="宋体" w:cs="Times New Roman"/>
              <w:color w:val="auto"/>
              <w:kern w:val="2"/>
              <w:sz w:val="21"/>
              <w:szCs w:val="24"/>
              <w:lang w:val="en-US" w:eastAsia="zh-CN" w:bidi="ar-SA"/>
            </w:rPr>
            <w:t xml:space="preserve">     </w:t>
          </w:r>
        </w:sdtContent>
      </w:sdt>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楷体_GB2312" w:hAnsi="楷体_GB2312" w:eastAsia="楷体_GB2312" w:cs="楷体_GB2312"/>
          <w:sz w:val="32"/>
          <w:szCs w:val="32"/>
          <w:lang w:val="en-US" w:eastAsia="zh-CN"/>
        </w:rPr>
        <w:br w:type="textWrapping"/>
      </w:r>
      <w:r>
        <w:rPr>
          <w:rFonts w:hint="eastAsia" w:ascii="楷体_GB2312" w:hAnsi="楷体_GB2312" w:eastAsia="楷体_GB2312" w:cs="楷体_GB2312"/>
          <w:sz w:val="32"/>
          <w:szCs w:val="32"/>
          <w:lang w:val="en-US" w:eastAsia="zh-CN"/>
        </w:rPr>
        <w:t>　　（九）住房保障（类）住房改革支出（款）住房公积金（项）：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r>
        <w:rPr>
          <w:rFonts w:hint="eastAsia" w:ascii="楷体_GB2312" w:hAnsi="楷体_GB2312" w:eastAsia="楷体_GB2312" w:cs="楷体_GB2312"/>
          <w:sz w:val="32"/>
          <w:szCs w:val="32"/>
          <w:lang w:val="en-US" w:eastAsia="zh-CN"/>
        </w:rPr>
        <w:t xml:space="preserve">   （十二）“三公”经费：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w:t>
      </w:r>
      <w:bookmarkStart w:id="139" w:name="_GoBack"/>
      <w:bookmarkEnd w:id="139"/>
      <w:r>
        <w:rPr>
          <w:rFonts w:hint="eastAsia" w:ascii="仿宋_GB2312" w:hAnsi="仿宋_GB2312" w:eastAsia="仿宋_GB2312" w:cs="仿宋_GB2312"/>
          <w:sz w:val="32"/>
          <w:szCs w:val="32"/>
          <w:lang w:val="en-US" w:eastAsia="zh-CN"/>
        </w:rPr>
        <w:t>（含外宾接待）支出。</w:t>
      </w:r>
    </w:p>
    <w:p w14:paraId="7B99CD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45E58E2">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134" w:name="_Toc27854"/>
      <w:bookmarkStart w:id="135" w:name="_Toc19880"/>
      <w:bookmarkStart w:id="136" w:name="_Toc26218"/>
      <w:bookmarkStart w:id="137" w:name="_Toc18666"/>
      <w:bookmarkStart w:id="138" w:name="_Toc6798"/>
      <w:r>
        <w:rPr>
          <w:rFonts w:hint="eastAsia" w:ascii="仿宋_GB2312" w:hAnsi="仿宋_GB2312" w:eastAsia="仿宋_GB2312" w:cs="仿宋_GB2312"/>
          <w:sz w:val="32"/>
          <w:szCs w:val="32"/>
          <w:lang w:val="en-US" w:eastAsia="zh-CN"/>
        </w:rPr>
        <w:t>单位预算项目绩效目标表</w:t>
      </w:r>
      <w:bookmarkEnd w:id="134"/>
      <w:bookmarkEnd w:id="135"/>
      <w:bookmarkEnd w:id="136"/>
      <w:bookmarkEnd w:id="137"/>
      <w:bookmarkEnd w:id="138"/>
    </w:p>
    <w:p w14:paraId="17ADF2C9">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7:45Z" w:initials="UC">
    <w:p w14:paraId="00989682">
      <w:r>
        <w:rPr>
          <w:color w:val="FF0000"/>
        </w:rPr>
        <w:t>错敏词:</w:t>
      </w:r>
      <w:r>
        <w:t>昭化区东睿托育中心</w:t>
      </w:r>
    </w:p>
    <w:p w14:paraId="00989683">
      <w:r>
        <w:rPr>
          <w:color w:val="FF0000"/>
        </w:rPr>
        <w:t>推荐修改:</w:t>
      </w:r>
      <w:r>
        <w:t>昭化区东城托育中心</w:t>
      </w:r>
    </w:p>
    <w:p w14:paraId="00989684">
      <w:r>
        <w:rPr>
          <w:color w:val="FF0000"/>
        </w:rPr>
        <w:t>问题类型:</w:t>
      </w:r>
      <w:r>
        <w:t>错字/别字</w:t>
      </w:r>
    </w:p>
    <w:p w14:paraId="00989685">
      <w:r>
        <w:rPr>
          <w:color w:val="FF0000"/>
        </w:rPr>
        <w:t>严重程度:</w:t>
      </w:r>
      <w:r>
        <w:t>轻微</w:t>
      </w:r>
    </w:p>
  </w:comment>
  <w:comment w:id="1" w:author="错敏词信息检测" w:date="2025-02-14T17:57:45Z" w:initials="UC">
    <w:p w14:paraId="0098968E">
      <w:r>
        <w:rPr>
          <w:color w:val="FF0000"/>
        </w:rPr>
        <w:t>错敏词:</w:t>
      </w:r>
      <w:r>
        <w:t>主题教育活动</w:t>
      </w:r>
    </w:p>
    <w:p w14:paraId="0098968F">
      <w:r>
        <w:rPr>
          <w:color w:val="FF0000"/>
        </w:rPr>
        <w:t>推荐修改:</w:t>
      </w:r>
      <w:r>
        <w:t>主题教育</w:t>
      </w:r>
    </w:p>
    <w:p w14:paraId="00989690">
      <w:r>
        <w:rPr>
          <w:color w:val="FF0000"/>
        </w:rPr>
        <w:t>问题类型:</w:t>
      </w:r>
      <w:r>
        <w:t>专用表述错误</w:t>
      </w:r>
    </w:p>
    <w:p w14:paraId="00989691">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9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582A8F-48BB-4CC5-9C58-E0823842476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embedRegular r:id="rId2" w:fontKey="{13FE0833-7370-4A11-898C-00859BC79A4C}"/>
  </w:font>
  <w:font w:name="仿宋_GB2312">
    <w:altName w:val="仿宋"/>
    <w:panose1 w:val="02010609030101010101"/>
    <w:charset w:val="86"/>
    <w:family w:val="auto"/>
    <w:pitch w:val="default"/>
    <w:sig w:usb0="00000000" w:usb1="00000000" w:usb2="00000000" w:usb3="00000000" w:csb0="00040000" w:csb1="00000000"/>
    <w:embedRegular r:id="rId3" w:fontKey="{44531E42-15D2-4A1A-B4CE-EA4604E7925C}"/>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E6D54E05-F49A-4904-98AA-63C70B0381E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31F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9C700D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l1uVLQAAAABQEAAA8AAAAAAAAAAQAgAAAAIgAAAGRycy9kb3ducmV2LnhtbFBLAQIU&#10;ABQAAAAIAIdO4kCVY1ku+wEAAAAEAAAOAAAAAAAAAAEAIAAAAB8BAABkcnMvZTJvRG9jLnhtbFBL&#10;BQYAAAAABgAGAFkBAACMBQAAAAA=&#10;">
              <v:fill on="f" focussize="0,0"/>
              <v:stroke on="f"/>
              <v:imagedata o:title=""/>
              <o:lock v:ext="edit" aspectratio="f"/>
              <v:textbox inset="0mm,0mm,0mm,0mm" style="mso-fit-shape-to-text:t;">
                <w:txbxContent>
                  <w:p w14:paraId="69C700D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abstractNum w:abstractNumId="2">
    <w:nsid w:val="28D8E00B"/>
    <w:multiLevelType w:val="singleLevel"/>
    <w:tmpl w:val="28D8E00B"/>
    <w:lvl w:ilvl="0" w:tentative="0">
      <w:start w:val="2"/>
      <w:numFmt w:val="decimal"/>
      <w:lvlText w:val="%1."/>
      <w:lvlJc w:val="left"/>
      <w:pPr>
        <w:tabs>
          <w:tab w:val="left" w:pos="312"/>
        </w:tabs>
        <w:ind w:left="1600" w:leftChars="0" w:firstLine="0" w:firstLineChars="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19"/>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723157F3"/>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4865</Words>
  <Characters>5099</Characters>
  <TotalTime>1</TotalTime>
  <ScaleCrop>false</ScaleCrop>
  <LinksUpToDate>false</LinksUpToDate>
  <CharactersWithSpaces>5148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2025-02-15T05:50:12Z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04A4226EA62C4F389F48D3A5ADFFB7E6_13</vt:lpwstr>
  </property>
  <property fmtid="{D5CDD505-2E9C-101B-9397-08002B2CF9AE}" pid="4" name="KSOTemplateDocerSaveRecord">
    <vt:lpwstr>eyJoZGlkIjoiOTlhNTlmMWMwY2NkZGNhOTM0ZTIzOTMwM2UwMjVlYzgiLCJ1c2VySWQiOiI2MDAwNDk2NTIifQ==</vt:lpwstr>
  </property>
</Properties>
</file>