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98A5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bookmarkStart w:id="0" w:name="_Toc29862"/>
      <w:bookmarkStart w:id="1" w:name="_Toc3183"/>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广元市昭化区机关幼儿园</w:t>
      </w:r>
    </w:p>
    <w:p w14:paraId="6237A28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（广元市昭化区昭萌托育中心）</w:t>
      </w:r>
    </w:p>
    <w:p w14:paraId="69E8DFD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bookmarkEnd w:id="0"/>
      <w:bookmarkEnd w:id="1"/>
      <w:bookmarkStart w:id="33" w:name="_GoBack"/>
      <w:bookmarkEnd w:id="33"/>
    </w:p>
    <w:p w14:paraId="3896B0C9">
      <w:pPr>
        <w:spacing w:before="0" w:beforeLines="0" w:after="0" w:afterLines="0" w:line="240" w:lineRule="auto"/>
        <w:ind w:left="0" w:leftChars="0" w:right="0" w:rightChars="0" w:firstLine="0" w:firstLineChars="0"/>
        <w:jc w:val="center"/>
        <w:rPr>
          <w:rFonts w:hint="default" w:ascii="宋体" w:hAnsi="宋体" w:eastAsia="宋体" w:cs="Times New Roman"/>
          <w:color w:val="auto"/>
          <w:kern w:val="2"/>
          <w:sz w:val="21"/>
          <w:szCs w:val="24"/>
          <w:lang w:val="en-US" w:eastAsia="zh-CN" w:bidi="ar-SA"/>
        </w:rPr>
      </w:pPr>
    </w:p>
    <w:sdt>
      <w:sdtPr>
        <w:rPr>
          <w:rFonts w:ascii="宋体" w:hAnsi="宋体" w:eastAsia="宋体" w:cs="Times New Roman"/>
          <w:color w:val="auto"/>
          <w:kern w:val="2"/>
          <w:sz w:val="21"/>
          <w:szCs w:val="24"/>
          <w:lang w:val="en-US" w:eastAsia="zh-CN" w:bidi="ar-SA"/>
        </w:rPr>
        <w:id w:val="147463536"/>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21FE4539">
          <w:pPr>
            <w:spacing w:before="0" w:beforeLines="0" w:after="0" w:afterLines="0" w:line="240" w:lineRule="auto"/>
            <w:ind w:left="0" w:leftChars="0" w:right="0" w:rightChars="0" w:firstLine="0" w:firstLineChars="0"/>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目录</w:t>
          </w:r>
        </w:p>
        <w:p w14:paraId="585043D6">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b/>
            </w:rPr>
            <w:fldChar w:fldCharType="begin"/>
          </w:r>
          <w:r>
            <w:rPr>
              <w:b/>
            </w:rPr>
            <w:instrText xml:space="preserve">TOC \o "1-2" \h \u</w:instrText>
          </w:r>
          <w:r>
            <w:rPr>
              <w:b/>
            </w:rPr>
            <w:fldChar w:fldCharType="separate"/>
          </w:r>
          <w:r>
            <w:fldChar w:fldCharType="begin"/>
          </w:r>
          <w:r>
            <w:instrText xml:space="preserve"> HYPERLINK \l "_Toc7537" </w:instrText>
          </w:r>
          <w:r>
            <w:fldChar w:fldCharType="separate"/>
          </w:r>
          <w:r>
            <w:rPr>
              <w:rFonts w:hint="eastAsia" w:ascii="仿宋_GB2312" w:hAnsi="仿宋_GB2312" w:eastAsia="仿宋_GB2312" w:cs="仿宋_GB2312"/>
              <w:b w:val="0"/>
              <w:bCs w:val="0"/>
              <w:sz w:val="32"/>
              <w:szCs w:val="32"/>
              <w:lang w:val="en-US" w:eastAsia="zh-CN"/>
            </w:rPr>
            <w:t>一、</w:t>
          </w:r>
          <w:r>
            <w:rPr>
              <w:rFonts w:hint="eastAsia" w:ascii="仿宋_GB2312" w:hAnsi="仿宋_GB2312" w:eastAsia="仿宋_GB2312" w:cs="仿宋_GB2312"/>
              <w:b/>
              <w:bCs/>
              <w:sz w:val="32"/>
              <w:szCs w:val="32"/>
              <w:lang w:val="en-US" w:eastAsia="zh-CN"/>
            </w:rPr>
            <w:t>基本职能及主要工作</w:t>
          </w:r>
          <w:r>
            <w:rPr>
              <w:rStyle w:val="18"/>
              <w:rFonts w:hint="eastAsia"/>
              <w:b w:val="0"/>
              <w:bCs w:val="0"/>
              <w:lang w:val="en-US" w:eastAsia="zh-CN"/>
            </w:rPr>
            <w:tab/>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PAGEREF _Toc7537 \h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end"/>
          </w:r>
        </w:p>
        <w:p w14:paraId="7B144A30">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"_Toc17503" </w:instrText>
          </w:r>
          <w:r>
            <w:fldChar w:fldCharType="separate"/>
          </w:r>
          <w:r>
            <w:rPr>
              <w:rFonts w:hint="eastAsia" w:ascii="仿宋_GB2312" w:hAnsi="仿宋_GB2312" w:eastAsia="仿宋_GB2312" w:cs="仿宋_GB2312"/>
              <w:sz w:val="32"/>
              <w:szCs w:val="32"/>
              <w:lang w:val="en-US" w:eastAsia="zh-CN"/>
            </w:rPr>
            <w:t>（一）职能简介</w:t>
          </w:r>
          <w:r>
            <w:rPr>
              <w:rStyle w:val="18"/>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_Toc17503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4983DF4C">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"_Toc5222" </w:instrText>
          </w:r>
          <w:r>
            <w:fldChar w:fldCharType="separate"/>
          </w:r>
          <w:r>
            <w:rPr>
              <w:rFonts w:hint="eastAsia" w:ascii="仿宋_GB2312" w:hAnsi="仿宋_GB2312" w:eastAsia="仿宋_GB2312" w:cs="仿宋_GB2312"/>
              <w:sz w:val="32"/>
              <w:szCs w:val="32"/>
              <w:lang w:val="en-US" w:eastAsia="zh-CN"/>
            </w:rPr>
            <w:t>（二）2025年重点工作</w:t>
          </w:r>
          <w:r>
            <w:rPr>
              <w:rStyle w:val="18"/>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_Toc5222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45C2AE9D">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"_Toc22393" </w:instrText>
          </w:r>
          <w:r>
            <w:fldChar w:fldCharType="separate"/>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b/>
              <w:bCs/>
              <w:sz w:val="32"/>
              <w:szCs w:val="32"/>
              <w:lang w:val="en-US" w:eastAsia="zh-CN"/>
            </w:rPr>
            <w:t>部门预算单位构成</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_Toc22393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5D9D36BF">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"_Toc20618" </w:instrText>
          </w:r>
          <w:r>
            <w:fldChar w:fldCharType="separate"/>
          </w:r>
          <w:r>
            <w:rPr>
              <w:rFonts w:hint="eastAsia" w:ascii="仿宋_GB2312" w:hAnsi="仿宋_GB2312" w:eastAsia="仿宋_GB2312" w:cs="仿宋_GB2312"/>
              <w:b/>
              <w:bCs/>
              <w:sz w:val="32"/>
              <w:szCs w:val="32"/>
              <w:lang w:val="en-US" w:eastAsia="zh-CN"/>
            </w:rPr>
            <w:t>三、收支预算情况说明</w:t>
          </w:r>
          <w:r>
            <w:rPr>
              <w:rStyle w:val="18"/>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_Toc20618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2F5B8F45">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"_Toc14060" </w:instrText>
          </w:r>
          <w:r>
            <w:fldChar w:fldCharType="separate"/>
          </w:r>
          <w:r>
            <w:rPr>
              <w:rFonts w:hint="eastAsia" w:ascii="仿宋_GB2312" w:hAnsi="仿宋_GB2312" w:eastAsia="仿宋_GB2312" w:cs="仿宋_GB2312"/>
              <w:sz w:val="32"/>
              <w:szCs w:val="32"/>
              <w:lang w:val="en-US" w:eastAsia="zh-CN"/>
            </w:rPr>
            <w:t>（一）收入预算情况</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_Toc14060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255E9168">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"_Toc16311" </w:instrText>
          </w:r>
          <w:r>
            <w:fldChar w:fldCharType="separate"/>
          </w:r>
          <w:r>
            <w:rPr>
              <w:rFonts w:hint="eastAsia" w:ascii="仿宋_GB2312" w:hAnsi="仿宋_GB2312" w:eastAsia="仿宋_GB2312" w:cs="仿宋_GB2312"/>
              <w:sz w:val="32"/>
              <w:szCs w:val="32"/>
              <w:lang w:val="en-US" w:eastAsia="zh-CN"/>
            </w:rPr>
            <w:t>（二）支出预算情况</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_Toc16311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437C8648">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"_Toc8046" </w:instrText>
          </w:r>
          <w:r>
            <w:fldChar w:fldCharType="separate"/>
          </w:r>
          <w:r>
            <w:rPr>
              <w:rFonts w:hint="eastAsia" w:ascii="仿宋_GB2312" w:hAnsi="仿宋_GB2312" w:eastAsia="仿宋_GB2312" w:cs="仿宋_GB2312"/>
              <w:b/>
              <w:bCs/>
              <w:sz w:val="32"/>
              <w:szCs w:val="32"/>
              <w:lang w:val="en-US" w:eastAsia="zh-CN"/>
            </w:rPr>
            <w:t>四、财政拨款收支预算情况说明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_Toc8046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68321D70">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"_Toc18483" </w:instrText>
          </w:r>
          <w:r>
            <w:fldChar w:fldCharType="separate"/>
          </w:r>
          <w:r>
            <w:rPr>
              <w:rFonts w:hint="eastAsia" w:ascii="仿宋_GB2312" w:hAnsi="仿宋_GB2312" w:eastAsia="仿宋_GB2312" w:cs="仿宋_GB2312"/>
              <w:b/>
              <w:bCs/>
              <w:sz w:val="32"/>
              <w:szCs w:val="32"/>
              <w:lang w:val="en-US" w:eastAsia="zh-CN"/>
            </w:rPr>
            <w:t>五、一般公共预算当年拨款情况说明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_Toc18483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0F153230">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"_Toc5016" </w:instrText>
          </w:r>
          <w:r>
            <w:fldChar w:fldCharType="separate"/>
          </w:r>
          <w:r>
            <w:rPr>
              <w:rFonts w:hint="eastAsia" w:ascii="仿宋_GB2312" w:hAnsi="仿宋_GB2312" w:eastAsia="仿宋_GB2312" w:cs="仿宋_GB2312"/>
              <w:sz w:val="32"/>
              <w:szCs w:val="32"/>
              <w:lang w:val="en-US" w:eastAsia="zh-CN"/>
            </w:rPr>
            <w:t>（一）一般公共预算当年拨款规模变化情况</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_Toc5016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23780F82">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"_Toc18423" </w:instrText>
          </w:r>
          <w:r>
            <w:fldChar w:fldCharType="separate"/>
          </w:r>
          <w:r>
            <w:rPr>
              <w:rFonts w:hint="eastAsia" w:ascii="仿宋_GB2312" w:hAnsi="仿宋_GB2312" w:eastAsia="仿宋_GB2312" w:cs="仿宋_GB2312"/>
              <w:sz w:val="32"/>
              <w:szCs w:val="32"/>
              <w:lang w:val="en-US" w:eastAsia="zh-CN"/>
            </w:rPr>
            <w:t>（二）一般公共预算当年拨款结构情况</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_Toc18423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4A79EB76">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ind w:firstLine="210" w:firstLineChars="100"/>
            <w:textAlignment w:val="auto"/>
            <w:rPr>
              <w:rFonts w:hint="eastAsia" w:ascii="仿宋_GB2312" w:hAnsi="仿宋_GB2312" w:eastAsia="仿宋_GB2312" w:cs="仿宋_GB2312"/>
              <w:sz w:val="32"/>
              <w:szCs w:val="32"/>
              <w:lang w:val="en-US" w:eastAsia="zh-CN"/>
            </w:rPr>
          </w:pPr>
          <w:r>
            <w:fldChar w:fldCharType="begin"/>
          </w:r>
          <w:r>
            <w:instrText xml:space="preserve"> HYPERLINK \l "_Toc28706" </w:instrText>
          </w:r>
          <w:r>
            <w:fldChar w:fldCharType="separate"/>
          </w:r>
          <w:r>
            <w:rPr>
              <w:rFonts w:hint="eastAsia" w:ascii="仿宋_GB2312" w:hAnsi="仿宋_GB2312" w:eastAsia="仿宋_GB2312" w:cs="仿宋_GB2312"/>
              <w:sz w:val="32"/>
              <w:szCs w:val="32"/>
              <w:lang w:val="en-US" w:eastAsia="zh-CN"/>
            </w:rPr>
            <w:t>（三）一般公共预算当年拨款具体使用情况</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_Toc28706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38E5E2B7">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"_Toc19706" </w:instrText>
          </w:r>
          <w:r>
            <w:fldChar w:fldCharType="separate"/>
          </w:r>
          <w:r>
            <w:rPr>
              <w:rFonts w:hint="eastAsia" w:ascii="仿宋_GB2312" w:hAnsi="仿宋_GB2312" w:eastAsia="仿宋_GB2312" w:cs="仿宋_GB2312"/>
              <w:b/>
              <w:bCs/>
              <w:sz w:val="32"/>
              <w:szCs w:val="32"/>
              <w:lang w:val="en-US" w:eastAsia="zh-CN"/>
            </w:rPr>
            <w:t>六、一般公共预算基本支出情况说明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_Toc19706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75D1D814">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"_Toc1752" </w:instrText>
          </w:r>
          <w:r>
            <w:fldChar w:fldCharType="separate"/>
          </w:r>
          <w:r>
            <w:rPr>
              <w:rFonts w:hint="eastAsia" w:ascii="仿宋_GB2312" w:hAnsi="仿宋_GB2312" w:eastAsia="仿宋_GB2312" w:cs="仿宋_GB2312"/>
              <w:b/>
              <w:bCs/>
              <w:sz w:val="32"/>
              <w:szCs w:val="32"/>
              <w:lang w:val="en-US" w:eastAsia="zh-CN"/>
            </w:rPr>
            <w:t>七、“三公”经费财政拨款预算安排情况说明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_Toc1752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65D4A12A">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"_Toc448" </w:instrText>
          </w:r>
          <w:r>
            <w:fldChar w:fldCharType="separate"/>
          </w:r>
          <w:r>
            <w:rPr>
              <w:rFonts w:hint="eastAsia" w:ascii="仿宋_GB2312" w:hAnsi="仿宋_GB2312" w:eastAsia="仿宋_GB2312" w:cs="仿宋_GB2312"/>
              <w:b/>
              <w:bCs/>
              <w:sz w:val="32"/>
              <w:szCs w:val="32"/>
              <w:lang w:val="en-US" w:eastAsia="zh-CN"/>
            </w:rPr>
            <w:t>八、政府性基金预算支出情况说明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_Toc448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6365C5FD">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"_Toc32359" </w:instrText>
          </w:r>
          <w:r>
            <w:fldChar w:fldCharType="separate"/>
          </w:r>
          <w:r>
            <w:rPr>
              <w:rFonts w:hint="eastAsia" w:ascii="仿宋_GB2312" w:hAnsi="仿宋_GB2312" w:eastAsia="仿宋_GB2312" w:cs="仿宋_GB2312"/>
              <w:b/>
              <w:bCs/>
              <w:sz w:val="32"/>
              <w:szCs w:val="32"/>
              <w:lang w:val="en-US" w:eastAsia="zh-CN"/>
            </w:rPr>
            <w:t>九、国有资本经营预算支出情况说明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_Toc32359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60C7FA71">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"_Toc3742" </w:instrText>
          </w:r>
          <w:r>
            <w:fldChar w:fldCharType="separate"/>
          </w:r>
          <w:r>
            <w:rPr>
              <w:rFonts w:hint="eastAsia" w:ascii="仿宋_GB2312" w:hAnsi="仿宋_GB2312" w:eastAsia="仿宋_GB2312" w:cs="仿宋_GB2312"/>
              <w:b/>
              <w:bCs/>
              <w:sz w:val="32"/>
              <w:szCs w:val="32"/>
              <w:lang w:val="en-US" w:eastAsia="zh-CN"/>
            </w:rPr>
            <w:t>十、其他重要事项的情况说明</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_Toc3742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0CCA539F">
          <w:pPr>
            <w:keepNext w:val="0"/>
            <w:keepLines w:val="0"/>
            <w:pageBreakBefore w:val="0"/>
            <w:widowControl w:val="0"/>
            <w:tabs>
              <w:tab w:val="right" w:leader="middleDot" w:pos="8820"/>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fldChar w:fldCharType="begin"/>
          </w:r>
          <w:r>
            <w:instrText xml:space="preserve"> HYPERLINK \l "_Toc28415" </w:instrText>
          </w:r>
          <w:r>
            <w:fldChar w:fldCharType="separate"/>
          </w:r>
          <w:r>
            <w:rPr>
              <w:rFonts w:hint="eastAsia" w:ascii="仿宋_GB2312" w:hAnsi="仿宋_GB2312" w:eastAsia="仿宋_GB2312" w:cs="仿宋_GB2312"/>
              <w:b/>
              <w:bCs/>
              <w:sz w:val="32"/>
              <w:szCs w:val="32"/>
              <w:lang w:val="en-US" w:eastAsia="zh-CN"/>
            </w:rPr>
            <w:t>十一、名词解释</w:t>
          </w:r>
          <w:r>
            <w:rPr>
              <w:rStyle w:val="19"/>
              <w:rFonts w:hint="eastAsia"/>
              <w:lang w:val="en-US" w:eastAsia="zh-CN"/>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_Toc28415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fldChar w:fldCharType="end"/>
          </w:r>
        </w:p>
        <w:p w14:paraId="108790D7">
          <w:pPr>
            <w:keepNext w:val="0"/>
            <w:keepLines w:val="0"/>
            <w:pageBreakBefore w:val="0"/>
            <w:tabs>
              <w:tab w:val="right" w:leader="middleDot" w:pos="8820"/>
            </w:tabs>
            <w:kinsoku/>
            <w:wordWrap/>
            <w:overflowPunct/>
            <w:topLinePunct w:val="0"/>
            <w:autoSpaceDE/>
            <w:autoSpaceDN/>
            <w:bidi w:val="0"/>
            <w:adjustRightInd/>
            <w:snapToGrid/>
            <w:textAlignment w:val="auto"/>
            <w:rPr>
              <w:b/>
            </w:rPr>
          </w:pPr>
          <w:r>
            <w:rPr>
              <w:b/>
            </w:rPr>
            <w:fldChar w:fldCharType="end"/>
          </w:r>
        </w:p>
      </w:sdtContent>
    </w:sdt>
    <w:p w14:paraId="489C7D38">
      <w:pPr>
        <w:keepNext w:val="0"/>
        <w:keepLines w:val="0"/>
        <w:pageBreakBefore w:val="0"/>
        <w:kinsoku/>
        <w:wordWrap/>
        <w:overflowPunct/>
        <w:topLinePunct w:val="0"/>
        <w:autoSpaceDE/>
        <w:autoSpaceDN/>
        <w:bidi w:val="0"/>
        <w:adjustRightInd/>
        <w:snapToGrid/>
        <w:textAlignment w:val="auto"/>
        <w:rPr>
          <w:b/>
        </w:rPr>
      </w:pPr>
    </w:p>
    <w:p w14:paraId="2B9ACBC9">
      <w:pPr>
        <w:rPr>
          <w:b/>
        </w:rPr>
      </w:pPr>
    </w:p>
    <w:p w14:paraId="5A5D6E4A">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7B6ABB9D">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1E2E736C">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34434318">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1C8B2312">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7BDE7448">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4B8237AC">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4F32DC2D">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1F075472">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218A13C7">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74E1A631">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232ABF63">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3D8B01E0">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6EC9CA89">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391D62AA">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160C44E7">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1C0CFA01">
      <w:pPr>
        <w:keepNext w:val="0"/>
        <w:keepLines w:val="0"/>
        <w:pageBreakBefore w:val="0"/>
        <w:widowControl w:val="0"/>
        <w:kinsoku/>
        <w:wordWrap/>
        <w:overflowPunct/>
        <w:topLinePunct w:val="0"/>
        <w:autoSpaceDE/>
        <w:autoSpaceDN/>
        <w:bidi w:val="0"/>
        <w:adjustRightInd/>
        <w:snapToGrid/>
        <w:spacing w:line="576" w:lineRule="exact"/>
        <w:ind w:firstLine="422" w:firstLineChars="200"/>
        <w:textAlignment w:val="auto"/>
        <w:rPr>
          <w:b/>
        </w:rPr>
      </w:pPr>
    </w:p>
    <w:p w14:paraId="25FFF8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7537"/>
      <w:r>
        <w:rPr>
          <w:rFonts w:hint="eastAsia" w:ascii="黑体" w:hAnsi="黑体" w:eastAsia="黑体" w:cs="黑体"/>
          <w:sz w:val="32"/>
          <w:szCs w:val="32"/>
          <w:lang w:val="en-US" w:eastAsia="zh-CN"/>
        </w:rPr>
        <w:t>一、基本职能及主要工作</w:t>
      </w:r>
      <w:bookmarkEnd w:id="2"/>
    </w:p>
    <w:p w14:paraId="213824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rPr>
      </w:pPr>
      <w:bookmarkStart w:id="3" w:name="_Toc1750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广元市昭化区机关幼儿园</w:t>
      </w:r>
      <w:r>
        <w:rPr>
          <w:rFonts w:hint="eastAsia" w:ascii="楷体_GB2312" w:hAnsi="楷体_GB2312" w:eastAsia="楷体_GB2312" w:cs="楷体_GB2312"/>
          <w:sz w:val="32"/>
          <w:szCs w:val="32"/>
          <w:lang w:val="en-US"/>
        </w:rPr>
        <w:t>职能简介</w:t>
      </w:r>
      <w:bookmarkEnd w:id="3"/>
    </w:p>
    <w:p w14:paraId="39C877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1.对3岁－-6周岁幼儿实施保育和教育，促进幼儿体、智、德、美和谐发展，并为辖区幼儿家长安心工作提供便利条件。　　</w:t>
      </w:r>
    </w:p>
    <w:p w14:paraId="0A06FB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2.根据上级教育部门的要求和幼儿园的实际，制定幼儿园的发展规划、年度计划、教育教学规划、安全保健卫生等计划。　　</w:t>
      </w:r>
    </w:p>
    <w:p w14:paraId="16292D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3.合理使用各项经费，有计划地搞好幼儿园建设。　　</w:t>
      </w:r>
    </w:p>
    <w:p w14:paraId="0520E8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4.督促检查班组教学计划、教学大纲的贯彻实施，组织总结交流教学经验。　　</w:t>
      </w:r>
    </w:p>
    <w:p w14:paraId="322FC1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5.开展教研活动和课题研究，进行教育改革，推广新的幼儿教育训练方案、教材等科研成果，提高教育质量。　　</w:t>
      </w:r>
    </w:p>
    <w:p w14:paraId="03E99B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6.开展多项活动，有计划、有组织地培养提高教师的业务水平和教学能力。　　</w:t>
      </w:r>
    </w:p>
    <w:p w14:paraId="1D40A2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7.负责教育教学、生活设施用品的订购、采购和计划供应工作。　　</w:t>
      </w:r>
    </w:p>
    <w:p w14:paraId="1641B1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8.负责幼儿的体检、卫生保健、安全工作，预防传染病的发生。　　</w:t>
      </w:r>
    </w:p>
    <w:p w14:paraId="36B96F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9.保障幼儿一日三餐饮食的科学营养、合理安排。　　</w:t>
      </w:r>
    </w:p>
    <w:p w14:paraId="355EE6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10.建立家园联系制度，采取适当的形式与家长沟通，研究幼儿教育对策，实现家园共育。</w:t>
      </w:r>
    </w:p>
    <w:p w14:paraId="66D1735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522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7799C5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目标：在2025年，我们将致力于培养孩子们的全面发展，注重智力、情感、社交和身体等多方面的成长。通过创新的教育方法和多样化的教学活动，激发孩子们的学习兴趣和创造力，帮助他们建立自信，培养良好的学习习惯和社交技能。</w:t>
      </w:r>
    </w:p>
    <w:p w14:paraId="531DCE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5" w:name="_Toc7630"/>
      <w:r>
        <w:rPr>
          <w:rFonts w:hint="eastAsia" w:ascii="仿宋_GB2312" w:hAnsi="仿宋_GB2312" w:eastAsia="仿宋_GB2312" w:cs="仿宋_GB2312"/>
          <w:sz w:val="32"/>
          <w:szCs w:val="32"/>
          <w:lang w:val="en-US" w:eastAsia="zh-CN"/>
        </w:rPr>
        <w:t>2.课程设置</w:t>
      </w:r>
      <w:bookmarkEnd w:id="5"/>
      <w:r>
        <w:rPr>
          <w:rFonts w:hint="eastAsia" w:ascii="仿宋_GB2312" w:hAnsi="仿宋_GB2312" w:eastAsia="仿宋_GB2312" w:cs="仿宋_GB2312"/>
          <w:sz w:val="32"/>
          <w:szCs w:val="32"/>
          <w:lang w:val="en-US" w:eastAsia="zh-CN"/>
        </w:rPr>
        <w:t>：根据孩子们的年龄特点和成长需求，我们将优化课程设置，增加互动性和实践性强的教学活动。除了传统的语言、健康和科学课程外，还将增设艺术、音乐、体育等特色课程，以丰富孩子们的学习体验，促进幼儿全面发展</w:t>
      </w:r>
      <w:r>
        <w:commentReference w:id="0"/>
      </w:r>
      <w:r>
        <w:rPr>
          <w:rFonts w:hint="eastAsia" w:ascii="仿宋_GB2312" w:hAnsi="仿宋_GB2312" w:eastAsia="仿宋_GB2312" w:cs="仿宋_GB2312"/>
          <w:sz w:val="32"/>
          <w:szCs w:val="32"/>
          <w:lang w:val="en-US" w:eastAsia="zh-CN"/>
        </w:rPr>
        <w:t>。我们还将引入STEM（科学、技术、工程和数学）教育理念，通过项目式学习，让孩子们在实践中探索科学原理，培养他们的创新思维和解决问题的能力。同时，我们也将注重孩子们的情感教育，设置心理健康教育课程，帮助他们学会情绪管理，建立积极健康的心态。</w:t>
      </w:r>
    </w:p>
    <w:p w14:paraId="5E12EA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仿宋_GB2312" w:hAnsi="仿宋_GB2312" w:eastAsia="仿宋_GB2312" w:cs="仿宋_GB2312"/>
          <w:sz w:val="32"/>
          <w:szCs w:val="32"/>
          <w:lang w:val="en-US" w:eastAsia="zh-CN"/>
        </w:rPr>
      </w:pPr>
      <w:bookmarkStart w:id="6" w:name="_Toc32081"/>
      <w:r>
        <w:rPr>
          <w:rFonts w:hint="eastAsia" w:ascii="仿宋_GB2312" w:hAnsi="仿宋_GB2312" w:eastAsia="仿宋_GB2312" w:cs="仿宋_GB2312"/>
          <w:sz w:val="32"/>
          <w:szCs w:val="32"/>
          <w:lang w:val="en-US" w:eastAsia="zh-CN"/>
        </w:rPr>
        <w:t>3.师资培训</w:t>
      </w:r>
      <w:bookmarkEnd w:id="6"/>
      <w:r>
        <w:rPr>
          <w:rFonts w:hint="eastAsia" w:ascii="仿宋_GB2312" w:hAnsi="仿宋_GB2312" w:eastAsia="仿宋_GB2312" w:cs="仿宋_GB2312"/>
          <w:sz w:val="32"/>
          <w:szCs w:val="32"/>
          <w:lang w:val="en-US" w:eastAsia="zh-CN"/>
        </w:rPr>
        <w:t>：教师队伍是幼儿园教育质量的关键。在2025年，我们将加大对教师的培训力度，提升他们的专业素养和教学能力。通过定期的专业培训、教学研讨和经验分享活动，帮助教师不断更新教育理念，掌握先进的教学方法，为孩子们提供更优质的教育服务。一是开展园本培训；二是积极参加省、市、区培训，提升教职工专业素养；三是鼓励教师自我提升，支持他们参加各类进修课程和研讨交流活动，拓宽视野，提升专业水平；四是建立教师成长档案，记录每位教师的培训经历、教学成果和个人发展规划，为他们的职业发展提供有力支持。通过这些措施，我们旨在打造一支高素质、专业化的教师队伍，为孩子们的成长创造更加优越的教育环境。</w:t>
      </w:r>
    </w:p>
    <w:p w14:paraId="28A001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7" w:name="_Toc29447"/>
      <w:r>
        <w:rPr>
          <w:rFonts w:hint="eastAsia" w:ascii="仿宋_GB2312" w:hAnsi="仿宋_GB2312" w:eastAsia="仿宋_GB2312" w:cs="仿宋_GB2312"/>
          <w:sz w:val="32"/>
          <w:szCs w:val="32"/>
          <w:lang w:val="en-US" w:eastAsia="zh-CN"/>
        </w:rPr>
        <w:t>4.家园共育</w:t>
      </w:r>
      <w:bookmarkEnd w:id="7"/>
      <w:r>
        <w:rPr>
          <w:rFonts w:hint="eastAsia" w:ascii="仿宋_GB2312" w:hAnsi="仿宋_GB2312" w:eastAsia="仿宋_GB2312" w:cs="仿宋_GB2312"/>
          <w:sz w:val="32"/>
          <w:szCs w:val="32"/>
          <w:lang w:val="en-US" w:eastAsia="zh-CN"/>
        </w:rPr>
        <w:t>：在幼儿园，我们深知家庭与幼儿园是孩子成长的重要环境。因此，我们将积极推动幼儿园家园共育，加强家庭与幼儿园之间的沟通与合作，共同为孩子们的成长营造良好的氛围。积极开展课题研究，力争省级课题结题。定期组织家长会、亲子活动等，让家长了解孩子在幼儿园的学习和生活情况，同时听取家长的意见和建议，不断改进教育工作，此外，我们还将建立家园联系手册，记录孩子们在园内的成长点滴，并与家长分享育儿知识和经验，帮助家长更好地理解和支持孩子的成长。</w:t>
      </w:r>
    </w:p>
    <w:p w14:paraId="6E68EF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pPr>
      <w:bookmarkStart w:id="8" w:name="_Toc32472"/>
      <w:r>
        <w:rPr>
          <w:rFonts w:hint="eastAsia" w:ascii="仿宋_GB2312" w:hAnsi="仿宋_GB2312" w:eastAsia="仿宋_GB2312" w:cs="仿宋_GB2312"/>
          <w:sz w:val="32"/>
          <w:szCs w:val="32"/>
          <w:lang w:val="en-US" w:eastAsia="zh-CN"/>
        </w:rPr>
        <w:t>5.园务管理</w:t>
      </w:r>
      <w:bookmarkEnd w:id="8"/>
      <w:r>
        <w:rPr>
          <w:rFonts w:hint="eastAsia" w:ascii="仿宋_GB2312" w:hAnsi="仿宋_GB2312" w:eastAsia="仿宋_GB2312" w:cs="仿宋_GB2312"/>
          <w:sz w:val="32"/>
          <w:szCs w:val="32"/>
          <w:lang w:val="en-US" w:eastAsia="zh-CN"/>
        </w:rPr>
        <w:t>：园务管理是幼儿园日常运营的重要组成部分，它涵盖了幼儿园的行政管理、财务管理、安全管理等多个方面。为了确保幼儿园的各项工作有序进行，我们将制定严格的园务管理制度，明确各级管理人员的职责和权限，确保每一项工作都有人负责，有人监督。同时，我们还将加强幼儿园的财务管理，做到账目清晰，资金安全。在安全管理方面，我们将定期进行安全检查，及时排除安全隐患，确保孩子们在园内的安全，此外，我们还将注重幼儿园的卫生保健工作，为孩子们提供一个干净、整洁、健康的学习和生活环境</w:t>
      </w:r>
      <w:bookmarkStart w:id="9" w:name="_Toc22393"/>
      <w:r>
        <w:rPr>
          <w:rFonts w:hint="eastAsia" w:ascii="仿宋_GB2312" w:hAnsi="仿宋_GB2312" w:eastAsia="仿宋_GB2312" w:cs="仿宋_GB2312"/>
          <w:sz w:val="32"/>
          <w:szCs w:val="32"/>
          <w:lang w:val="en-US" w:eastAsia="zh-CN"/>
        </w:rPr>
        <w:t>。</w:t>
      </w:r>
    </w:p>
    <w:p w14:paraId="1B072B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bookmarkEnd w:id="9"/>
    </w:p>
    <w:p w14:paraId="0973B6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我单位为广元市昭化区教育局的下属二级预算单位，属于公益二类事业单位，无下属机构。</w:t>
      </w:r>
    </w:p>
    <w:p w14:paraId="53D8C2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20618"/>
      <w:r>
        <w:rPr>
          <w:rFonts w:hint="eastAsia" w:ascii="黑体" w:hAnsi="黑体" w:eastAsia="黑体" w:cs="黑体"/>
          <w:sz w:val="32"/>
          <w:szCs w:val="32"/>
          <w:lang w:val="en-US" w:eastAsia="zh-CN"/>
        </w:rPr>
        <w:t>三、收支预算情况说明</w:t>
      </w:r>
      <w:bookmarkEnd w:id="10"/>
    </w:p>
    <w:p w14:paraId="7FC219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机关幼儿园所有收入和支出均纳入部门预算管理。收入包括：一般公共预算拨款收入；支出包括：教育支出。机关幼儿园2025年收支预算总数672.6万元，比2024年收支预算总数减少38.84万元，主要原因是基本支出和项目支出减少。</w:t>
      </w:r>
    </w:p>
    <w:p w14:paraId="017A51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4060"/>
      <w:r>
        <w:rPr>
          <w:rFonts w:hint="eastAsia" w:ascii="楷体_GB2312" w:hAnsi="楷体_GB2312" w:eastAsia="楷体_GB2312" w:cs="楷体_GB2312"/>
          <w:sz w:val="32"/>
          <w:szCs w:val="32"/>
          <w:lang w:val="en-US" w:eastAsia="zh-CN"/>
        </w:rPr>
        <w:t>（一）收入预算情况</w:t>
      </w:r>
      <w:bookmarkEnd w:id="11"/>
    </w:p>
    <w:p w14:paraId="24B6EF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机关幼儿园2025年收入预算672.6万元，其中，一般公共预算拨款收入672.6万元，占100%。</w:t>
      </w:r>
    </w:p>
    <w:p w14:paraId="7B1C5C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6311"/>
      <w:r>
        <w:rPr>
          <w:rFonts w:hint="eastAsia" w:ascii="楷体_GB2312" w:hAnsi="楷体_GB2312" w:eastAsia="楷体_GB2312" w:cs="楷体_GB2312"/>
          <w:sz w:val="32"/>
          <w:szCs w:val="32"/>
          <w:lang w:val="en-US" w:eastAsia="zh-CN"/>
        </w:rPr>
        <w:t>（二）支出预算情况</w:t>
      </w:r>
      <w:bookmarkEnd w:id="12"/>
    </w:p>
    <w:p w14:paraId="3991B9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机关幼儿园2025年支出预算672.6万元，其中：基本支出443.98万元，占66%；项目支出228.62万元，占34%</w:t>
      </w:r>
      <w:r>
        <w:rPr>
          <w:rFonts w:hint="eastAsia" w:ascii="仿宋_GB2312" w:hAnsi="仿宋_GB2312" w:eastAsia="仿宋_GB2312" w:cs="仿宋_GB2312"/>
          <w:b w:val="0"/>
          <w:bCs w:val="0"/>
          <w:sz w:val="32"/>
          <w:szCs w:val="32"/>
          <w:lang w:val="en-US" w:eastAsia="zh-CN"/>
        </w:rPr>
        <w:t>。</w:t>
      </w:r>
    </w:p>
    <w:p w14:paraId="3F8C06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8046"/>
      <w:r>
        <w:rPr>
          <w:rFonts w:hint="eastAsia" w:ascii="黑体" w:hAnsi="黑体" w:eastAsia="黑体" w:cs="黑体"/>
          <w:sz w:val="32"/>
          <w:szCs w:val="32"/>
          <w:lang w:val="en-US" w:eastAsia="zh-CN"/>
        </w:rPr>
        <w:t>四、财政拨款收支预算情况说明</w:t>
      </w:r>
      <w:bookmarkEnd w:id="13"/>
    </w:p>
    <w:p w14:paraId="3811FE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机关幼儿园2025年财政拨款收支预算总数672.6万元，比2024年财政拨款收支预算总数减少38.84万元，主要原因是基本支出和项目支出减少。</w:t>
      </w:r>
    </w:p>
    <w:p w14:paraId="1F4EC7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收入包括：本年一般公共预算拨款收入672.6万元；支出包括：教育支出672.6万元。</w:t>
      </w:r>
    </w:p>
    <w:p w14:paraId="17C81B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18483"/>
      <w:r>
        <w:rPr>
          <w:rFonts w:hint="eastAsia" w:ascii="黑体" w:hAnsi="黑体" w:eastAsia="黑体" w:cs="黑体"/>
          <w:sz w:val="32"/>
          <w:szCs w:val="32"/>
          <w:lang w:val="en-US" w:eastAsia="zh-CN"/>
        </w:rPr>
        <w:t>五、一般公共预算当年拨款情况说明</w:t>
      </w:r>
      <w:bookmarkEnd w:id="14"/>
    </w:p>
    <w:p w14:paraId="04BF56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5016"/>
      <w:r>
        <w:rPr>
          <w:rFonts w:hint="eastAsia" w:ascii="楷体_GB2312" w:hAnsi="楷体_GB2312" w:eastAsia="楷体_GB2312" w:cs="楷体_GB2312"/>
          <w:sz w:val="32"/>
          <w:szCs w:val="32"/>
          <w:lang w:val="en-US" w:eastAsia="zh-CN"/>
        </w:rPr>
        <w:t>（一）一般公共预算当年拨款规模变化情况</w:t>
      </w:r>
      <w:bookmarkEnd w:id="15"/>
    </w:p>
    <w:p w14:paraId="2D199C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机关幼儿园2025年一般公共预算当年拨款672.6万元，比2024年预算数减少38.84万元，主要原因是基本支出和项目支出减少。</w:t>
      </w:r>
    </w:p>
    <w:p w14:paraId="7B7396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8423"/>
      <w:r>
        <w:rPr>
          <w:rFonts w:hint="eastAsia" w:ascii="楷体_GB2312" w:hAnsi="楷体_GB2312" w:eastAsia="楷体_GB2312" w:cs="楷体_GB2312"/>
          <w:sz w:val="32"/>
          <w:szCs w:val="32"/>
          <w:lang w:val="en-US" w:eastAsia="zh-CN"/>
        </w:rPr>
        <w:t>（二）一般公共预算当年拨款结构情况</w:t>
      </w:r>
      <w:bookmarkEnd w:id="16"/>
    </w:p>
    <w:p w14:paraId="5324F2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教育支出672.6万元，占100%。</w:t>
      </w:r>
    </w:p>
    <w:p w14:paraId="2D389A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28706"/>
      <w:r>
        <w:rPr>
          <w:rFonts w:hint="eastAsia" w:ascii="楷体_GB2312" w:hAnsi="楷体_GB2312" w:eastAsia="楷体_GB2312" w:cs="楷体_GB2312"/>
          <w:sz w:val="32"/>
          <w:szCs w:val="32"/>
          <w:lang w:val="en-US" w:eastAsia="zh-CN"/>
        </w:rPr>
        <w:t>（三）一般公共预算当年拨款具体使用情况</w:t>
      </w:r>
      <w:bookmarkEnd w:id="17"/>
    </w:p>
    <w:p w14:paraId="5CCE93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学前教育（项）2025年预算数为672.6万元，主要用于：学前教育机构的基本支出，包括基本工资、津贴补贴、基础绩效奖等人员经费以及机构运行所需的办公费、印刷费、维修（护）费、工会经费等运行补助经费。</w:t>
      </w:r>
    </w:p>
    <w:p w14:paraId="2B242F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9706"/>
      <w:r>
        <w:rPr>
          <w:rFonts w:hint="eastAsia" w:ascii="黑体" w:hAnsi="黑体" w:eastAsia="黑体" w:cs="黑体"/>
          <w:sz w:val="32"/>
          <w:szCs w:val="32"/>
          <w:lang w:val="en-US" w:eastAsia="zh-CN"/>
        </w:rPr>
        <w:t>六、一般公共预算基本支出情况说明</w:t>
      </w:r>
      <w:bookmarkEnd w:id="18"/>
    </w:p>
    <w:p w14:paraId="1DD403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机关幼儿园2025年一般公共预算基本支出672.6万元，其中：</w:t>
      </w:r>
    </w:p>
    <w:p w14:paraId="33F42F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人员经费443.98万元，主要包括：基本工资、津贴补贴、奖金、绩效工资、社会保险缴费、离休费、住房公积金、生活补助、奖励金等支出。</w:t>
      </w:r>
    </w:p>
    <w:p w14:paraId="2E6CE5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公用经费228.62万元，主要包括：办公费、水费、电费、差旅费、劳务费、工会经费等支出。</w:t>
      </w:r>
    </w:p>
    <w:p w14:paraId="75C430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752"/>
      <w:r>
        <w:rPr>
          <w:rFonts w:hint="eastAsia" w:ascii="黑体" w:hAnsi="黑体" w:eastAsia="黑体" w:cs="黑体"/>
          <w:sz w:val="32"/>
          <w:szCs w:val="32"/>
          <w:lang w:val="en-US" w:eastAsia="zh-CN"/>
        </w:rPr>
        <w:t>七、“三公”经费财政拨款预算安排情况说明</w:t>
      </w:r>
      <w:bookmarkEnd w:id="19"/>
    </w:p>
    <w:p w14:paraId="5161F2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机关幼儿园2025年“三公”经费财政拨款预算数0万元，其中：公务接待费0万元，公务用车购置及运行维护费0万元，因公出国（境）经费0万元。</w:t>
      </w:r>
    </w:p>
    <w:p w14:paraId="192635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4016"/>
      <w:r>
        <w:rPr>
          <w:rFonts w:hint="eastAsia" w:ascii="楷体_GB2312" w:hAnsi="楷体_GB2312" w:eastAsia="楷体_GB2312" w:cs="楷体_GB2312"/>
          <w:sz w:val="32"/>
          <w:szCs w:val="32"/>
          <w:lang w:val="en-US" w:eastAsia="zh-CN"/>
        </w:rPr>
        <w:t>（一）公务接待费</w:t>
      </w:r>
      <w:bookmarkEnd w:id="20"/>
    </w:p>
    <w:p w14:paraId="574234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354D9B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330D3AAF">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5195"/>
      <w:r>
        <w:rPr>
          <w:rFonts w:hint="eastAsia" w:ascii="楷体_GB2312" w:hAnsi="楷体_GB2312" w:eastAsia="楷体_GB2312" w:cs="楷体_GB2312"/>
          <w:sz w:val="32"/>
          <w:szCs w:val="32"/>
          <w:lang w:val="en-US" w:eastAsia="zh-CN"/>
        </w:rPr>
        <w:t>公务用车购置及运行维护费</w:t>
      </w:r>
      <w:bookmarkEnd w:id="21"/>
    </w:p>
    <w:p w14:paraId="0E6BB28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4A2846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093DF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068EFF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11389EC">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2" w:name="_Toc2904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2"/>
    </w:p>
    <w:p w14:paraId="07AA00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4347DA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448"/>
      <w:r>
        <w:rPr>
          <w:rFonts w:hint="eastAsia" w:ascii="黑体" w:hAnsi="黑体" w:eastAsia="黑体" w:cs="黑体"/>
          <w:sz w:val="32"/>
          <w:szCs w:val="32"/>
          <w:lang w:val="en-US" w:eastAsia="zh-CN"/>
        </w:rPr>
        <w:t>八、政府性基金预算支出情况说明</w:t>
      </w:r>
      <w:bookmarkEnd w:id="23"/>
    </w:p>
    <w:p w14:paraId="2A4694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机关幼儿园2025年无政府性基金预算拨款安排的支出。</w:t>
      </w:r>
    </w:p>
    <w:p w14:paraId="6C2797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32359"/>
      <w:r>
        <w:rPr>
          <w:rFonts w:hint="eastAsia" w:ascii="黑体" w:hAnsi="黑体" w:eastAsia="黑体" w:cs="黑体"/>
          <w:sz w:val="32"/>
          <w:szCs w:val="32"/>
          <w:lang w:val="en-US" w:eastAsia="zh-CN"/>
        </w:rPr>
        <w:t>九、国有资本经营预算支出情况说明</w:t>
      </w:r>
      <w:bookmarkEnd w:id="24"/>
    </w:p>
    <w:p w14:paraId="4A3256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机关幼儿园2025年无国有资本经营预算拨款安排的支出。</w:t>
      </w:r>
    </w:p>
    <w:p w14:paraId="250B9C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3742"/>
      <w:r>
        <w:rPr>
          <w:rFonts w:hint="eastAsia" w:ascii="黑体" w:hAnsi="黑体" w:eastAsia="黑体" w:cs="黑体"/>
          <w:sz w:val="32"/>
          <w:szCs w:val="32"/>
          <w:lang w:val="en-US" w:eastAsia="zh-CN"/>
        </w:rPr>
        <w:t>十、其他重要事项的情况说明</w:t>
      </w:r>
      <w:bookmarkEnd w:id="25"/>
    </w:p>
    <w:p w14:paraId="35323C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24231"/>
      <w:r>
        <w:rPr>
          <w:rFonts w:hint="eastAsia" w:ascii="楷体_GB2312" w:hAnsi="楷体_GB2312" w:eastAsia="楷体_GB2312" w:cs="楷体_GB2312"/>
          <w:sz w:val="32"/>
          <w:szCs w:val="32"/>
          <w:lang w:val="en-US" w:eastAsia="zh-CN"/>
        </w:rPr>
        <w:t>（一）机关运行经费</w:t>
      </w:r>
      <w:bookmarkEnd w:id="26"/>
    </w:p>
    <w:p w14:paraId="768666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2025年，本单位属公益二类事业单位，无机关运行经费。</w:t>
      </w:r>
    </w:p>
    <w:p w14:paraId="471697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29423"/>
      <w:r>
        <w:rPr>
          <w:rFonts w:hint="eastAsia" w:ascii="楷体_GB2312" w:hAnsi="楷体_GB2312" w:eastAsia="楷体_GB2312" w:cs="楷体_GB2312"/>
          <w:sz w:val="32"/>
          <w:szCs w:val="32"/>
          <w:lang w:val="en-US" w:eastAsia="zh-CN"/>
        </w:rPr>
        <w:t>（二）政府采购情况</w:t>
      </w:r>
      <w:bookmarkEnd w:id="27"/>
    </w:p>
    <w:p w14:paraId="02E257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2025年，机关幼儿园未安排政府采购。</w:t>
      </w:r>
    </w:p>
    <w:p w14:paraId="77ACDA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21916"/>
      <w:r>
        <w:rPr>
          <w:rFonts w:hint="eastAsia" w:ascii="楷体_GB2312" w:hAnsi="楷体_GB2312" w:eastAsia="楷体_GB2312" w:cs="楷体_GB2312"/>
          <w:sz w:val="32"/>
          <w:szCs w:val="32"/>
          <w:lang w:val="en-US" w:eastAsia="zh-CN"/>
        </w:rPr>
        <w:t>（三）国有资产占有使用情况</w:t>
      </w:r>
      <w:bookmarkEnd w:id="28"/>
    </w:p>
    <w:p w14:paraId="6D8D38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截至2024年底，机关幼儿园共有车辆0辆。单位无价值200万元以上大型设备。</w:t>
      </w:r>
    </w:p>
    <w:p w14:paraId="30A99A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2025年部门预算未安排车辆购置经费及大型设备购置经费。</w:t>
      </w:r>
    </w:p>
    <w:p w14:paraId="081D75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9" w:name="_Toc2292"/>
      <w:r>
        <w:rPr>
          <w:rFonts w:hint="eastAsia" w:ascii="楷体_GB2312" w:hAnsi="楷体_GB2312" w:eastAsia="楷体_GB2312" w:cs="楷体_GB2312"/>
          <w:sz w:val="32"/>
          <w:szCs w:val="32"/>
          <w:lang w:val="en-US" w:eastAsia="zh-CN"/>
        </w:rPr>
        <w:t>（四）绩效目标设置情况</w:t>
      </w:r>
      <w:bookmarkEnd w:id="29"/>
    </w:p>
    <w:p w14:paraId="3E68EA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机关幼儿园开展绩效目标管理的项目12个，涉及预算672.6万元。其中：人员类项目10个，涉及预算443.98万元；运转类项目2个，涉及预算228.62万元；特定目标类项目0个，涉及预算0万元。因部分项目内容涉密，不予公开。</w:t>
      </w:r>
    </w:p>
    <w:p w14:paraId="2F10B2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28415"/>
      <w:r>
        <w:rPr>
          <w:rFonts w:hint="eastAsia" w:ascii="黑体" w:hAnsi="黑体" w:eastAsia="黑体" w:cs="黑体"/>
          <w:sz w:val="32"/>
          <w:szCs w:val="32"/>
          <w:lang w:val="en-US" w:eastAsia="zh-CN"/>
        </w:rPr>
        <w:t>十一、名词解释</w:t>
      </w:r>
      <w:bookmarkEnd w:id="30"/>
    </w:p>
    <w:p w14:paraId="370272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4B4C15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5E9918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p>
    <w:p w14:paraId="7F1DC1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仿宋_GB2312" w:hAnsi="仿宋_GB2312" w:eastAsia="仿宋_GB2312" w:cs="仿宋_GB2312"/>
          <w:sz w:val="32"/>
          <w:szCs w:val="32"/>
          <w:lang w:val="en-US" w:eastAsia="zh-CN"/>
        </w:rPr>
        <w:t>教育</w:t>
      </w:r>
      <w:r>
        <w:rPr>
          <w:rFonts w:hint="eastAsia" w:ascii="楷体_GB2312" w:hAnsi="楷体_GB2312" w:eastAsia="楷体_GB2312" w:cs="楷体_GB2312"/>
          <w:sz w:val="32"/>
          <w:szCs w:val="32"/>
          <w:lang w:val="en-US" w:eastAsia="zh-CN"/>
        </w:rPr>
        <w:t>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　　</w:t>
      </w:r>
    </w:p>
    <w:p w14:paraId="6FBCC2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p>
    <w:p w14:paraId="00402C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6D2C2F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01DF9B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2FD0D2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2E49FD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5B9DDC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01B21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409CEA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A4EAD99">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1" w:name="_Toc17941"/>
      <w:bookmarkStart w:id="32" w:name="_Toc23952"/>
      <w:r>
        <w:rPr>
          <w:rFonts w:hint="eastAsia" w:ascii="仿宋_GB2312" w:hAnsi="仿宋_GB2312" w:eastAsia="仿宋_GB2312" w:cs="仿宋_GB2312"/>
          <w:sz w:val="32"/>
          <w:szCs w:val="32"/>
          <w:lang w:val="en-US" w:eastAsia="zh-CN"/>
        </w:rPr>
        <w:t>单位预算项目绩效目标表</w:t>
      </w:r>
      <w:bookmarkEnd w:id="31"/>
      <w:bookmarkEnd w:id="32"/>
    </w:p>
    <w:p w14:paraId="46BA916A">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30Z" w:initials="UC">
    <w:p w14:paraId="00989682">
      <w:r>
        <w:rPr>
          <w:color w:val="FF0000"/>
        </w:rPr>
        <w:t>错敏词:</w:t>
      </w:r>
      <w:r>
        <w:t>促进他们的全面发展</w:t>
      </w:r>
    </w:p>
    <w:p w14:paraId="00989683">
      <w:r>
        <w:rPr>
          <w:color w:val="FF0000"/>
        </w:rPr>
        <w:t>推荐修改:</w:t>
      </w:r>
      <w:r>
        <w:t>促进人的全面发展</w:t>
      </w:r>
    </w:p>
    <w:p w14:paraId="00989684">
      <w:r>
        <w:rPr>
          <w:color w:val="FF0000"/>
        </w:rPr>
        <w:t>问题类型:</w:t>
      </w:r>
      <w:r>
        <w:t>专用表述错误</w:t>
      </w:r>
    </w:p>
    <w:p w14:paraId="00989685">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7D5E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8BECAA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3hig5/gEAAAAEAAAOAAAAAAAAAAEAIAAAAB8BAABkcnMvZTJvRG9jLnht&#10;bFBLBQYAAAAABgAGAFkBAACPBQAAAAA=&#10;">
              <v:fill on="f" focussize="0,0"/>
              <v:stroke on="f"/>
              <v:imagedata o:title=""/>
              <o:lock v:ext="edit" aspectratio="f"/>
              <v:textbox inset="0mm,0mm,0mm,0mm" style="mso-fit-shape-to-text:t;">
                <w:txbxContent>
                  <w:p w14:paraId="48BECAA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ED349"/>
    <w:multiLevelType w:val="singleLevel"/>
    <w:tmpl w:val="275ED349"/>
    <w:lvl w:ilvl="0" w:tentative="0">
      <w:start w:val="2"/>
      <w:numFmt w:val="chineseCounting"/>
      <w:suff w:val="nothing"/>
      <w:lvlText w:val="（%1）"/>
      <w:lvlJc w:val="left"/>
      <w:rPr>
        <w:rFonts w:hint="eastAsia"/>
      </w:rPr>
    </w:lvl>
  </w:abstractNum>
  <w:abstractNum w:abstractNumId="1">
    <w:nsid w:val="7229EE49"/>
    <w:multiLevelType w:val="singleLevel"/>
    <w:tmpl w:val="7229EE49"/>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316"/>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0NWY2YWQyZTMxM2NiYTYwMjcyZWNiNDg2NTk2MzYifQ=="/>
  </w:docVars>
  <w:rsids>
    <w:rsidRoot w:val="00000000"/>
    <w:rsid w:val="3AB311D3"/>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link w:val="18"/>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link w:val="19"/>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character" w:customStyle="1" w:styleId="18">
    <w:name w:val="正文文本 Char"/>
    <w:link w:val="3"/>
    <w:qFormat/>
    <w:uiPriority w:val="0"/>
  </w:style>
  <w:style w:type="character" w:customStyle="1" w:styleId="19">
    <w:name w:val="目录 1 Char"/>
    <w:link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3991</Words>
  <Characters>4203</Characters>
  <TotalTime>5</TotalTime>
  <ScaleCrop>false</ScaleCrop>
  <LinksUpToDate>false</LinksUpToDate>
  <CharactersWithSpaces>4284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2025-02-15T05:48:22Z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