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2F2D1A">
      <w:pPr>
        <w:widowControl/>
        <w:shd w:val="clear" w:color="auto" w:fill="FFFFFF"/>
        <w:spacing w:line="580" w:lineRule="atLeast"/>
        <w:jc w:val="center"/>
        <w:outlineLvl w:val="0"/>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0" w:name="_Toc30248"/>
      <w: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14:textFill>
            <w14:solidFill>
              <w14:schemeClr w14:val="tx1"/>
            </w14:solidFill>
          </w14:textFill>
        </w:rPr>
        <w:t>广元市昭化区红岩镇沙坝小学</w:t>
      </w:r>
      <w:bookmarkEnd w:id="0"/>
    </w:p>
    <w:p w14:paraId="1FB77549">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t>202</w:t>
      </w:r>
      <w: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14:textFill>
            <w14:solidFill>
              <w14:schemeClr w14:val="tx1"/>
            </w14:solidFill>
          </w14:textFill>
        </w:rPr>
        <w:t>5</w:t>
      </w:r>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t>年</w:t>
      </w:r>
      <w: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14:textFill>
            <w14:solidFill>
              <w14:schemeClr w14:val="tx1"/>
            </w14:solidFill>
          </w14:textFill>
        </w:rPr>
        <w:t>单位</w:t>
      </w:r>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t>预算编制说明</w:t>
      </w:r>
    </w:p>
    <w:p w14:paraId="4AC43F98">
      <w:pPr>
        <w:jc w:val="center"/>
        <w:rPr>
          <w:rFonts w:ascii="黑体" w:hAnsi="黑体" w:eastAsia="黑体" w:cs="黑体"/>
          <w:b/>
          <w:bCs/>
          <w:color w:val="000000" w:themeColor="text1"/>
          <w:kern w:val="0"/>
          <w:sz w:val="32"/>
          <w:szCs w:val="32"/>
          <w:shd w:val="clear" w:color="auto" w:fill="FFFFFF"/>
          <w14:textFill>
            <w14:solidFill>
              <w14:schemeClr w14:val="tx1"/>
            </w14:solidFill>
          </w14:textFill>
        </w:rPr>
      </w:pPr>
      <w:r>
        <w:rPr>
          <w:rFonts w:hint="eastAsia" w:ascii="黑体" w:hAnsi="黑体" w:eastAsia="黑体" w:cs="黑体"/>
          <w:color w:val="000000" w:themeColor="text1"/>
          <w:kern w:val="0"/>
          <w:sz w:val="32"/>
          <w:szCs w:val="32"/>
          <w:shd w:val="clear" w:color="auto" w:fill="FFFFFF"/>
          <w14:textFill>
            <w14:solidFill>
              <w14:schemeClr w14:val="tx1"/>
            </w14:solidFill>
          </w14:textFill>
        </w:rPr>
        <w:t>目   录</w:t>
      </w:r>
    </w:p>
    <w:sdt>
      <w:sdtPr>
        <w:rPr>
          <w:rFonts w:ascii="宋体" w:hAnsi="宋体" w:eastAsia="宋体" w:cs="Times New Roman"/>
          <w:kern w:val="2"/>
          <w:sz w:val="21"/>
          <w:szCs w:val="24"/>
          <w:lang w:val="en-US" w:eastAsia="zh-CN" w:bidi="ar-SA"/>
        </w:rPr>
        <w:id w:val="147467448"/>
        <w:docPartObj>
          <w:docPartGallery w:val="Table of Contents"/>
          <w:docPartUnique/>
        </w:docPartObj>
      </w:sdtPr>
      <w:sdtEndPr>
        <w:rPr>
          <w:rFonts w:hint="eastAsia" w:ascii="仿宋" w:hAnsi="仿宋" w:eastAsia="仿宋" w:cs="仿宋"/>
          <w:b/>
          <w:kern w:val="2"/>
          <w:sz w:val="32"/>
          <w:szCs w:val="32"/>
          <w:lang w:val="en-US" w:eastAsia="zh-CN" w:bidi="ar-SA"/>
        </w:rPr>
      </w:sdtEndPr>
      <w:sdtContent>
        <w:p w14:paraId="79D9124D">
          <w:pPr>
            <w:spacing w:before="0" w:beforeLines="0" w:after="0" w:afterLines="0" w:line="240" w:lineRule="auto"/>
            <w:ind w:left="0" w:leftChars="0" w:right="0" w:rightChars="0" w:firstLine="0" w:firstLineChars="0"/>
            <w:jc w:val="center"/>
          </w:pPr>
          <w:bookmarkStart w:id="29" w:name="_GoBack"/>
          <w:bookmarkEnd w:id="29"/>
        </w:p>
        <w:p w14:paraId="416B3552">
          <w:pPr>
            <w:pStyle w:val="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w:instrText>
          </w:r>
          <w:r>
            <w:rPr>
              <w:rFonts w:hint="eastAsia" w:ascii="仿宋" w:hAnsi="仿宋" w:eastAsia="仿宋" w:cs="仿宋"/>
              <w:sz w:val="32"/>
              <w:szCs w:val="32"/>
            </w:rPr>
            <w:fldChar w:fldCharType="separate"/>
          </w:r>
        </w:p>
        <w:p w14:paraId="1CEC09F3">
          <w:pPr>
            <w:pStyle w:val="7"/>
            <w:tabs>
              <w:tab w:val="right" w:leader="dot" w:pos="8845"/>
            </w:tabs>
            <w:rPr>
              <w:rFonts w:hint="eastAsia" w:ascii="仿宋" w:hAnsi="仿宋" w:eastAsia="仿宋" w:cs="仿宋"/>
              <w:sz w:val="32"/>
              <w:szCs w:val="32"/>
            </w:rPr>
          </w:pPr>
          <w:r>
            <w:fldChar w:fldCharType="begin"/>
          </w:r>
          <w:r>
            <w:instrText xml:space="preserve"> HYPERLINK \l "_Toc32209" </w:instrText>
          </w:r>
          <w:r>
            <w:fldChar w:fldCharType="separate"/>
          </w:r>
          <w:r>
            <w:rPr>
              <w:rFonts w:hint="eastAsia" w:ascii="仿宋" w:hAnsi="仿宋" w:eastAsia="仿宋" w:cs="仿宋"/>
              <w:sz w:val="32"/>
              <w:szCs w:val="32"/>
            </w:rPr>
            <w:t>一、基本职能及主要工作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_Toc32209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EFC5D5F">
          <w:pPr>
            <w:pStyle w:val="9"/>
            <w:tabs>
              <w:tab w:val="right" w:leader="dot" w:pos="8845"/>
            </w:tabs>
            <w:rPr>
              <w:rFonts w:hint="eastAsia" w:ascii="仿宋" w:hAnsi="仿宋" w:eastAsia="仿宋" w:cs="仿宋"/>
              <w:sz w:val="32"/>
              <w:szCs w:val="32"/>
            </w:rPr>
          </w:pPr>
          <w:r>
            <w:fldChar w:fldCharType="begin"/>
          </w:r>
          <w:r>
            <w:instrText xml:space="preserve"> HYPERLINK \l "_Toc18024" </w:instrText>
          </w:r>
          <w: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_Toc18024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FE94261">
          <w:pPr>
            <w:pStyle w:val="9"/>
            <w:tabs>
              <w:tab w:val="right" w:leader="dot" w:pos="8845"/>
            </w:tabs>
            <w:rPr>
              <w:rFonts w:hint="eastAsia" w:ascii="仿宋" w:hAnsi="仿宋" w:eastAsia="仿宋" w:cs="仿宋"/>
              <w:sz w:val="32"/>
              <w:szCs w:val="32"/>
            </w:rPr>
          </w:pPr>
          <w:r>
            <w:fldChar w:fldCharType="begin"/>
          </w:r>
          <w:r>
            <w:instrText xml:space="preserve"> HYPERLINK \l "_Toc29022" </w:instrText>
          </w:r>
          <w:r>
            <w:fldChar w:fldCharType="separate"/>
          </w:r>
          <w:r>
            <w:rPr>
              <w:rFonts w:hint="eastAsia" w:ascii="仿宋" w:hAnsi="仿宋" w:eastAsia="仿宋" w:cs="仿宋"/>
              <w:bCs/>
              <w:sz w:val="32"/>
              <w:szCs w:val="32"/>
            </w:rPr>
            <w:t>（二）202</w:t>
          </w:r>
          <w:r>
            <w:rPr>
              <w:rFonts w:hint="eastAsia" w:ascii="仿宋" w:hAnsi="仿宋" w:eastAsia="仿宋" w:cs="仿宋"/>
              <w:bCs/>
              <w:sz w:val="32"/>
              <w:szCs w:val="32"/>
              <w:lang w:val="en-US" w:eastAsia="zh-CN"/>
            </w:rPr>
            <w:t>5</w:t>
          </w:r>
          <w:r>
            <w:rPr>
              <w:rFonts w:hint="eastAsia" w:ascii="仿宋" w:hAnsi="仿宋" w:eastAsia="仿宋" w:cs="仿宋"/>
              <w:bCs/>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_Toc29022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7390A4C">
          <w:pPr>
            <w:pStyle w:val="7"/>
            <w:tabs>
              <w:tab w:val="right" w:leader="dot" w:pos="8845"/>
            </w:tabs>
            <w:rPr>
              <w:rFonts w:hint="eastAsia" w:ascii="仿宋" w:hAnsi="仿宋" w:eastAsia="仿宋" w:cs="仿宋"/>
              <w:sz w:val="32"/>
              <w:szCs w:val="32"/>
            </w:rPr>
          </w:pPr>
          <w:r>
            <w:fldChar w:fldCharType="begin"/>
          </w:r>
          <w:r>
            <w:instrText xml:space="preserve"> HYPERLINK \l "_Toc14335" </w:instrText>
          </w:r>
          <w:r>
            <w:fldChar w:fldCharType="separate"/>
          </w:r>
          <w:r>
            <w:rPr>
              <w:rFonts w:hint="eastAsia" w:ascii="仿宋" w:hAnsi="仿宋" w:eastAsia="仿宋" w:cs="仿宋"/>
              <w:sz w:val="32"/>
              <w:szCs w:val="32"/>
            </w:rPr>
            <w:t>二、部门预算单位构成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_Toc14335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5A43F7D">
          <w:pPr>
            <w:pStyle w:val="7"/>
            <w:tabs>
              <w:tab w:val="right" w:leader="dot" w:pos="8845"/>
            </w:tabs>
            <w:rPr>
              <w:rFonts w:hint="eastAsia" w:ascii="仿宋" w:hAnsi="仿宋" w:eastAsia="仿宋" w:cs="仿宋"/>
              <w:sz w:val="32"/>
              <w:szCs w:val="32"/>
            </w:rPr>
          </w:pPr>
          <w:r>
            <w:fldChar w:fldCharType="begin"/>
          </w:r>
          <w:r>
            <w:instrText xml:space="preserve"> HYPERLINK \l "_Toc19585" </w:instrText>
          </w:r>
          <w:r>
            <w:fldChar w:fldCharType="separate"/>
          </w:r>
          <w:r>
            <w:rPr>
              <w:rFonts w:hint="eastAsia" w:ascii="仿宋" w:hAnsi="仿宋" w:eastAsia="仿宋" w:cs="仿宋"/>
              <w:sz w:val="32"/>
              <w:szCs w:val="32"/>
            </w:rPr>
            <w:t>三、收支预算情况说明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_Toc19585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ADE11DD">
          <w:pPr>
            <w:pStyle w:val="9"/>
            <w:tabs>
              <w:tab w:val="right" w:leader="dot" w:pos="8845"/>
            </w:tabs>
            <w:rPr>
              <w:rFonts w:hint="eastAsia" w:ascii="仿宋" w:hAnsi="仿宋" w:eastAsia="仿宋" w:cs="仿宋"/>
              <w:sz w:val="32"/>
              <w:szCs w:val="32"/>
            </w:rPr>
          </w:pPr>
          <w:r>
            <w:fldChar w:fldCharType="begin"/>
          </w:r>
          <w:r>
            <w:instrText xml:space="preserve"> HYPERLINK \l "_Toc22776" </w:instrText>
          </w:r>
          <w:r>
            <w:fldChar w:fldCharType="separate"/>
          </w:r>
          <w:r>
            <w:rPr>
              <w:rFonts w:hint="eastAsia" w:ascii="仿宋" w:hAnsi="仿宋" w:eastAsia="仿宋" w:cs="仿宋"/>
              <w:sz w:val="32"/>
              <w:szCs w:val="32"/>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_Toc22776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E68E00D">
          <w:pPr>
            <w:pStyle w:val="9"/>
            <w:tabs>
              <w:tab w:val="right" w:leader="dot" w:pos="8845"/>
            </w:tabs>
            <w:rPr>
              <w:rFonts w:hint="eastAsia" w:ascii="仿宋" w:hAnsi="仿宋" w:eastAsia="仿宋" w:cs="仿宋"/>
              <w:sz w:val="32"/>
              <w:szCs w:val="32"/>
            </w:rPr>
          </w:pPr>
          <w:r>
            <w:fldChar w:fldCharType="begin"/>
          </w:r>
          <w:r>
            <w:instrText xml:space="preserve"> HYPERLINK \l "_Toc3089" </w:instrText>
          </w:r>
          <w:r>
            <w:fldChar w:fldCharType="separate"/>
          </w:r>
          <w:r>
            <w:rPr>
              <w:rFonts w:hint="eastAsia" w:ascii="仿宋" w:hAnsi="仿宋" w:eastAsia="仿宋" w:cs="仿宋"/>
              <w:sz w:val="32"/>
              <w:szCs w:val="32"/>
              <w:lang w:eastAsia="zh-CN"/>
            </w:rPr>
            <w:t>（</w:t>
          </w:r>
          <w:r>
            <w:rPr>
              <w:rFonts w:hint="eastAsia" w:ascii="仿宋" w:hAnsi="仿宋" w:eastAsia="仿宋" w:cs="仿宋"/>
              <w:sz w:val="32"/>
              <w:szCs w:val="32"/>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_Toc3089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16A258B">
          <w:pPr>
            <w:pStyle w:val="7"/>
            <w:tabs>
              <w:tab w:val="right" w:leader="dot" w:pos="8845"/>
            </w:tabs>
            <w:rPr>
              <w:rFonts w:hint="eastAsia" w:ascii="仿宋" w:hAnsi="仿宋" w:eastAsia="仿宋" w:cs="仿宋"/>
              <w:sz w:val="32"/>
              <w:szCs w:val="32"/>
            </w:rPr>
          </w:pPr>
          <w:r>
            <w:fldChar w:fldCharType="begin"/>
          </w:r>
          <w:r>
            <w:instrText xml:space="preserve"> HYPERLINK \l "_Toc1527" </w:instrText>
          </w:r>
          <w:r>
            <w:fldChar w:fldCharType="separate"/>
          </w:r>
          <w:r>
            <w:rPr>
              <w:rFonts w:hint="eastAsia" w:ascii="仿宋" w:hAnsi="仿宋" w:eastAsia="仿宋" w:cs="仿宋"/>
              <w:sz w:val="32"/>
              <w:szCs w:val="32"/>
            </w:rPr>
            <w:t>四、财政拨款收支预算情况说明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_Toc1527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633DE59">
          <w:pPr>
            <w:pStyle w:val="7"/>
            <w:tabs>
              <w:tab w:val="right" w:leader="dot" w:pos="8845"/>
            </w:tabs>
            <w:rPr>
              <w:rFonts w:hint="eastAsia" w:ascii="仿宋" w:hAnsi="仿宋" w:eastAsia="仿宋" w:cs="仿宋"/>
              <w:sz w:val="32"/>
              <w:szCs w:val="32"/>
            </w:rPr>
          </w:pPr>
          <w:r>
            <w:fldChar w:fldCharType="begin"/>
          </w:r>
          <w:r>
            <w:instrText xml:space="preserve"> HYPERLINK \l "_Toc18592" </w:instrText>
          </w:r>
          <w:r>
            <w:fldChar w:fldCharType="separate"/>
          </w:r>
          <w:r>
            <w:rPr>
              <w:rFonts w:hint="eastAsia" w:ascii="仿宋" w:hAnsi="仿宋" w:eastAsia="仿宋" w:cs="仿宋"/>
              <w:sz w:val="32"/>
              <w:szCs w:val="32"/>
            </w:rPr>
            <w:t>五、 一般公共预算当年拨款情况说明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_Toc18592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350FA66">
          <w:pPr>
            <w:pStyle w:val="9"/>
            <w:tabs>
              <w:tab w:val="right" w:leader="dot" w:pos="8845"/>
            </w:tabs>
            <w:rPr>
              <w:rFonts w:hint="eastAsia" w:ascii="仿宋" w:hAnsi="仿宋" w:eastAsia="仿宋" w:cs="仿宋"/>
              <w:sz w:val="32"/>
              <w:szCs w:val="32"/>
            </w:rPr>
          </w:pPr>
          <w:r>
            <w:fldChar w:fldCharType="begin"/>
          </w:r>
          <w:r>
            <w:instrText xml:space="preserve"> HYPERLINK \l "_Toc29124" </w:instrText>
          </w:r>
          <w:r>
            <w:fldChar w:fldCharType="separate"/>
          </w:r>
          <w:r>
            <w:rPr>
              <w:rFonts w:hint="eastAsia" w:ascii="仿宋" w:hAnsi="仿宋" w:eastAsia="仿宋" w:cs="仿宋"/>
              <w:sz w:val="32"/>
              <w:szCs w:val="32"/>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_Toc29124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94843E8">
          <w:pPr>
            <w:pStyle w:val="9"/>
            <w:tabs>
              <w:tab w:val="right" w:leader="dot" w:pos="8845"/>
            </w:tabs>
            <w:rPr>
              <w:rFonts w:hint="eastAsia" w:ascii="仿宋" w:hAnsi="仿宋" w:eastAsia="仿宋" w:cs="仿宋"/>
              <w:sz w:val="32"/>
              <w:szCs w:val="32"/>
            </w:rPr>
          </w:pPr>
          <w:r>
            <w:fldChar w:fldCharType="begin"/>
          </w:r>
          <w:r>
            <w:instrText xml:space="preserve"> HYPERLINK \l "_Toc23657" </w:instrText>
          </w:r>
          <w:r>
            <w:fldChar w:fldCharType="separate"/>
          </w:r>
          <w:r>
            <w:rPr>
              <w:rFonts w:hint="eastAsia" w:ascii="仿宋" w:hAnsi="仿宋" w:eastAsia="仿宋" w:cs="仿宋"/>
              <w:sz w:val="32"/>
              <w:szCs w:val="32"/>
              <w:lang w:eastAsia="zh-CN"/>
            </w:rPr>
            <w:t>（</w:t>
          </w:r>
          <w:r>
            <w:rPr>
              <w:rFonts w:hint="eastAsia" w:ascii="仿宋" w:hAnsi="仿宋" w:eastAsia="仿宋" w:cs="仿宋"/>
              <w:sz w:val="32"/>
              <w:szCs w:val="32"/>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_Toc23657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F154D1C">
          <w:pPr>
            <w:pStyle w:val="9"/>
            <w:tabs>
              <w:tab w:val="right" w:leader="dot" w:pos="8845"/>
            </w:tabs>
            <w:rPr>
              <w:rFonts w:hint="eastAsia" w:ascii="仿宋" w:hAnsi="仿宋" w:eastAsia="仿宋" w:cs="仿宋"/>
              <w:sz w:val="32"/>
              <w:szCs w:val="32"/>
            </w:rPr>
          </w:pPr>
          <w:r>
            <w:fldChar w:fldCharType="begin"/>
          </w:r>
          <w:r>
            <w:instrText xml:space="preserve"> HYPERLINK \l "_Toc32247" </w:instrText>
          </w:r>
          <w:r>
            <w:fldChar w:fldCharType="separate"/>
          </w:r>
          <w:r>
            <w:rPr>
              <w:rFonts w:hint="eastAsia" w:ascii="仿宋" w:hAnsi="仿宋" w:eastAsia="仿宋" w:cs="仿宋"/>
              <w:sz w:val="32"/>
              <w:szCs w:val="32"/>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_Toc32247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C4F3324">
          <w:pPr>
            <w:pStyle w:val="7"/>
            <w:tabs>
              <w:tab w:val="right" w:leader="dot" w:pos="8845"/>
            </w:tabs>
            <w:rPr>
              <w:rFonts w:hint="eastAsia" w:ascii="仿宋" w:hAnsi="仿宋" w:eastAsia="仿宋" w:cs="仿宋"/>
              <w:sz w:val="32"/>
              <w:szCs w:val="32"/>
            </w:rPr>
          </w:pPr>
          <w:r>
            <w:fldChar w:fldCharType="begin"/>
          </w:r>
          <w:r>
            <w:instrText xml:space="preserve"> HYPERLINK \l "_Toc31176" </w:instrText>
          </w:r>
          <w:r>
            <w:fldChar w:fldCharType="separate"/>
          </w:r>
          <w:r>
            <w:rPr>
              <w:rFonts w:hint="eastAsia" w:ascii="仿宋" w:hAnsi="仿宋" w:eastAsia="仿宋" w:cs="仿宋"/>
              <w:sz w:val="32"/>
              <w:szCs w:val="32"/>
            </w:rPr>
            <w:t>六、一般公共预算基本支出情况说明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_Toc31176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E03DE21">
          <w:pPr>
            <w:pStyle w:val="7"/>
            <w:tabs>
              <w:tab w:val="right" w:leader="dot" w:pos="8845"/>
            </w:tabs>
            <w:rPr>
              <w:rFonts w:hint="eastAsia" w:ascii="仿宋" w:hAnsi="仿宋" w:eastAsia="仿宋" w:cs="仿宋"/>
              <w:sz w:val="32"/>
              <w:szCs w:val="32"/>
            </w:rPr>
          </w:pPr>
          <w:r>
            <w:fldChar w:fldCharType="begin"/>
          </w:r>
          <w:r>
            <w:instrText xml:space="preserve"> HYPERLINK \l "_Toc5654" </w:instrText>
          </w:r>
          <w:r>
            <w:fldChar w:fldCharType="separate"/>
          </w:r>
          <w:r>
            <w:rPr>
              <w:rFonts w:hint="eastAsia" w:ascii="仿宋" w:hAnsi="仿宋" w:eastAsia="仿宋" w:cs="仿宋"/>
              <w:sz w:val="32"/>
              <w:szCs w:val="32"/>
            </w:rPr>
            <w:t>七、“三公”经费财政拨款预算安排情况说明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_Toc5654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A8BC421">
          <w:pPr>
            <w:pStyle w:val="7"/>
            <w:tabs>
              <w:tab w:val="right" w:leader="dot" w:pos="8845"/>
            </w:tabs>
            <w:rPr>
              <w:rFonts w:hint="eastAsia" w:ascii="仿宋" w:hAnsi="仿宋" w:eastAsia="仿宋" w:cs="仿宋"/>
              <w:sz w:val="32"/>
              <w:szCs w:val="32"/>
            </w:rPr>
          </w:pPr>
          <w:r>
            <w:fldChar w:fldCharType="begin"/>
          </w:r>
          <w:r>
            <w:instrText xml:space="preserve"> HYPERLINK \l "_Toc15963" </w:instrText>
          </w:r>
          <w:r>
            <w:fldChar w:fldCharType="separate"/>
          </w:r>
          <w:r>
            <w:rPr>
              <w:rFonts w:hint="eastAsia" w:ascii="仿宋" w:hAnsi="仿宋" w:eastAsia="仿宋" w:cs="仿宋"/>
              <w:kern w:val="2"/>
              <w:sz w:val="32"/>
              <w:szCs w:val="32"/>
              <w:lang w:val="en-US" w:eastAsia="zh-CN" w:bidi="ar-SA"/>
            </w:rPr>
            <w:t>八、</w:t>
          </w:r>
          <w:r>
            <w:rPr>
              <w:rFonts w:hint="eastAsia" w:ascii="仿宋" w:hAnsi="仿宋" w:eastAsia="仿宋" w:cs="仿宋"/>
              <w:sz w:val="32"/>
              <w:szCs w:val="32"/>
            </w:rPr>
            <w:t>政府性基金预算支出情况说明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_Toc15963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A36996D">
          <w:pPr>
            <w:pStyle w:val="7"/>
            <w:tabs>
              <w:tab w:val="right" w:leader="dot" w:pos="8845"/>
            </w:tabs>
            <w:rPr>
              <w:rFonts w:hint="eastAsia" w:ascii="仿宋" w:hAnsi="仿宋" w:eastAsia="仿宋" w:cs="仿宋"/>
              <w:sz w:val="32"/>
              <w:szCs w:val="32"/>
            </w:rPr>
          </w:pPr>
          <w:r>
            <w:fldChar w:fldCharType="begin"/>
          </w:r>
          <w:r>
            <w:instrText xml:space="preserve"> HYPERLINK \l "_Toc2222" </w:instrText>
          </w:r>
          <w:r>
            <w:fldChar w:fldCharType="separate"/>
          </w:r>
          <w:r>
            <w:rPr>
              <w:rFonts w:hint="eastAsia" w:ascii="仿宋" w:hAnsi="仿宋" w:eastAsia="仿宋" w:cs="仿宋"/>
              <w:kern w:val="2"/>
              <w:sz w:val="32"/>
              <w:szCs w:val="32"/>
              <w:lang w:val="en-US" w:eastAsia="zh-CN" w:bidi="ar-SA"/>
            </w:rPr>
            <w:t>九、</w:t>
          </w:r>
          <w:r>
            <w:rPr>
              <w:rFonts w:hint="eastAsia" w:ascii="仿宋" w:hAnsi="仿宋" w:eastAsia="仿宋" w:cs="仿宋"/>
              <w:sz w:val="32"/>
              <w:szCs w:val="32"/>
              <w:lang w:val="en-US" w:eastAsia="zh-CN"/>
            </w:rPr>
            <w:t>国有资本经营预算支出情况说明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_Toc2222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BFC1D00">
          <w:pPr>
            <w:pStyle w:val="7"/>
            <w:tabs>
              <w:tab w:val="right" w:leader="dot" w:pos="8845"/>
            </w:tabs>
            <w:rPr>
              <w:rFonts w:hint="eastAsia" w:ascii="仿宋" w:hAnsi="仿宋" w:eastAsia="仿宋" w:cs="仿宋"/>
              <w:sz w:val="32"/>
              <w:szCs w:val="32"/>
            </w:rPr>
          </w:pPr>
          <w:r>
            <w:fldChar w:fldCharType="begin"/>
          </w:r>
          <w:r>
            <w:instrText xml:space="preserve"> HYPERLINK \l "_Toc28733" </w:instrText>
          </w:r>
          <w:r>
            <w:fldChar w:fldCharType="separate"/>
          </w:r>
          <w:r>
            <w:rPr>
              <w:rFonts w:hint="eastAsia" w:ascii="仿宋" w:hAnsi="仿宋" w:eastAsia="仿宋" w:cs="仿宋"/>
              <w:sz w:val="32"/>
              <w:szCs w:val="32"/>
            </w:rPr>
            <w:t>十、 其他重要事项的情况说明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_Toc28733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DFD9130">
          <w:pPr>
            <w:pStyle w:val="7"/>
            <w:tabs>
              <w:tab w:val="right" w:leader="dot" w:pos="8845"/>
            </w:tabs>
            <w:rPr>
              <w:rFonts w:hint="eastAsia" w:ascii="仿宋" w:hAnsi="仿宋" w:eastAsia="仿宋" w:cs="仿宋"/>
              <w:sz w:val="32"/>
              <w:szCs w:val="32"/>
            </w:rPr>
          </w:pPr>
          <w:r>
            <w:fldChar w:fldCharType="begin"/>
          </w:r>
          <w:r>
            <w:instrText xml:space="preserve"> HYPERLINK \l "_Toc11992" </w:instrText>
          </w:r>
          <w:r>
            <w:fldChar w:fldCharType="separate"/>
          </w:r>
          <w:r>
            <w:rPr>
              <w:rFonts w:hint="eastAsia" w:ascii="仿宋" w:hAnsi="仿宋" w:eastAsia="仿宋" w:cs="仿宋"/>
              <w:sz w:val="32"/>
              <w:szCs w:val="32"/>
            </w:rPr>
            <w:t>十一、名词解释</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_Toc11992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BC32916">
          <w:pPr>
            <w:rPr>
              <w:rFonts w:hint="eastAsia" w:ascii="仿宋" w:hAnsi="仿宋" w:eastAsia="仿宋" w:cs="仿宋"/>
              <w:b/>
              <w:sz w:val="32"/>
              <w:szCs w:val="32"/>
            </w:rPr>
          </w:pPr>
          <w:r>
            <w:rPr>
              <w:rFonts w:hint="eastAsia" w:ascii="仿宋" w:hAnsi="仿宋" w:eastAsia="仿宋" w:cs="仿宋"/>
              <w:sz w:val="32"/>
              <w:szCs w:val="32"/>
            </w:rPr>
            <w:fldChar w:fldCharType="end"/>
          </w:r>
        </w:p>
      </w:sdtContent>
    </w:sdt>
    <w:p w14:paraId="75D08B00">
      <w:pPr>
        <w:rPr>
          <w:b/>
        </w:rPr>
      </w:pPr>
    </w:p>
    <w:p w14:paraId="6B8345F1">
      <w:pPr>
        <w:rPr>
          <w:b/>
        </w:rPr>
      </w:pPr>
    </w:p>
    <w:p w14:paraId="4D05FCFF">
      <w:pPr>
        <w:rPr>
          <w:b/>
        </w:rPr>
      </w:pPr>
    </w:p>
    <w:p w14:paraId="1A3DF51F">
      <w:pPr>
        <w:tabs>
          <w:tab w:val="left" w:pos="1700"/>
        </w:tabs>
        <w:rPr>
          <w:rFonts w:hint="eastAsia"/>
          <w:b/>
          <w:lang w:eastAsia="zh-CN"/>
        </w:rPr>
      </w:pPr>
      <w:r>
        <w:rPr>
          <w:rFonts w:hint="eastAsia"/>
          <w:b/>
          <w:lang w:eastAsia="zh-CN"/>
        </w:rPr>
        <w:tab/>
      </w:r>
    </w:p>
    <w:p w14:paraId="1B55FFE1">
      <w:pPr>
        <w:tabs>
          <w:tab w:val="left" w:pos="1700"/>
        </w:tabs>
        <w:rPr>
          <w:rFonts w:hint="eastAsia"/>
          <w:b/>
          <w:lang w:eastAsia="zh-CN"/>
        </w:rPr>
      </w:pPr>
    </w:p>
    <w:p w14:paraId="27410FB0">
      <w:pPr>
        <w:tabs>
          <w:tab w:val="left" w:pos="1700"/>
        </w:tabs>
        <w:rPr>
          <w:rFonts w:hint="eastAsia"/>
          <w:b/>
          <w:lang w:eastAsia="zh-CN"/>
        </w:rPr>
      </w:pPr>
    </w:p>
    <w:p w14:paraId="79BB342B">
      <w:pPr>
        <w:tabs>
          <w:tab w:val="left" w:pos="1700"/>
        </w:tabs>
        <w:rPr>
          <w:rFonts w:hint="eastAsia"/>
          <w:b/>
          <w:lang w:eastAsia="zh-CN"/>
        </w:rPr>
      </w:pPr>
    </w:p>
    <w:p w14:paraId="11D03598">
      <w:pPr>
        <w:tabs>
          <w:tab w:val="left" w:pos="1700"/>
        </w:tabs>
        <w:rPr>
          <w:rFonts w:hint="eastAsia"/>
          <w:b/>
          <w:lang w:eastAsia="zh-CN"/>
        </w:rPr>
      </w:pPr>
    </w:p>
    <w:p w14:paraId="0867F233">
      <w:pPr>
        <w:tabs>
          <w:tab w:val="left" w:pos="1700"/>
        </w:tabs>
        <w:rPr>
          <w:rFonts w:hint="eastAsia"/>
          <w:b/>
          <w:lang w:eastAsia="zh-CN"/>
        </w:rPr>
      </w:pPr>
    </w:p>
    <w:p w14:paraId="024218F4">
      <w:pPr>
        <w:tabs>
          <w:tab w:val="left" w:pos="1700"/>
        </w:tabs>
        <w:rPr>
          <w:rFonts w:hint="eastAsia"/>
          <w:b/>
          <w:lang w:eastAsia="zh-CN"/>
        </w:rPr>
      </w:pPr>
    </w:p>
    <w:p w14:paraId="340792EA">
      <w:pPr>
        <w:tabs>
          <w:tab w:val="left" w:pos="1700"/>
        </w:tabs>
        <w:rPr>
          <w:rFonts w:hint="eastAsia"/>
          <w:b/>
          <w:lang w:eastAsia="zh-CN"/>
        </w:rPr>
      </w:pPr>
    </w:p>
    <w:p w14:paraId="0B901640">
      <w:pPr>
        <w:tabs>
          <w:tab w:val="left" w:pos="1700"/>
        </w:tabs>
        <w:rPr>
          <w:rFonts w:hint="eastAsia"/>
          <w:b/>
          <w:lang w:eastAsia="zh-CN"/>
        </w:rPr>
      </w:pPr>
    </w:p>
    <w:p w14:paraId="4BDEFBCB">
      <w:pPr>
        <w:tabs>
          <w:tab w:val="left" w:pos="1700"/>
        </w:tabs>
        <w:rPr>
          <w:rFonts w:hint="eastAsia"/>
          <w:b/>
          <w:lang w:eastAsia="zh-CN"/>
        </w:rPr>
      </w:pPr>
    </w:p>
    <w:p w14:paraId="3B3F6FB2">
      <w:pPr>
        <w:tabs>
          <w:tab w:val="left" w:pos="1700"/>
        </w:tabs>
        <w:rPr>
          <w:rFonts w:hint="eastAsia"/>
          <w:b/>
          <w:lang w:eastAsia="zh-CN"/>
        </w:rPr>
      </w:pPr>
    </w:p>
    <w:p w14:paraId="3F708840">
      <w:pPr>
        <w:tabs>
          <w:tab w:val="left" w:pos="1700"/>
        </w:tabs>
        <w:rPr>
          <w:rFonts w:hint="eastAsia"/>
          <w:b/>
          <w:lang w:eastAsia="zh-CN"/>
        </w:rPr>
      </w:pPr>
    </w:p>
    <w:p w14:paraId="1B9661E4">
      <w:pPr>
        <w:tabs>
          <w:tab w:val="left" w:pos="1700"/>
        </w:tabs>
        <w:rPr>
          <w:rFonts w:hint="eastAsia"/>
          <w:b/>
          <w:lang w:eastAsia="zh-CN"/>
        </w:rPr>
      </w:pPr>
    </w:p>
    <w:p w14:paraId="0FB50657">
      <w:pPr>
        <w:tabs>
          <w:tab w:val="left" w:pos="1700"/>
        </w:tabs>
        <w:rPr>
          <w:rFonts w:hint="eastAsia"/>
          <w:b/>
          <w:lang w:eastAsia="zh-CN"/>
        </w:rPr>
      </w:pPr>
    </w:p>
    <w:p w14:paraId="6F966C68">
      <w:pPr>
        <w:tabs>
          <w:tab w:val="left" w:pos="1700"/>
        </w:tabs>
        <w:rPr>
          <w:rFonts w:hint="eastAsia"/>
          <w:b/>
          <w:lang w:eastAsia="zh-CN"/>
        </w:rPr>
      </w:pPr>
    </w:p>
    <w:p w14:paraId="01C5E515">
      <w:pPr>
        <w:tabs>
          <w:tab w:val="left" w:pos="1700"/>
        </w:tabs>
        <w:rPr>
          <w:rFonts w:hint="eastAsia"/>
          <w:b/>
          <w:lang w:eastAsia="zh-CN"/>
        </w:rPr>
      </w:pPr>
    </w:p>
    <w:p w14:paraId="39B466E5">
      <w:pPr>
        <w:tabs>
          <w:tab w:val="left" w:pos="1700"/>
        </w:tabs>
        <w:rPr>
          <w:rFonts w:hint="eastAsia"/>
          <w:b/>
          <w:lang w:eastAsia="zh-CN"/>
        </w:rPr>
      </w:pPr>
    </w:p>
    <w:p w14:paraId="7E53A9DB">
      <w:pPr>
        <w:tabs>
          <w:tab w:val="left" w:pos="1700"/>
        </w:tabs>
        <w:rPr>
          <w:rFonts w:hint="eastAsia"/>
          <w:b/>
          <w:lang w:eastAsia="zh-CN"/>
        </w:rPr>
      </w:pPr>
    </w:p>
    <w:p w14:paraId="7D3DE9E6">
      <w:pPr>
        <w:tabs>
          <w:tab w:val="left" w:pos="1700"/>
        </w:tabs>
        <w:rPr>
          <w:rFonts w:hint="eastAsia"/>
          <w:b/>
          <w:lang w:eastAsia="zh-CN"/>
        </w:rPr>
      </w:pPr>
    </w:p>
    <w:p w14:paraId="59E5882A">
      <w:pPr>
        <w:tabs>
          <w:tab w:val="left" w:pos="1700"/>
        </w:tabs>
        <w:rPr>
          <w:rFonts w:hint="eastAsia"/>
          <w:b/>
          <w:lang w:eastAsia="zh-CN"/>
        </w:rPr>
      </w:pPr>
    </w:p>
    <w:p w14:paraId="235F6C28">
      <w:pPr>
        <w:tabs>
          <w:tab w:val="left" w:pos="1700"/>
        </w:tabs>
        <w:rPr>
          <w:rFonts w:hint="eastAsia"/>
          <w:b/>
          <w:lang w:eastAsia="zh-CN"/>
        </w:rPr>
      </w:pPr>
    </w:p>
    <w:p w14:paraId="3EF05C6E">
      <w:pPr>
        <w:tabs>
          <w:tab w:val="left" w:pos="1700"/>
        </w:tabs>
        <w:rPr>
          <w:rFonts w:hint="eastAsia"/>
          <w:b/>
          <w:lang w:eastAsia="zh-CN"/>
        </w:rPr>
      </w:pPr>
    </w:p>
    <w:p w14:paraId="185994B4">
      <w:pPr>
        <w:tabs>
          <w:tab w:val="left" w:pos="1700"/>
        </w:tabs>
        <w:rPr>
          <w:rFonts w:hint="eastAsia"/>
          <w:b/>
          <w:lang w:eastAsia="zh-CN"/>
        </w:rPr>
      </w:pPr>
    </w:p>
    <w:p w14:paraId="252EA185">
      <w:pPr>
        <w:tabs>
          <w:tab w:val="left" w:pos="1700"/>
        </w:tabs>
        <w:rPr>
          <w:rFonts w:hint="eastAsia"/>
          <w:b/>
          <w:lang w:eastAsia="zh-CN"/>
        </w:rPr>
      </w:pPr>
    </w:p>
    <w:p w14:paraId="786F8A36">
      <w:pPr>
        <w:tabs>
          <w:tab w:val="left" w:pos="1700"/>
        </w:tabs>
        <w:rPr>
          <w:rFonts w:hint="eastAsia"/>
          <w:b/>
          <w:lang w:eastAsia="zh-CN"/>
        </w:rPr>
      </w:pPr>
    </w:p>
    <w:p w14:paraId="7611900C">
      <w:pPr>
        <w:tabs>
          <w:tab w:val="left" w:pos="1700"/>
        </w:tabs>
        <w:rPr>
          <w:rFonts w:hint="eastAsia"/>
          <w:b/>
          <w:lang w:eastAsia="zh-CN"/>
        </w:rPr>
      </w:pPr>
    </w:p>
    <w:p w14:paraId="590572AF">
      <w:pPr>
        <w:tabs>
          <w:tab w:val="left" w:pos="1700"/>
        </w:tabs>
        <w:rPr>
          <w:rFonts w:hint="eastAsia"/>
          <w:b/>
          <w:lang w:eastAsia="zh-CN"/>
        </w:rPr>
      </w:pPr>
    </w:p>
    <w:p w14:paraId="6FE515FE">
      <w:pPr>
        <w:rPr>
          <w:b/>
        </w:rPr>
      </w:pPr>
    </w:p>
    <w:p w14:paraId="43128B9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abs>
          <w:tab w:val="left" w:pos="2605"/>
          <w:tab w:val="center" w:pos="4482"/>
        </w:tabs>
        <w:bidi w:val="0"/>
        <w:spacing w:before="0" w:beforeAutospacing="0" w:after="0" w:afterAutospacing="0" w:line="580" w:lineRule="atLeast"/>
        <w:ind w:left="0" w:right="0" w:firstLine="0"/>
        <w:jc w:val="left"/>
        <w:rPr>
          <w:rFonts w:hint="eastAsia" w:ascii="黑体" w:hAnsi="黑体" w:eastAsia="黑体" w:cs="黑体"/>
          <w:sz w:val="32"/>
          <w:szCs w:val="32"/>
          <w:lang w:eastAsia="zh-CN"/>
        </w:rPr>
      </w:pPr>
      <w:bookmarkStart w:id="1" w:name="_Toc32209"/>
    </w:p>
    <w:p w14:paraId="268CBB0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abs>
          <w:tab w:val="left" w:pos="2605"/>
          <w:tab w:val="center" w:pos="4482"/>
        </w:tabs>
        <w:bidi w:val="0"/>
        <w:spacing w:before="0" w:beforeAutospacing="0" w:after="0" w:afterAutospacing="0" w:line="580" w:lineRule="atLeast"/>
        <w:ind w:left="0" w:right="0" w:firstLine="640" w:firstLineChars="200"/>
        <w:jc w:val="left"/>
        <w:rPr>
          <w:rFonts w:ascii="黑体" w:hAnsi="黑体" w:eastAsia="黑体" w:cs="黑体"/>
          <w:sz w:val="32"/>
          <w:szCs w:val="32"/>
        </w:rPr>
      </w:pPr>
      <w:r>
        <w:rPr>
          <w:rFonts w:hint="eastAsia" w:ascii="黑体" w:hAnsi="黑体" w:eastAsia="黑体" w:cs="黑体"/>
          <w:sz w:val="32"/>
          <w:szCs w:val="32"/>
        </w:rPr>
        <w:t>一、基本职能及主要工作</w:t>
      </w:r>
      <w:bookmarkEnd w:id="1"/>
    </w:p>
    <w:p w14:paraId="43521574">
      <w:pPr>
        <w:pStyle w:val="10"/>
        <w:widowControl/>
        <w:spacing w:before="120" w:line="600" w:lineRule="exact"/>
        <w:ind w:firstLine="660"/>
        <w:outlineLvl w:val="1"/>
        <w:rPr>
          <w:rFonts w:hint="eastAsia" w:ascii="楷体_GB2312" w:hAnsi="微软雅黑" w:eastAsia="楷体_GB2312" w:cs="楷体_GB2312"/>
          <w:b/>
          <w:sz w:val="32"/>
          <w:szCs w:val="32"/>
        </w:rPr>
      </w:pPr>
      <w:bookmarkStart w:id="2" w:name="_Toc18024"/>
      <w:r>
        <w:rPr>
          <w:rFonts w:hint="eastAsia" w:ascii="楷体_GB2312" w:hAnsi="微软雅黑" w:eastAsia="楷体_GB2312" w:cs="楷体_GB2312"/>
          <w:b/>
          <w:sz w:val="32"/>
          <w:szCs w:val="32"/>
        </w:rPr>
        <w:t>（</w:t>
      </w:r>
      <w:r>
        <w:rPr>
          <w:rFonts w:ascii="楷体_GB2312" w:hAnsi="微软雅黑" w:eastAsia="楷体_GB2312" w:cs="楷体_GB2312"/>
          <w:b/>
          <w:sz w:val="32"/>
          <w:szCs w:val="32"/>
        </w:rPr>
        <w:t>一）</w:t>
      </w:r>
      <w:r>
        <w:rPr>
          <w:rFonts w:hint="eastAsia" w:ascii="楷体_GB2312" w:hAnsi="微软雅黑" w:eastAsia="楷体_GB2312" w:cs="楷体_GB2312"/>
          <w:b/>
          <w:sz w:val="32"/>
          <w:szCs w:val="32"/>
          <w:lang w:val="en-US" w:eastAsia="zh-CN"/>
        </w:rPr>
        <w:t>单位</w:t>
      </w:r>
      <w:r>
        <w:rPr>
          <w:rFonts w:ascii="楷体_GB2312" w:hAnsi="微软雅黑" w:eastAsia="楷体_GB2312" w:cs="楷体_GB2312"/>
          <w:b/>
          <w:sz w:val="32"/>
          <w:szCs w:val="32"/>
        </w:rPr>
        <w:t>职能简介</w:t>
      </w:r>
      <w:bookmarkEnd w:id="2"/>
    </w:p>
    <w:p w14:paraId="00621D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7EA7B9A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7674FD5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19A6436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30CCDD1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7BC356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015EA2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7.负责依法制定本校教师及其他职工聘任办法，并对教师及其他员工实施包括奖励、处分在内的具体管理活动。</w:t>
      </w:r>
    </w:p>
    <w:p w14:paraId="551E692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50CB98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1829EDE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167DBE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17DFFB4A">
      <w:pPr>
        <w:pageBreakBefore w:val="0"/>
        <w:kinsoku/>
        <w:wordWrap/>
        <w:overflowPunct/>
        <w:topLinePunct w:val="0"/>
        <w:autoSpaceDE/>
        <w:autoSpaceDN/>
        <w:bidi w:val="0"/>
        <w:adjustRightInd/>
        <w:snapToGrid/>
        <w:spacing w:line="360" w:lineRule="auto"/>
        <w:ind w:firstLine="321" w:firstLineChars="100"/>
        <w:textAlignment w:val="auto"/>
        <w:outlineLvl w:val="1"/>
        <w:rPr>
          <w:rFonts w:hint="eastAsia" w:ascii="楷体_GB2312" w:hAnsi="楷体_GB2312" w:eastAsia="楷体_GB2312" w:cs="楷体_GB2312"/>
          <w:b/>
          <w:bCs/>
          <w:sz w:val="32"/>
          <w:szCs w:val="32"/>
        </w:rPr>
      </w:pPr>
      <w:bookmarkStart w:id="3" w:name="_Toc29022"/>
      <w:r>
        <w:rPr>
          <w:rFonts w:hint="eastAsia" w:ascii="楷体_GB2312" w:hAnsi="楷体_GB2312" w:eastAsia="楷体_GB2312" w:cs="楷体_GB2312"/>
          <w:b/>
          <w:bCs/>
          <w:sz w:val="32"/>
          <w:szCs w:val="32"/>
        </w:rPr>
        <w:t>（二）202</w:t>
      </w:r>
      <w:r>
        <w:rPr>
          <w:rFonts w:hint="eastAsia" w:ascii="楷体_GB2312" w:hAnsi="楷体_GB2312" w:eastAsia="楷体_GB2312" w:cs="楷体_GB2312"/>
          <w:b/>
          <w:bCs/>
          <w:sz w:val="32"/>
          <w:szCs w:val="32"/>
          <w:lang w:val="en-US" w:eastAsia="zh-CN"/>
        </w:rPr>
        <w:t>5</w:t>
      </w:r>
      <w:r>
        <w:rPr>
          <w:rFonts w:hint="eastAsia" w:ascii="楷体_GB2312" w:hAnsi="楷体_GB2312" w:eastAsia="楷体_GB2312" w:cs="楷体_GB2312"/>
          <w:b/>
          <w:bCs/>
          <w:sz w:val="32"/>
          <w:szCs w:val="32"/>
        </w:rPr>
        <w:t>年重点工作</w:t>
      </w:r>
      <w:bookmarkEnd w:id="3"/>
    </w:p>
    <w:p w14:paraId="63AC6B16">
      <w:pPr>
        <w:pStyle w:val="17"/>
        <w:pageBreakBefore w:val="0"/>
        <w:kinsoku/>
        <w:wordWrap/>
        <w:overflowPunct/>
        <w:topLinePunct w:val="0"/>
        <w:autoSpaceDE/>
        <w:autoSpaceDN/>
        <w:bidi w:val="0"/>
        <w:adjustRightInd/>
        <w:snapToGrid/>
        <w:spacing w:line="360" w:lineRule="auto"/>
        <w:textAlignment w:val="auto"/>
        <w:rPr>
          <w:rFonts w:ascii="仿宋" w:hAnsi="仿宋" w:eastAsia="仿宋"/>
          <w:b/>
          <w:sz w:val="32"/>
          <w:szCs w:val="32"/>
        </w:rPr>
      </w:pPr>
      <w:r>
        <w:rPr>
          <w:rFonts w:ascii="仿宋" w:hAnsi="仿宋" w:eastAsia="仿宋"/>
          <w:sz w:val="32"/>
          <w:szCs w:val="32"/>
        </w:rPr>
        <w:t xml:space="preserve">    坚持以德育为首、教学质量为中心这一主题，坚持“固生源、强基础”的发展思路。狠抓常规管理，加强教育科研，让我校的教育教学工作全面得到提升。</w:t>
      </w:r>
      <w:r>
        <w:rPr>
          <w:rFonts w:ascii="仿宋" w:hAnsi="仿宋" w:eastAsia="仿宋"/>
          <w:sz w:val="32"/>
          <w:szCs w:val="32"/>
        </w:rPr>
        <w:br w:type="textWrapping"/>
      </w:r>
      <w:r>
        <w:rPr>
          <w:rFonts w:ascii="仿宋" w:hAnsi="仿宋" w:eastAsia="仿宋"/>
          <w:sz w:val="32"/>
          <w:szCs w:val="32"/>
        </w:rPr>
        <w:t xml:space="preserve"> </w:t>
      </w:r>
      <w:r>
        <w:rPr>
          <w:rFonts w:hint="eastAsia" w:ascii="仿宋" w:hAnsi="仿宋" w:eastAsia="仿宋"/>
          <w:sz w:val="32"/>
          <w:szCs w:val="32"/>
          <w:lang w:val="en-US" w:eastAsia="zh-CN"/>
        </w:rPr>
        <w:t xml:space="preserve"> </w:t>
      </w:r>
      <w:r>
        <w:rPr>
          <w:rFonts w:ascii="仿宋" w:hAnsi="仿宋" w:eastAsia="仿宋"/>
          <w:b/>
          <w:sz w:val="32"/>
          <w:szCs w:val="32"/>
        </w:rPr>
        <w:t>（</w:t>
      </w:r>
      <w:r>
        <w:rPr>
          <w:rFonts w:hint="eastAsia" w:ascii="仿宋" w:hAnsi="仿宋" w:eastAsia="仿宋"/>
          <w:b/>
          <w:sz w:val="32"/>
          <w:szCs w:val="32"/>
          <w:lang w:val="en-US" w:eastAsia="zh-CN"/>
        </w:rPr>
        <w:t>1</w:t>
      </w:r>
      <w:r>
        <w:rPr>
          <w:rFonts w:ascii="仿宋" w:hAnsi="仿宋" w:eastAsia="仿宋"/>
          <w:b/>
          <w:sz w:val="32"/>
          <w:szCs w:val="32"/>
        </w:rPr>
        <w:t>）</w:t>
      </w:r>
      <w:r>
        <w:rPr>
          <w:rFonts w:hint="eastAsia" w:ascii="仿宋" w:hAnsi="仿宋" w:eastAsia="仿宋"/>
          <w:b/>
          <w:sz w:val="32"/>
          <w:szCs w:val="32"/>
          <w:lang w:val="en-US" w:eastAsia="zh-CN"/>
        </w:rPr>
        <w:t>加强</w:t>
      </w:r>
      <w:r>
        <w:rPr>
          <w:rFonts w:ascii="仿宋" w:hAnsi="仿宋" w:eastAsia="仿宋"/>
          <w:b/>
          <w:sz w:val="32"/>
          <w:szCs w:val="32"/>
        </w:rPr>
        <w:t>队伍建设</w:t>
      </w:r>
    </w:p>
    <w:p w14:paraId="4EE4CC6B">
      <w:pPr>
        <w:pStyle w:val="17"/>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ascii="仿宋" w:hAnsi="仿宋" w:eastAsia="仿宋"/>
          <w:sz w:val="32"/>
          <w:szCs w:val="32"/>
        </w:rPr>
        <w:t>加强师资队伍建设。造就一支爱岗敬业、师德高尚、精通业务的研究型的教师队伍。学校要加大对教育教学心得文章、科研课题、观摩课的奖励力度，鼓励和促进教师向研究型转变。 加强班主任工作</w:t>
      </w:r>
      <w:r>
        <w:rPr>
          <w:rFonts w:hint="eastAsia" w:ascii="仿宋" w:hAnsi="仿宋" w:eastAsia="仿宋"/>
          <w:sz w:val="32"/>
          <w:szCs w:val="32"/>
          <w:lang w:eastAsia="zh-CN"/>
        </w:rPr>
        <w:t>。</w:t>
      </w:r>
      <w:r>
        <w:rPr>
          <w:rFonts w:ascii="仿宋" w:hAnsi="仿宋" w:eastAsia="仿宋"/>
          <w:sz w:val="32"/>
          <w:szCs w:val="32"/>
        </w:rPr>
        <w:t>班主任工作是学校最重要的工作之一，班主任队伍的强弱直接关系到学校的生存和发展。</w:t>
      </w:r>
    </w:p>
    <w:p w14:paraId="2B9D1C34">
      <w:pPr>
        <w:pStyle w:val="17"/>
        <w:pageBreakBefore w:val="0"/>
        <w:kinsoku/>
        <w:wordWrap/>
        <w:overflowPunct/>
        <w:topLinePunct w:val="0"/>
        <w:autoSpaceDE/>
        <w:autoSpaceDN/>
        <w:bidi w:val="0"/>
        <w:adjustRightInd/>
        <w:snapToGrid/>
        <w:spacing w:line="360" w:lineRule="auto"/>
        <w:ind w:firstLine="321" w:firstLineChars="100"/>
        <w:textAlignment w:val="auto"/>
        <w:rPr>
          <w:rFonts w:ascii="仿宋" w:hAnsi="仿宋" w:eastAsia="仿宋"/>
          <w:b/>
          <w:sz w:val="32"/>
          <w:szCs w:val="32"/>
        </w:rPr>
      </w:pPr>
      <w:r>
        <w:rPr>
          <w:rFonts w:hint="eastAsia" w:ascii="仿宋" w:hAnsi="仿宋" w:eastAsia="仿宋"/>
          <w:b/>
          <w:sz w:val="32"/>
          <w:szCs w:val="32"/>
          <w:lang w:val="en-US" w:eastAsia="zh-CN"/>
        </w:rPr>
        <w:t>（2</w:t>
      </w:r>
      <w:r>
        <w:rPr>
          <w:rFonts w:ascii="仿宋" w:hAnsi="仿宋" w:eastAsia="仿宋"/>
          <w:b/>
          <w:sz w:val="32"/>
          <w:szCs w:val="32"/>
        </w:rPr>
        <w:t>）</w:t>
      </w:r>
      <w:r>
        <w:rPr>
          <w:rFonts w:hint="eastAsia" w:ascii="仿宋" w:hAnsi="仿宋" w:eastAsia="仿宋"/>
          <w:b/>
          <w:sz w:val="32"/>
          <w:szCs w:val="32"/>
          <w:lang w:val="en-US" w:eastAsia="zh-CN"/>
        </w:rPr>
        <w:t>加强</w:t>
      </w:r>
      <w:r>
        <w:rPr>
          <w:rFonts w:ascii="仿宋" w:hAnsi="仿宋" w:eastAsia="仿宋"/>
          <w:b/>
          <w:sz w:val="32"/>
          <w:szCs w:val="32"/>
        </w:rPr>
        <w:t>德育工作</w:t>
      </w:r>
    </w:p>
    <w:p w14:paraId="464559AA">
      <w:pPr>
        <w:pStyle w:val="17"/>
        <w:pageBreakBefore w:val="0"/>
        <w:kinsoku/>
        <w:wordWrap/>
        <w:overflowPunct/>
        <w:topLinePunct w:val="0"/>
        <w:autoSpaceDE/>
        <w:autoSpaceDN/>
        <w:bidi w:val="0"/>
        <w:adjustRightInd/>
        <w:snapToGrid/>
        <w:spacing w:line="360" w:lineRule="auto"/>
        <w:textAlignment w:val="auto"/>
        <w:rPr>
          <w:rFonts w:ascii="仿宋" w:hAnsi="仿宋" w:eastAsia="仿宋"/>
          <w:sz w:val="32"/>
          <w:szCs w:val="32"/>
        </w:rPr>
      </w:pPr>
      <w:r>
        <w:rPr>
          <w:rFonts w:ascii="仿宋" w:hAnsi="仿宋" w:eastAsia="仿宋"/>
          <w:sz w:val="32"/>
          <w:szCs w:val="32"/>
        </w:rPr>
        <w:t xml:space="preserve">    确立德育工作主题，强化德育意识，抓好班主任队伍建设。全面贯彻计划——实施——总结三段式工作方法</w:t>
      </w:r>
      <w:r>
        <w:rPr>
          <w:rFonts w:hint="eastAsia" w:ascii="仿宋" w:hAnsi="仿宋" w:eastAsia="仿宋"/>
          <w:sz w:val="32"/>
          <w:szCs w:val="32"/>
          <w:lang w:eastAsia="zh-CN"/>
        </w:rPr>
        <w:t>。</w:t>
      </w:r>
      <w:r>
        <w:rPr>
          <w:rFonts w:ascii="仿宋" w:hAnsi="仿宋" w:eastAsia="仿宋"/>
          <w:sz w:val="32"/>
          <w:szCs w:val="32"/>
        </w:rPr>
        <w:t>完善以习惯养成为核心的德育工作体系。拓宽德育渠道，更新德育内容，注重德育活动、德育实践，强化德育的自我教育功能，形成学校、家庭、社会相结合的德育工作网络。开展好</w:t>
      </w:r>
      <w:r>
        <w:rPr>
          <w:rFonts w:hint="eastAsia" w:ascii="仿宋" w:hAnsi="仿宋" w:eastAsia="仿宋"/>
          <w:sz w:val="32"/>
          <w:szCs w:val="32"/>
          <w:lang w:eastAsia="zh-CN"/>
        </w:rPr>
        <w:t>各类</w:t>
      </w:r>
      <w:r>
        <w:rPr>
          <w:rFonts w:hint="eastAsia" w:ascii="仿宋" w:hAnsi="仿宋" w:eastAsia="仿宋"/>
          <w:sz w:val="32"/>
          <w:szCs w:val="32"/>
        </w:rPr>
        <w:t>主题教育活动</w:t>
      </w:r>
      <w:r>
        <w:rPr>
          <w:rFonts w:ascii="仿宋" w:hAnsi="仿宋" w:eastAsia="仿宋"/>
          <w:sz w:val="32"/>
          <w:szCs w:val="32"/>
        </w:rPr>
        <w:t>。重视心理健康教育。以《中小学心理健康教育纲要》为指导，落实各项心理健康工作方面的要求，培养学生的良好心理素质和健康向上的心态，增强学生适应能力和抗挫能力。</w:t>
      </w:r>
      <w:r>
        <w:rPr>
          <w:rFonts w:hint="eastAsia" w:ascii="仿宋" w:hAnsi="仿宋" w:eastAsia="仿宋"/>
          <w:sz w:val="32"/>
          <w:szCs w:val="32"/>
          <w:lang w:val="en-US" w:eastAsia="zh-CN"/>
        </w:rPr>
        <w:t>关注</w:t>
      </w:r>
      <w:r>
        <w:rPr>
          <w:rFonts w:ascii="仿宋" w:hAnsi="仿宋" w:eastAsia="仿宋"/>
          <w:sz w:val="32"/>
          <w:szCs w:val="32"/>
        </w:rPr>
        <w:t>留守学生、学困生和习困生的心理辅导。</w:t>
      </w:r>
    </w:p>
    <w:p w14:paraId="1EC28D20">
      <w:pPr>
        <w:pStyle w:val="17"/>
        <w:pageBreakBefore w:val="0"/>
        <w:kinsoku/>
        <w:wordWrap/>
        <w:overflowPunct/>
        <w:topLinePunct w:val="0"/>
        <w:autoSpaceDE/>
        <w:autoSpaceDN/>
        <w:bidi w:val="0"/>
        <w:adjustRightInd/>
        <w:snapToGrid/>
        <w:spacing w:line="360" w:lineRule="auto"/>
        <w:ind w:firstLine="321" w:firstLineChars="100"/>
        <w:textAlignment w:val="auto"/>
        <w:rPr>
          <w:rFonts w:ascii="仿宋" w:hAnsi="仿宋" w:eastAsia="仿宋"/>
          <w:b/>
          <w:sz w:val="32"/>
          <w:szCs w:val="32"/>
        </w:rPr>
      </w:pPr>
      <w:r>
        <w:rPr>
          <w:rFonts w:hint="eastAsia" w:ascii="仿宋" w:hAnsi="仿宋" w:eastAsia="仿宋"/>
          <w:b/>
          <w:sz w:val="32"/>
          <w:szCs w:val="32"/>
          <w:lang w:val="en-US" w:eastAsia="zh-CN"/>
        </w:rPr>
        <w:t>（3</w:t>
      </w:r>
      <w:r>
        <w:rPr>
          <w:rFonts w:hint="default" w:ascii="仿宋" w:hAnsi="仿宋" w:eastAsia="仿宋"/>
          <w:b/>
          <w:sz w:val="32"/>
          <w:szCs w:val="32"/>
        </w:rPr>
        <w:t>）</w:t>
      </w:r>
      <w:r>
        <w:rPr>
          <w:rFonts w:hint="eastAsia" w:ascii="仿宋" w:hAnsi="仿宋" w:eastAsia="仿宋"/>
          <w:b/>
          <w:sz w:val="32"/>
          <w:szCs w:val="32"/>
          <w:lang w:val="en-US" w:eastAsia="zh-CN"/>
        </w:rPr>
        <w:t>做好</w:t>
      </w:r>
      <w:r>
        <w:rPr>
          <w:rFonts w:ascii="仿宋" w:hAnsi="仿宋" w:eastAsia="仿宋"/>
          <w:b/>
          <w:sz w:val="32"/>
          <w:szCs w:val="32"/>
        </w:rPr>
        <w:t>教学教研工作</w:t>
      </w:r>
    </w:p>
    <w:p w14:paraId="294412A0">
      <w:pPr>
        <w:pStyle w:val="17"/>
        <w:pageBreakBefore w:val="0"/>
        <w:kinsoku/>
        <w:wordWrap/>
        <w:overflowPunct/>
        <w:topLinePunct w:val="0"/>
        <w:autoSpaceDE/>
        <w:autoSpaceDN/>
        <w:bidi w:val="0"/>
        <w:adjustRightInd/>
        <w:snapToGrid/>
        <w:spacing w:line="360" w:lineRule="auto"/>
        <w:textAlignment w:val="auto"/>
        <w:rPr>
          <w:rFonts w:ascii="仿宋" w:hAnsi="仿宋" w:eastAsia="仿宋"/>
          <w:sz w:val="32"/>
          <w:szCs w:val="32"/>
        </w:rPr>
      </w:pPr>
      <w:r>
        <w:rPr>
          <w:rFonts w:ascii="仿宋" w:hAnsi="仿宋" w:eastAsia="仿宋"/>
          <w:sz w:val="32"/>
          <w:szCs w:val="32"/>
        </w:rPr>
        <w:t xml:space="preserve">    抓常规教学，提高教学质量。抓好开学初各项计划的制定工作，学期中抓好</w:t>
      </w:r>
      <w:r>
        <w:rPr>
          <w:rFonts w:hint="eastAsia" w:ascii="仿宋" w:hAnsi="仿宋" w:eastAsia="仿宋"/>
          <w:sz w:val="32"/>
          <w:szCs w:val="32"/>
          <w:lang w:val="en-US" w:eastAsia="zh-CN"/>
        </w:rPr>
        <w:t>各项</w:t>
      </w:r>
      <w:r>
        <w:rPr>
          <w:rFonts w:ascii="仿宋" w:hAnsi="仿宋" w:eastAsia="仿宋"/>
          <w:sz w:val="32"/>
          <w:szCs w:val="32"/>
        </w:rPr>
        <w:t>计划的落实和监督工作，学期末抓好各项工作的总结和评比。组织各类教学竞赛和抽查，对</w:t>
      </w:r>
      <w:r>
        <w:rPr>
          <w:rFonts w:hint="eastAsia" w:ascii="仿宋" w:hAnsi="仿宋" w:eastAsia="仿宋"/>
          <w:sz w:val="32"/>
          <w:szCs w:val="32"/>
          <w:lang w:val="en-US" w:eastAsia="zh-CN"/>
        </w:rPr>
        <w:t>青年</w:t>
      </w:r>
      <w:r>
        <w:rPr>
          <w:rFonts w:ascii="仿宋" w:hAnsi="仿宋" w:eastAsia="仿宋"/>
          <w:sz w:val="32"/>
          <w:szCs w:val="32"/>
        </w:rPr>
        <w:t>教师进行听课和教学质量及工作落实情况的抽查，评估其在教育教学工作的完成情况和取得的成绩，切实有效</w:t>
      </w:r>
      <w:r>
        <w:rPr>
          <w:rFonts w:hint="eastAsia" w:ascii="仿宋" w:hAnsi="仿宋" w:eastAsia="仿宋"/>
          <w:sz w:val="32"/>
          <w:szCs w:val="32"/>
          <w:lang w:val="en-US" w:eastAsia="zh-CN"/>
        </w:rPr>
        <w:t>地</w:t>
      </w:r>
      <w:r>
        <w:rPr>
          <w:rFonts w:ascii="仿宋" w:hAnsi="仿宋" w:eastAsia="仿宋"/>
          <w:sz w:val="32"/>
          <w:szCs w:val="32"/>
        </w:rPr>
        <w:t>完成教学任务。</w:t>
      </w:r>
    </w:p>
    <w:p w14:paraId="7F926299">
      <w:pPr>
        <w:pStyle w:val="17"/>
        <w:pageBreakBefore w:val="0"/>
        <w:kinsoku/>
        <w:wordWrap/>
        <w:overflowPunct/>
        <w:topLinePunct w:val="0"/>
        <w:autoSpaceDE/>
        <w:autoSpaceDN/>
        <w:bidi w:val="0"/>
        <w:adjustRightInd/>
        <w:snapToGrid/>
        <w:spacing w:line="360" w:lineRule="auto"/>
        <w:ind w:firstLine="321" w:firstLineChars="100"/>
        <w:textAlignment w:val="auto"/>
        <w:rPr>
          <w:rFonts w:ascii="仿宋" w:hAnsi="仿宋" w:eastAsia="仿宋"/>
          <w:b/>
          <w:sz w:val="32"/>
          <w:szCs w:val="32"/>
        </w:rPr>
      </w:pPr>
      <w:r>
        <w:rPr>
          <w:rFonts w:ascii="仿宋" w:hAnsi="仿宋" w:eastAsia="仿宋"/>
          <w:b/>
          <w:sz w:val="32"/>
          <w:szCs w:val="32"/>
        </w:rPr>
        <w:t>（</w:t>
      </w:r>
      <w:r>
        <w:rPr>
          <w:rFonts w:hint="eastAsia" w:ascii="仿宋" w:hAnsi="仿宋" w:eastAsia="仿宋"/>
          <w:b/>
          <w:sz w:val="32"/>
          <w:szCs w:val="32"/>
          <w:lang w:val="en-US" w:eastAsia="zh-CN"/>
        </w:rPr>
        <w:t>4</w:t>
      </w:r>
      <w:r>
        <w:rPr>
          <w:rFonts w:ascii="仿宋" w:hAnsi="仿宋" w:eastAsia="仿宋"/>
          <w:b/>
          <w:sz w:val="32"/>
          <w:szCs w:val="32"/>
        </w:rPr>
        <w:t>）办学条件改善</w:t>
      </w:r>
    </w:p>
    <w:p w14:paraId="718F2863">
      <w:pPr>
        <w:pStyle w:val="17"/>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ascii="仿宋" w:hAnsi="仿宋" w:eastAsia="仿宋"/>
          <w:sz w:val="32"/>
          <w:szCs w:val="32"/>
        </w:rPr>
        <w:t>抓好校园环境建设。</w:t>
      </w:r>
      <w:r>
        <w:rPr>
          <w:rFonts w:hint="eastAsia" w:ascii="仿宋" w:hAnsi="仿宋" w:eastAsia="仿宋"/>
          <w:sz w:val="32"/>
          <w:szCs w:val="32"/>
          <w:lang w:val="en-US" w:eastAsia="zh-CN"/>
        </w:rPr>
        <w:t>加强</w:t>
      </w:r>
      <w:r>
        <w:rPr>
          <w:rFonts w:ascii="仿宋" w:hAnsi="仿宋" w:eastAsia="仿宋"/>
          <w:sz w:val="32"/>
          <w:szCs w:val="32"/>
        </w:rPr>
        <w:t>校园文化建设，进一步完善、美化校园环境，给学生创造更好的学习环境。进一步加强办公室文化建设。</w:t>
      </w:r>
    </w:p>
    <w:p w14:paraId="0738166B">
      <w:pPr>
        <w:pStyle w:val="17"/>
        <w:pageBreakBefore w:val="0"/>
        <w:kinsoku/>
        <w:wordWrap/>
        <w:overflowPunct/>
        <w:topLinePunct w:val="0"/>
        <w:autoSpaceDE/>
        <w:autoSpaceDN/>
        <w:bidi w:val="0"/>
        <w:adjustRightInd/>
        <w:snapToGrid/>
        <w:spacing w:line="360" w:lineRule="auto"/>
        <w:ind w:firstLine="321" w:firstLineChars="100"/>
        <w:textAlignment w:val="auto"/>
        <w:rPr>
          <w:rFonts w:ascii="仿宋" w:hAnsi="仿宋" w:eastAsia="仿宋"/>
          <w:b/>
          <w:sz w:val="32"/>
          <w:szCs w:val="32"/>
        </w:rPr>
      </w:pPr>
      <w:r>
        <w:rPr>
          <w:rFonts w:ascii="仿宋" w:hAnsi="仿宋" w:eastAsia="仿宋"/>
          <w:b/>
          <w:sz w:val="32"/>
          <w:szCs w:val="32"/>
        </w:rPr>
        <w:t>（</w:t>
      </w:r>
      <w:r>
        <w:rPr>
          <w:rFonts w:hint="eastAsia" w:ascii="仿宋" w:hAnsi="仿宋" w:eastAsia="仿宋"/>
          <w:b/>
          <w:sz w:val="32"/>
          <w:szCs w:val="32"/>
          <w:lang w:val="en-US" w:eastAsia="zh-CN"/>
        </w:rPr>
        <w:t>5</w:t>
      </w:r>
      <w:r>
        <w:rPr>
          <w:rFonts w:ascii="仿宋" w:hAnsi="仿宋" w:eastAsia="仿宋"/>
          <w:b/>
          <w:sz w:val="32"/>
          <w:szCs w:val="32"/>
        </w:rPr>
        <w:t>）</w:t>
      </w:r>
      <w:r>
        <w:rPr>
          <w:rFonts w:hint="eastAsia" w:ascii="仿宋" w:hAnsi="仿宋" w:eastAsia="仿宋"/>
          <w:b/>
          <w:sz w:val="32"/>
          <w:szCs w:val="32"/>
          <w:lang w:val="en-US" w:eastAsia="zh-CN"/>
        </w:rPr>
        <w:t>做好</w:t>
      </w:r>
      <w:r>
        <w:rPr>
          <w:rFonts w:ascii="仿宋" w:hAnsi="仿宋" w:eastAsia="仿宋"/>
          <w:b/>
          <w:sz w:val="32"/>
          <w:szCs w:val="32"/>
        </w:rPr>
        <w:t>后勤及安全管理工作</w:t>
      </w:r>
    </w:p>
    <w:p w14:paraId="48AB0263">
      <w:pPr>
        <w:pStyle w:val="17"/>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ascii="仿宋" w:hAnsi="仿宋" w:eastAsia="仿宋"/>
          <w:sz w:val="32"/>
          <w:szCs w:val="32"/>
        </w:rPr>
        <w:t>安全工作责任到人。要克服麻痹思想，排查交通安全、食品安全、活动安全、用电</w:t>
      </w:r>
      <w:r>
        <w:rPr>
          <w:rFonts w:hint="eastAsia" w:ascii="仿宋" w:hAnsi="仿宋" w:eastAsia="仿宋"/>
          <w:sz w:val="32"/>
          <w:szCs w:val="32"/>
          <w:lang w:val="en-US" w:eastAsia="zh-CN"/>
        </w:rPr>
        <w:t>安全</w:t>
      </w:r>
      <w:r>
        <w:rPr>
          <w:rFonts w:ascii="仿宋" w:hAnsi="仿宋" w:eastAsia="仿宋"/>
          <w:sz w:val="32"/>
          <w:szCs w:val="32"/>
        </w:rPr>
        <w:t>、用气安全隐患，建立责任追究制度，确保师生安全。要下大气力全面提高安全工作管理水平和应急能力，尤其要加强学校防火安全、食品安全和防溺水的安全</w:t>
      </w:r>
      <w:r>
        <w:rPr>
          <w:rFonts w:hint="eastAsia" w:ascii="仿宋" w:hAnsi="仿宋" w:eastAsia="仿宋"/>
          <w:sz w:val="32"/>
          <w:szCs w:val="32"/>
          <w:lang w:val="en-US" w:eastAsia="zh-CN"/>
        </w:rPr>
        <w:t>工作</w:t>
      </w:r>
      <w:r>
        <w:rPr>
          <w:rFonts w:ascii="仿宋" w:hAnsi="仿宋" w:eastAsia="仿宋"/>
          <w:sz w:val="32"/>
          <w:szCs w:val="32"/>
        </w:rPr>
        <w:t>。</w:t>
      </w:r>
    </w:p>
    <w:p w14:paraId="2E4A1140">
      <w:pPr>
        <w:pStyle w:val="17"/>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ascii="仿宋" w:hAnsi="仿宋" w:eastAsia="仿宋"/>
          <w:sz w:val="32"/>
          <w:szCs w:val="32"/>
        </w:rPr>
        <w:t>加强食堂管理。食堂工作人员坚持持证</w:t>
      </w:r>
      <w:r>
        <w:rPr>
          <w:rFonts w:hint="eastAsia" w:ascii="仿宋" w:hAnsi="仿宋" w:eastAsia="仿宋"/>
          <w:sz w:val="32"/>
          <w:szCs w:val="32"/>
          <w:lang w:val="en-US" w:eastAsia="zh-CN"/>
        </w:rPr>
        <w:t>上</w:t>
      </w:r>
      <w:r>
        <w:rPr>
          <w:rFonts w:ascii="仿宋" w:hAnsi="仿宋" w:eastAsia="仿宋"/>
          <w:sz w:val="32"/>
          <w:szCs w:val="32"/>
        </w:rPr>
        <w:t>岗，并以主人翁的态度做好食堂工作，尽心尽力为全校师生服务，杜绝安全事故的发生，定期对食堂的管理工作、环境卫生、食品卫生进行检查，发现问题及时整改。确保后勤服务到位，达到服务育人的目的。</w:t>
      </w:r>
    </w:p>
    <w:p w14:paraId="24A67C04">
      <w:pPr>
        <w:spacing w:line="576" w:lineRule="exact"/>
        <w:ind w:firstLine="640" w:firstLineChars="200"/>
        <w:outlineLvl w:val="0"/>
        <w:rPr>
          <w:rFonts w:ascii="黑体" w:hAnsi="黑体" w:eastAsia="黑体" w:cs="黑体"/>
          <w:sz w:val="32"/>
          <w:szCs w:val="32"/>
        </w:rPr>
      </w:pPr>
      <w:bookmarkStart w:id="4" w:name="_Toc14335"/>
      <w:r>
        <w:rPr>
          <w:rFonts w:hint="eastAsia" w:ascii="黑体" w:hAnsi="黑体" w:eastAsia="黑体" w:cs="黑体"/>
          <w:sz w:val="32"/>
          <w:szCs w:val="32"/>
        </w:rPr>
        <w:t>二、部门预算单位构成</w:t>
      </w:r>
      <w:bookmarkEnd w:id="4"/>
    </w:p>
    <w:p w14:paraId="7A09FA4F">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我单位</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广元市昭化区教育局</w:t>
      </w:r>
      <w:r>
        <w:rPr>
          <w:rFonts w:hint="eastAsia" w:ascii="仿宋_GB2312" w:hAnsi="仿宋_GB2312" w:eastAsia="仿宋_GB2312" w:cs="仿宋_GB2312"/>
          <w:sz w:val="32"/>
          <w:szCs w:val="32"/>
        </w:rPr>
        <w:t>的下属二级预算单位，</w:t>
      </w:r>
      <w:r>
        <w:rPr>
          <w:rFonts w:hint="eastAsia" w:ascii="仿宋_GB2312" w:hAnsi="仿宋_GB2312" w:eastAsia="仿宋_GB2312" w:cs="仿宋_GB2312"/>
          <w:sz w:val="32"/>
          <w:szCs w:val="32"/>
          <w:lang w:val="en-US" w:eastAsia="zh-CN"/>
        </w:rPr>
        <w:t>属于公益一类事业单位，无下属机构。</w:t>
      </w:r>
    </w:p>
    <w:p w14:paraId="6AB1C1F4">
      <w:pPr>
        <w:spacing w:line="576" w:lineRule="exact"/>
        <w:ind w:firstLine="640" w:firstLineChars="200"/>
        <w:outlineLvl w:val="0"/>
        <w:rPr>
          <w:rFonts w:ascii="黑体" w:hAnsi="黑体" w:eastAsia="黑体" w:cs="黑体"/>
          <w:sz w:val="32"/>
          <w:szCs w:val="32"/>
        </w:rPr>
      </w:pPr>
      <w:bookmarkStart w:id="5" w:name="_Toc19585"/>
      <w:r>
        <w:rPr>
          <w:rFonts w:hint="eastAsia" w:ascii="黑体" w:hAnsi="黑体" w:eastAsia="黑体" w:cs="黑体"/>
          <w:sz w:val="32"/>
          <w:szCs w:val="32"/>
        </w:rPr>
        <w:t>三、收支预算情况说明</w:t>
      </w:r>
      <w:bookmarkEnd w:id="5"/>
    </w:p>
    <w:p w14:paraId="5A616019">
      <w:pPr>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按照综合预算的原则，</w:t>
      </w:r>
      <w:r>
        <w:rPr>
          <w:rFonts w:hint="eastAsia" w:ascii="仿宋_GB2312" w:hAnsi="仿宋_GB2312" w:eastAsia="仿宋_GB2312" w:cs="仿宋_GB2312"/>
          <w:sz w:val="32"/>
          <w:szCs w:val="32"/>
          <w:lang w:val="en-US" w:eastAsia="zh-CN"/>
        </w:rPr>
        <w:t>沙坝小学</w:t>
      </w:r>
      <w:r>
        <w:rPr>
          <w:rFonts w:hint="eastAsia" w:ascii="仿宋_GB2312" w:hAnsi="仿宋_GB2312" w:eastAsia="仿宋_GB2312" w:cs="仿宋_GB2312"/>
          <w:sz w:val="32"/>
          <w:szCs w:val="32"/>
        </w:rPr>
        <w:t>所有收入和支出均纳入部门预算管理。收入</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rPr>
        <w:t>一般公共预算拨款收入；支出</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rPr>
        <w:t>教育支出。</w:t>
      </w:r>
      <w:r>
        <w:rPr>
          <w:rFonts w:hint="eastAsia" w:ascii="仿宋_GB2312" w:hAnsi="仿宋_GB2312" w:eastAsia="仿宋_GB2312" w:cs="仿宋_GB2312"/>
          <w:sz w:val="32"/>
          <w:szCs w:val="32"/>
          <w:lang w:val="en-US" w:eastAsia="zh-CN"/>
        </w:rPr>
        <w:t>沙坝小学</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年收支预算总数</w:t>
      </w:r>
      <w:r>
        <w:rPr>
          <w:rFonts w:hint="eastAsia" w:ascii="仿宋_GB2312" w:hAnsi="仿宋_GB2312" w:eastAsia="仿宋_GB2312" w:cs="仿宋_GB2312"/>
          <w:sz w:val="32"/>
          <w:szCs w:val="32"/>
          <w:lang w:val="en-US" w:eastAsia="zh-CN"/>
        </w:rPr>
        <w:t>576.60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年收支预算总数增加</w:t>
      </w:r>
      <w:r>
        <w:rPr>
          <w:rFonts w:hint="eastAsia" w:ascii="仿宋_GB2312" w:hAnsi="仿宋_GB2312" w:eastAsia="仿宋_GB2312" w:cs="仿宋_GB2312"/>
          <w:sz w:val="32"/>
          <w:szCs w:val="32"/>
          <w:lang w:val="en-US" w:eastAsia="zh-CN"/>
        </w:rPr>
        <w:t>25.90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主要是基本支出预算增加。</w:t>
      </w:r>
    </w:p>
    <w:p w14:paraId="1426AACE">
      <w:pPr>
        <w:spacing w:line="576" w:lineRule="exact"/>
        <w:ind w:firstLine="640" w:firstLineChars="200"/>
        <w:outlineLvl w:val="1"/>
        <w:rPr>
          <w:rFonts w:hint="eastAsia" w:ascii="仿宋" w:hAnsi="仿宋" w:eastAsia="仿宋" w:cs="仿宋"/>
          <w:sz w:val="32"/>
          <w:szCs w:val="32"/>
        </w:rPr>
      </w:pPr>
      <w:bookmarkStart w:id="6" w:name="_Toc22776"/>
      <w:r>
        <w:rPr>
          <w:rFonts w:hint="eastAsia" w:ascii="仿宋" w:hAnsi="仿宋" w:eastAsia="仿宋" w:cs="仿宋"/>
          <w:sz w:val="32"/>
          <w:szCs w:val="32"/>
        </w:rPr>
        <w:t>（一）收入预算情况</w:t>
      </w:r>
      <w:bookmarkEnd w:id="6"/>
    </w:p>
    <w:p w14:paraId="5B03340C">
      <w:pPr>
        <w:spacing w:line="576" w:lineRule="exact"/>
        <w:ind w:firstLine="640" w:firstLineChars="200"/>
        <w:rPr>
          <w:rFonts w:hint="eastAsia" w:ascii="仿宋" w:hAnsi="仿宋" w:eastAsia="仿宋" w:cs="仿宋"/>
          <w:b/>
          <w:bCs/>
          <w:sz w:val="32"/>
          <w:szCs w:val="32"/>
          <w:lang w:eastAsia="zh-CN"/>
        </w:rPr>
      </w:pPr>
      <w:r>
        <w:rPr>
          <w:rFonts w:hint="eastAsia" w:ascii="仿宋" w:hAnsi="仿宋" w:eastAsia="仿宋" w:cs="仿宋"/>
          <w:sz w:val="32"/>
          <w:szCs w:val="32"/>
          <w:lang w:val="en-US" w:eastAsia="zh-CN"/>
        </w:rPr>
        <w:t>沙坝小学</w:t>
      </w: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年收入预算</w:t>
      </w:r>
      <w:r>
        <w:rPr>
          <w:rFonts w:hint="eastAsia" w:ascii="仿宋" w:hAnsi="仿宋" w:eastAsia="仿宋" w:cs="仿宋"/>
          <w:sz w:val="32"/>
          <w:szCs w:val="32"/>
          <w:lang w:val="en-US" w:eastAsia="zh-CN"/>
        </w:rPr>
        <w:t>576.60</w:t>
      </w:r>
      <w:r>
        <w:rPr>
          <w:rFonts w:hint="eastAsia" w:ascii="仿宋" w:hAnsi="仿宋" w:eastAsia="仿宋" w:cs="仿宋"/>
          <w:sz w:val="32"/>
          <w:szCs w:val="32"/>
        </w:rPr>
        <w:t>万元，一般公共预算拨款收入</w:t>
      </w:r>
      <w:r>
        <w:rPr>
          <w:rFonts w:hint="eastAsia" w:ascii="仿宋" w:hAnsi="仿宋" w:eastAsia="仿宋" w:cs="仿宋"/>
          <w:sz w:val="32"/>
          <w:szCs w:val="32"/>
          <w:lang w:val="en-US" w:eastAsia="zh-CN"/>
        </w:rPr>
        <w:t>576.60</w:t>
      </w:r>
      <w:r>
        <w:rPr>
          <w:rFonts w:hint="eastAsia" w:ascii="仿宋" w:hAnsi="仿宋" w:eastAsia="仿宋" w:cs="仿宋"/>
          <w:sz w:val="32"/>
          <w:szCs w:val="32"/>
        </w:rPr>
        <w:t>万元，</w:t>
      </w:r>
      <w:r>
        <w:rPr>
          <w:rFonts w:hint="eastAsia" w:ascii="仿宋" w:hAnsi="仿宋" w:eastAsia="仿宋" w:cs="仿宋"/>
          <w:sz w:val="32"/>
          <w:szCs w:val="32"/>
          <w:lang w:val="en-US" w:eastAsia="zh-CN"/>
        </w:rPr>
        <w:t>占100</w:t>
      </w:r>
      <w:r>
        <w:rPr>
          <w:rFonts w:hint="eastAsia" w:ascii="仿宋" w:hAnsi="仿宋" w:eastAsia="仿宋" w:cs="仿宋"/>
          <w:sz w:val="32"/>
          <w:szCs w:val="32"/>
        </w:rPr>
        <w:t>%</w:t>
      </w:r>
      <w:r>
        <w:rPr>
          <w:rFonts w:hint="eastAsia" w:ascii="仿宋" w:hAnsi="仿宋" w:eastAsia="仿宋" w:cs="仿宋"/>
          <w:sz w:val="32"/>
          <w:szCs w:val="32"/>
          <w:lang w:eastAsia="zh-CN"/>
        </w:rPr>
        <w:t>。</w:t>
      </w:r>
    </w:p>
    <w:p w14:paraId="5402B6E9">
      <w:pPr>
        <w:spacing w:line="576" w:lineRule="exact"/>
        <w:ind w:firstLine="640" w:firstLineChars="200"/>
        <w:outlineLvl w:val="1"/>
        <w:rPr>
          <w:rFonts w:hint="eastAsia" w:ascii="仿宋" w:hAnsi="仿宋" w:eastAsia="仿宋" w:cs="仿宋"/>
          <w:sz w:val="32"/>
          <w:szCs w:val="32"/>
        </w:rPr>
      </w:pPr>
      <w:bookmarkStart w:id="7" w:name="_Toc3089"/>
      <w:r>
        <w:rPr>
          <w:rFonts w:hint="eastAsia" w:ascii="仿宋" w:hAnsi="仿宋" w:eastAsia="仿宋" w:cs="仿宋"/>
          <w:sz w:val="32"/>
          <w:szCs w:val="32"/>
          <w:lang w:eastAsia="zh-CN"/>
        </w:rPr>
        <w:t>（</w:t>
      </w:r>
      <w:r>
        <w:rPr>
          <w:rFonts w:hint="eastAsia" w:ascii="仿宋" w:hAnsi="仿宋" w:eastAsia="仿宋" w:cs="仿宋"/>
          <w:sz w:val="32"/>
          <w:szCs w:val="32"/>
        </w:rPr>
        <w:t>二）支出预算情况</w:t>
      </w:r>
      <w:bookmarkEnd w:id="7"/>
    </w:p>
    <w:p w14:paraId="20A57FF1">
      <w:pPr>
        <w:spacing w:line="576"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沙坝小学</w:t>
      </w: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年支出预算</w:t>
      </w:r>
      <w:r>
        <w:rPr>
          <w:rFonts w:hint="eastAsia" w:ascii="仿宋" w:hAnsi="仿宋" w:eastAsia="仿宋" w:cs="仿宋"/>
          <w:sz w:val="32"/>
          <w:szCs w:val="32"/>
          <w:lang w:val="en-US" w:eastAsia="zh-CN"/>
        </w:rPr>
        <w:t>576.60</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535.54</w:t>
      </w:r>
      <w:r>
        <w:rPr>
          <w:rFonts w:hint="eastAsia" w:ascii="仿宋" w:hAnsi="仿宋" w:eastAsia="仿宋" w:cs="仿宋"/>
          <w:sz w:val="32"/>
          <w:szCs w:val="32"/>
        </w:rPr>
        <w:t>万元，占</w:t>
      </w:r>
      <w:r>
        <w:rPr>
          <w:rFonts w:hint="eastAsia" w:ascii="仿宋" w:hAnsi="仿宋" w:eastAsia="仿宋" w:cs="仿宋"/>
          <w:sz w:val="32"/>
          <w:szCs w:val="32"/>
          <w:lang w:val="en-US" w:eastAsia="zh-CN"/>
        </w:rPr>
        <w:t>92.88</w:t>
      </w:r>
      <w:r>
        <w:rPr>
          <w:rFonts w:hint="eastAsia" w:ascii="仿宋" w:hAnsi="仿宋" w:eastAsia="仿宋" w:cs="仿宋"/>
          <w:sz w:val="32"/>
          <w:szCs w:val="32"/>
        </w:rPr>
        <w:t>%；项目支出</w:t>
      </w:r>
      <w:r>
        <w:rPr>
          <w:rFonts w:hint="eastAsia" w:ascii="仿宋" w:hAnsi="仿宋" w:eastAsia="仿宋" w:cs="仿宋"/>
          <w:sz w:val="32"/>
          <w:szCs w:val="32"/>
          <w:lang w:val="en-US" w:eastAsia="zh-CN"/>
        </w:rPr>
        <w:t>41.06</w:t>
      </w:r>
      <w:r>
        <w:rPr>
          <w:rFonts w:hint="eastAsia" w:ascii="仿宋" w:hAnsi="仿宋" w:eastAsia="仿宋" w:cs="仿宋"/>
          <w:sz w:val="32"/>
          <w:szCs w:val="32"/>
        </w:rPr>
        <w:t>万元，占</w:t>
      </w:r>
      <w:r>
        <w:rPr>
          <w:rFonts w:hint="eastAsia" w:ascii="仿宋" w:hAnsi="仿宋" w:eastAsia="仿宋" w:cs="仿宋"/>
          <w:sz w:val="32"/>
          <w:szCs w:val="32"/>
          <w:lang w:val="en-US" w:eastAsia="zh-CN"/>
        </w:rPr>
        <w:t>7.12</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 </w:t>
      </w:r>
    </w:p>
    <w:p w14:paraId="3DD52A47">
      <w:pPr>
        <w:spacing w:line="576" w:lineRule="exact"/>
        <w:ind w:firstLine="640" w:firstLineChars="200"/>
        <w:outlineLvl w:val="0"/>
        <w:rPr>
          <w:rFonts w:ascii="黑体" w:hAnsi="黑体" w:eastAsia="黑体" w:cs="黑体"/>
          <w:sz w:val="32"/>
          <w:szCs w:val="32"/>
        </w:rPr>
      </w:pPr>
      <w:r>
        <w:rPr>
          <w:rFonts w:hint="eastAsia" w:ascii="仿宋_GB2312" w:hAnsi="仿宋_GB2312" w:eastAsia="仿宋_GB2312" w:cs="仿宋_GB2312"/>
          <w:sz w:val="32"/>
          <w:szCs w:val="32"/>
          <w:lang w:val="en-US" w:eastAsia="zh-CN"/>
        </w:rPr>
        <w:t xml:space="preserve"> </w:t>
      </w:r>
      <w:bookmarkStart w:id="8" w:name="_Toc1527"/>
      <w:r>
        <w:rPr>
          <w:rFonts w:hint="eastAsia" w:ascii="黑体" w:hAnsi="黑体" w:eastAsia="黑体" w:cs="黑体"/>
          <w:sz w:val="32"/>
          <w:szCs w:val="32"/>
        </w:rPr>
        <w:t>四、财政拨款收支预算情况说明</w:t>
      </w:r>
      <w:bookmarkEnd w:id="8"/>
    </w:p>
    <w:p w14:paraId="55A94CFB">
      <w:pPr>
        <w:spacing w:line="576"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沙坝小学</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年财政拨款收支预算总数</w:t>
      </w:r>
      <w:r>
        <w:rPr>
          <w:rFonts w:hint="eastAsia" w:ascii="仿宋_GB2312" w:hAnsi="仿宋_GB2312" w:eastAsia="仿宋_GB2312" w:cs="仿宋_GB2312"/>
          <w:sz w:val="32"/>
          <w:szCs w:val="32"/>
          <w:lang w:val="en-US" w:eastAsia="zh-CN"/>
        </w:rPr>
        <w:t>576.60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年财政拨款收支预算总数增加</w:t>
      </w:r>
      <w:r>
        <w:rPr>
          <w:rFonts w:hint="eastAsia" w:ascii="仿宋_GB2312" w:hAnsi="仿宋_GB2312" w:eastAsia="仿宋_GB2312" w:cs="仿宋_GB2312"/>
          <w:sz w:val="32"/>
          <w:szCs w:val="32"/>
          <w:lang w:val="en-US" w:eastAsia="zh-CN"/>
        </w:rPr>
        <w:t>25.90</w:t>
      </w:r>
      <w:r>
        <w:rPr>
          <w:rFonts w:hint="eastAsia" w:ascii="仿宋_GB2312" w:hAnsi="仿宋_GB2312" w:eastAsia="仿宋_GB2312" w:cs="仿宋_GB2312"/>
          <w:sz w:val="32"/>
          <w:szCs w:val="32"/>
        </w:rPr>
        <w:t>万元，主要原因是</w:t>
      </w:r>
      <w:r>
        <w:rPr>
          <w:rFonts w:hint="eastAsia" w:ascii="仿宋_GB2312" w:hAnsi="仿宋_GB2312" w:eastAsia="仿宋_GB2312" w:cs="仿宋_GB2312"/>
          <w:sz w:val="32"/>
          <w:szCs w:val="32"/>
          <w:lang w:val="en-US" w:eastAsia="zh-CN"/>
        </w:rPr>
        <w:t>基本支出增加。</w:t>
      </w:r>
    </w:p>
    <w:p w14:paraId="13FF366B">
      <w:pPr>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w:t>
      </w:r>
      <w:r>
        <w:rPr>
          <w:rFonts w:hint="eastAsia" w:ascii="仿宋_GB2312" w:hAnsi="仿宋_GB2312" w:eastAsia="仿宋_GB2312" w:cs="仿宋_GB2312"/>
          <w:sz w:val="32"/>
          <w:szCs w:val="32"/>
        </w:rPr>
        <w:t>本年一般公共预算拨款收入</w:t>
      </w:r>
      <w:r>
        <w:rPr>
          <w:rFonts w:hint="eastAsia" w:ascii="仿宋_GB2312" w:hAnsi="仿宋_GB2312" w:eastAsia="仿宋_GB2312" w:cs="仿宋_GB2312"/>
          <w:sz w:val="32"/>
          <w:szCs w:val="32"/>
          <w:lang w:val="en-US" w:eastAsia="zh-CN"/>
        </w:rPr>
        <w:t>576.60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支出包括：</w:t>
      </w:r>
      <w:r>
        <w:rPr>
          <w:rFonts w:hint="eastAsia" w:ascii="仿宋_GB2312" w:hAnsi="仿宋_GB2312" w:eastAsia="仿宋_GB2312" w:cs="仿宋_GB2312"/>
          <w:sz w:val="32"/>
          <w:szCs w:val="32"/>
        </w:rPr>
        <w:t>教育支出</w:t>
      </w:r>
      <w:r>
        <w:rPr>
          <w:rFonts w:hint="eastAsia" w:ascii="仿宋_GB2312" w:hAnsi="仿宋_GB2312" w:eastAsia="仿宋_GB2312" w:cs="仿宋_GB2312"/>
          <w:sz w:val="32"/>
          <w:szCs w:val="32"/>
          <w:lang w:val="en-US" w:eastAsia="zh-CN"/>
        </w:rPr>
        <w:t>576.60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14:paraId="4909C640">
      <w:pPr>
        <w:numPr>
          <w:ilvl w:val="0"/>
          <w:numId w:val="1"/>
        </w:numPr>
        <w:spacing w:line="576" w:lineRule="exact"/>
        <w:ind w:firstLine="640" w:firstLineChars="200"/>
        <w:outlineLvl w:val="0"/>
        <w:rPr>
          <w:rFonts w:hint="eastAsia" w:ascii="黑体" w:hAnsi="黑体" w:eastAsia="黑体" w:cs="黑体"/>
          <w:sz w:val="32"/>
          <w:szCs w:val="32"/>
        </w:rPr>
      </w:pPr>
      <w:bookmarkStart w:id="9" w:name="_Toc18592"/>
      <w:r>
        <w:rPr>
          <w:rFonts w:hint="eastAsia" w:ascii="黑体" w:hAnsi="黑体" w:eastAsia="黑体" w:cs="黑体"/>
          <w:sz w:val="32"/>
          <w:szCs w:val="32"/>
        </w:rPr>
        <w:t>一般公共预算当年拨款情况说明</w:t>
      </w:r>
      <w:bookmarkEnd w:id="9"/>
    </w:p>
    <w:p w14:paraId="6F5F09A2">
      <w:pPr>
        <w:numPr>
          <w:ilvl w:val="0"/>
          <w:numId w:val="0"/>
        </w:numPr>
        <w:spacing w:line="576" w:lineRule="exact"/>
        <w:ind w:firstLine="640" w:firstLineChars="200"/>
        <w:outlineLvl w:val="1"/>
        <w:rPr>
          <w:rFonts w:hint="eastAsia" w:ascii="仿宋" w:hAnsi="仿宋" w:eastAsia="仿宋" w:cs="仿宋"/>
          <w:sz w:val="32"/>
          <w:szCs w:val="32"/>
        </w:rPr>
      </w:pPr>
      <w:bookmarkStart w:id="10" w:name="_Toc29124"/>
      <w:r>
        <w:rPr>
          <w:rFonts w:hint="eastAsia" w:ascii="仿宋" w:hAnsi="仿宋" w:eastAsia="仿宋" w:cs="仿宋"/>
          <w:sz w:val="32"/>
          <w:szCs w:val="32"/>
        </w:rPr>
        <w:t>（一）一般公共预算当年拨款规模变化情况</w:t>
      </w:r>
      <w:bookmarkEnd w:id="10"/>
    </w:p>
    <w:p w14:paraId="6F650B9C">
      <w:pPr>
        <w:spacing w:line="576"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沙坝小学</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年一般公共预算当年拨款</w:t>
      </w:r>
      <w:r>
        <w:rPr>
          <w:rFonts w:hint="eastAsia" w:ascii="仿宋_GB2312" w:hAnsi="仿宋_GB2312" w:eastAsia="仿宋_GB2312" w:cs="仿宋_GB2312"/>
          <w:sz w:val="32"/>
          <w:szCs w:val="32"/>
          <w:lang w:val="en-US" w:eastAsia="zh-CN"/>
        </w:rPr>
        <w:t>576.60</w:t>
      </w:r>
      <w:r>
        <w:rPr>
          <w:rFonts w:hint="eastAsia" w:ascii="仿宋_GB2312" w:hAnsi="仿宋_GB2312" w:eastAsia="仿宋_GB2312" w:cs="仿宋_GB2312"/>
          <w:sz w:val="32"/>
          <w:szCs w:val="32"/>
        </w:rPr>
        <w:t>万元，比202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年预算数增</w:t>
      </w:r>
      <w:r>
        <w:rPr>
          <w:rFonts w:hint="eastAsia" w:ascii="仿宋_GB2312" w:hAnsi="仿宋_GB2312" w:eastAsia="仿宋_GB2312" w:cs="仿宋_GB2312"/>
          <w:sz w:val="32"/>
          <w:szCs w:val="32"/>
          <w:lang w:val="en-US" w:eastAsia="zh-CN"/>
        </w:rPr>
        <w:t>加25.96</w:t>
      </w:r>
      <w:r>
        <w:rPr>
          <w:rFonts w:hint="eastAsia" w:ascii="仿宋_GB2312" w:hAnsi="仿宋_GB2312" w:eastAsia="仿宋_GB2312" w:cs="仿宋_GB2312"/>
          <w:sz w:val="32"/>
          <w:szCs w:val="32"/>
        </w:rPr>
        <w:t>万元，主要原因是</w:t>
      </w:r>
      <w:r>
        <w:rPr>
          <w:rFonts w:hint="eastAsia" w:ascii="仿宋_GB2312" w:hAnsi="仿宋_GB2312" w:eastAsia="仿宋_GB2312" w:cs="仿宋_GB2312"/>
          <w:sz w:val="32"/>
          <w:szCs w:val="32"/>
          <w:lang w:val="en-US" w:eastAsia="zh-CN"/>
        </w:rPr>
        <w:t>基本支出预算增加。</w:t>
      </w:r>
    </w:p>
    <w:p w14:paraId="45CB4DF8">
      <w:pPr>
        <w:spacing w:line="576" w:lineRule="exact"/>
        <w:ind w:firstLine="640" w:firstLineChars="200"/>
        <w:outlineLvl w:val="1"/>
        <w:rPr>
          <w:rFonts w:hint="eastAsia" w:ascii="仿宋" w:hAnsi="仿宋" w:eastAsia="仿宋" w:cs="仿宋"/>
          <w:sz w:val="32"/>
          <w:szCs w:val="32"/>
        </w:rPr>
      </w:pPr>
      <w:bookmarkStart w:id="11" w:name="_Toc23657"/>
      <w:r>
        <w:rPr>
          <w:rFonts w:hint="eastAsia" w:ascii="仿宋" w:hAnsi="仿宋" w:eastAsia="仿宋" w:cs="仿宋"/>
          <w:sz w:val="32"/>
          <w:szCs w:val="32"/>
          <w:lang w:eastAsia="zh-CN"/>
        </w:rPr>
        <w:t>（</w:t>
      </w:r>
      <w:r>
        <w:rPr>
          <w:rFonts w:hint="eastAsia" w:ascii="仿宋" w:hAnsi="仿宋" w:eastAsia="仿宋" w:cs="仿宋"/>
          <w:sz w:val="32"/>
          <w:szCs w:val="32"/>
        </w:rPr>
        <w:t>二）一般公共预算当年拨款结构情况</w:t>
      </w:r>
      <w:bookmarkEnd w:id="11"/>
    </w:p>
    <w:p w14:paraId="30DB1C35">
      <w:pPr>
        <w:spacing w:line="576" w:lineRule="exact"/>
        <w:ind w:firstLine="640"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rPr>
        <w:t>教育支出</w:t>
      </w:r>
      <w:r>
        <w:rPr>
          <w:rFonts w:hint="eastAsia" w:ascii="仿宋_GB2312" w:hAnsi="仿宋_GB2312" w:eastAsia="仿宋_GB2312" w:cs="仿宋_GB2312"/>
          <w:sz w:val="32"/>
          <w:szCs w:val="32"/>
          <w:lang w:val="en-US" w:eastAsia="zh-CN"/>
        </w:rPr>
        <w:t>576.60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67664114">
      <w:pPr>
        <w:spacing w:line="576" w:lineRule="exact"/>
        <w:ind w:firstLine="640" w:firstLineChars="200"/>
        <w:outlineLvl w:val="1"/>
        <w:rPr>
          <w:rFonts w:ascii="楷体_GB2312" w:hAnsi="楷体_GB2312" w:eastAsia="楷体_GB2312" w:cs="楷体_GB2312"/>
          <w:sz w:val="32"/>
          <w:szCs w:val="32"/>
        </w:rPr>
      </w:pPr>
      <w:bookmarkStart w:id="12" w:name="_Toc32247"/>
      <w:r>
        <w:rPr>
          <w:rFonts w:hint="eastAsia" w:ascii="楷体_GB2312" w:hAnsi="楷体_GB2312" w:eastAsia="楷体_GB2312" w:cs="楷体_GB2312"/>
          <w:sz w:val="32"/>
          <w:szCs w:val="32"/>
        </w:rPr>
        <w:t>（三）一般公共预算当年拨款具体使用情况</w:t>
      </w:r>
      <w:bookmarkEnd w:id="12"/>
    </w:p>
    <w:p w14:paraId="636FB6FD">
      <w:pPr>
        <w:widowControl/>
        <w:numPr>
          <w:ilvl w:val="0"/>
          <w:numId w:val="0"/>
        </w:numPr>
        <w:pBdr>
          <w:bottom w:val="single" w:color="FFFFFF" w:sz="8" w:space="31"/>
        </w:pBdr>
        <w:shd w:val="clear" w:color="auto" w:fill="FFFFFF"/>
        <w:spacing w:line="580" w:lineRule="atLeas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教育支出</w:t>
      </w:r>
      <w:r>
        <w:rPr>
          <w:rFonts w:ascii="Times New Roman" w:hAnsi="Times New Roman" w:eastAsia="仿宋_GB2312"/>
          <w:sz w:val="32"/>
          <w:szCs w:val="32"/>
        </w:rPr>
        <w:t>（类）</w:t>
      </w:r>
      <w:r>
        <w:rPr>
          <w:rFonts w:hint="eastAsia" w:ascii="Times New Roman" w:hAnsi="Times New Roman" w:eastAsia="仿宋_GB2312"/>
          <w:sz w:val="32"/>
          <w:szCs w:val="32"/>
        </w:rPr>
        <w:t>普通教育</w:t>
      </w:r>
      <w:r>
        <w:rPr>
          <w:rFonts w:ascii="Times New Roman" w:hAnsi="Times New Roman" w:eastAsia="仿宋_GB2312"/>
          <w:sz w:val="32"/>
          <w:szCs w:val="32"/>
        </w:rPr>
        <w:t>（款）</w:t>
      </w:r>
      <w:r>
        <w:rPr>
          <w:rFonts w:hint="eastAsia" w:ascii="Times New Roman" w:hAnsi="Times New Roman" w:eastAsia="仿宋_GB2312"/>
          <w:sz w:val="32"/>
          <w:szCs w:val="32"/>
        </w:rPr>
        <w:t>学前教育</w:t>
      </w:r>
      <w:r>
        <w:rPr>
          <w:rFonts w:ascii="Times New Roman" w:hAnsi="Times New Roman" w:eastAsia="仿宋_GB2312"/>
          <w:sz w:val="32"/>
          <w:szCs w:val="32"/>
        </w:rPr>
        <w:t>（项）202</w:t>
      </w:r>
      <w:r>
        <w:rPr>
          <w:rFonts w:hint="eastAsia" w:ascii="Times New Roman" w:hAnsi="Times New Roman" w:eastAsia="仿宋_GB2312"/>
          <w:sz w:val="32"/>
          <w:szCs w:val="32"/>
          <w:lang w:val="en-US" w:eastAsia="zh-CN"/>
        </w:rPr>
        <w:t>5</w:t>
      </w:r>
      <w:r>
        <w:rPr>
          <w:rFonts w:ascii="Times New Roman" w:hAnsi="Times New Roman" w:eastAsia="仿宋_GB2312"/>
          <w:sz w:val="32"/>
          <w:szCs w:val="32"/>
        </w:rPr>
        <w:t>年预算数为</w:t>
      </w:r>
      <w:r>
        <w:rPr>
          <w:rFonts w:hint="eastAsia" w:ascii="Times New Roman" w:hAnsi="Times New Roman" w:eastAsia="仿宋_GB2312"/>
          <w:sz w:val="32"/>
          <w:szCs w:val="32"/>
          <w:lang w:val="en-US" w:eastAsia="zh-CN"/>
        </w:rPr>
        <w:t>3.36</w:t>
      </w:r>
      <w:r>
        <w:rPr>
          <w:rFonts w:ascii="Times New Roman" w:hAnsi="Times New Roman" w:eastAsia="仿宋_GB2312"/>
          <w:sz w:val="32"/>
          <w:szCs w:val="32"/>
        </w:rPr>
        <w:t>万元，主要用于：</w:t>
      </w:r>
      <w:r>
        <w:rPr>
          <w:rFonts w:hint="eastAsia" w:ascii="Times New Roman" w:hAnsi="Times New Roman" w:eastAsia="仿宋_GB2312"/>
          <w:sz w:val="32"/>
          <w:szCs w:val="32"/>
          <w:lang w:val="en-US" w:eastAsia="zh-CN"/>
        </w:rPr>
        <w:t>本单位</w:t>
      </w:r>
      <w:r>
        <w:rPr>
          <w:rFonts w:hint="eastAsia" w:ascii="Times New Roman" w:hAnsi="Times New Roman" w:eastAsia="仿宋_GB2312"/>
          <w:sz w:val="32"/>
          <w:szCs w:val="32"/>
        </w:rPr>
        <w:t>学前教育发展的基本支出，包括基本工资、津贴补贴、基础绩效奖等人员经费以及机构运行所需的办公费、印刷费、维修（护）费、工会经费等运行补助经费。</w:t>
      </w:r>
    </w:p>
    <w:p w14:paraId="16B97BF8">
      <w:pPr>
        <w:widowControl/>
        <w:pBdr>
          <w:bottom w:val="single" w:color="FFFFFF" w:sz="8" w:space="31"/>
        </w:pBdr>
        <w:shd w:val="clear" w:color="auto" w:fill="FFFFFF"/>
        <w:spacing w:line="580" w:lineRule="atLeas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2</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rPr>
        <w:t>教育支出</w:t>
      </w:r>
      <w:r>
        <w:rPr>
          <w:rFonts w:ascii="Times New Roman" w:hAnsi="Times New Roman" w:eastAsia="仿宋_GB2312"/>
          <w:sz w:val="32"/>
          <w:szCs w:val="32"/>
        </w:rPr>
        <w:t>（类）</w:t>
      </w:r>
      <w:r>
        <w:rPr>
          <w:rFonts w:hint="eastAsia" w:ascii="Times New Roman" w:hAnsi="Times New Roman" w:eastAsia="仿宋_GB2312"/>
          <w:sz w:val="32"/>
          <w:szCs w:val="32"/>
        </w:rPr>
        <w:t>普通教育</w:t>
      </w:r>
      <w:r>
        <w:rPr>
          <w:rFonts w:ascii="Times New Roman" w:hAnsi="Times New Roman" w:eastAsia="仿宋_GB2312"/>
          <w:sz w:val="32"/>
          <w:szCs w:val="32"/>
        </w:rPr>
        <w:t>（款）</w:t>
      </w:r>
      <w:r>
        <w:rPr>
          <w:rFonts w:hint="eastAsia" w:ascii="Times New Roman" w:hAnsi="Times New Roman" w:eastAsia="仿宋_GB2312"/>
          <w:sz w:val="32"/>
          <w:szCs w:val="32"/>
        </w:rPr>
        <w:t>小学教育</w:t>
      </w:r>
      <w:r>
        <w:rPr>
          <w:rFonts w:ascii="Times New Roman" w:hAnsi="Times New Roman" w:eastAsia="仿宋_GB2312"/>
          <w:sz w:val="32"/>
          <w:szCs w:val="32"/>
        </w:rPr>
        <w:t>（项）202</w:t>
      </w:r>
      <w:r>
        <w:rPr>
          <w:rFonts w:hint="eastAsia" w:ascii="Times New Roman" w:hAnsi="Times New Roman" w:eastAsia="仿宋_GB2312"/>
          <w:sz w:val="32"/>
          <w:szCs w:val="32"/>
          <w:lang w:val="en-US" w:eastAsia="zh-CN"/>
        </w:rPr>
        <w:t>5</w:t>
      </w:r>
      <w:r>
        <w:rPr>
          <w:rFonts w:ascii="Times New Roman" w:hAnsi="Times New Roman" w:eastAsia="仿宋_GB2312"/>
          <w:sz w:val="32"/>
          <w:szCs w:val="32"/>
        </w:rPr>
        <w:t>年预算数为</w:t>
      </w:r>
      <w:r>
        <w:rPr>
          <w:rFonts w:hint="eastAsia" w:ascii="Times New Roman" w:hAnsi="Times New Roman" w:eastAsia="仿宋_GB2312"/>
          <w:sz w:val="32"/>
          <w:szCs w:val="32"/>
          <w:lang w:val="en-US" w:eastAsia="zh-CN"/>
        </w:rPr>
        <w:t>573.24</w:t>
      </w:r>
      <w:r>
        <w:rPr>
          <w:rFonts w:ascii="Times New Roman" w:hAnsi="Times New Roman" w:eastAsia="仿宋_GB2312"/>
          <w:sz w:val="32"/>
          <w:szCs w:val="32"/>
        </w:rPr>
        <w:t>万元，主要用于：</w:t>
      </w:r>
      <w:r>
        <w:rPr>
          <w:rFonts w:hint="eastAsia" w:ascii="Times New Roman" w:hAnsi="Times New Roman" w:eastAsia="仿宋_GB2312"/>
          <w:sz w:val="32"/>
          <w:szCs w:val="32"/>
        </w:rPr>
        <w:t>包括基本工资、津贴补贴、基础绩效奖等人员经费以及机构运行所需的办公费、印刷费、维修（护）费、工会经费等运行补助经费。</w:t>
      </w:r>
    </w:p>
    <w:p w14:paraId="473B8C46">
      <w:pPr>
        <w:widowControl/>
        <w:pBdr>
          <w:bottom w:val="single" w:color="FFFFFF" w:sz="8" w:space="31"/>
        </w:pBdr>
        <w:shd w:val="clear" w:color="auto" w:fill="FFFFFF"/>
        <w:spacing w:line="580" w:lineRule="atLeast"/>
        <w:ind w:firstLine="640" w:firstLineChars="200"/>
        <w:outlineLvl w:val="0"/>
        <w:rPr>
          <w:rFonts w:hint="eastAsia" w:ascii="黑体" w:hAnsi="黑体" w:eastAsia="黑体" w:cs="黑体"/>
          <w:sz w:val="32"/>
          <w:szCs w:val="32"/>
        </w:rPr>
      </w:pPr>
      <w:bookmarkStart w:id="13" w:name="_Toc31176"/>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般公共预算基本支出情况说明</w:t>
      </w:r>
      <w:bookmarkEnd w:id="13"/>
    </w:p>
    <w:p w14:paraId="66AB1C5A">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 w:hAnsi="仿宋" w:eastAsia="仿宋" w:cs="仿宋"/>
          <w:sz w:val="32"/>
          <w:szCs w:val="32"/>
          <w:lang w:val="en-US" w:eastAsia="zh-CN"/>
        </w:rPr>
        <w:t>沙坝小学</w:t>
      </w:r>
      <w:r>
        <w:rPr>
          <w:rFonts w:hint="eastAsia" w:ascii="仿宋" w:hAnsi="仿宋" w:eastAsia="仿宋" w:cs="仿宋"/>
          <w:sz w:val="32"/>
          <w:szCs w:val="32"/>
        </w:rPr>
        <w:t>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年一般公共预算基本支出</w:t>
      </w:r>
      <w:r>
        <w:rPr>
          <w:rFonts w:hint="eastAsia" w:ascii="仿宋_GB2312" w:hAnsi="仿宋_GB2312" w:eastAsia="仿宋_GB2312" w:cs="仿宋_GB2312"/>
          <w:sz w:val="32"/>
          <w:szCs w:val="32"/>
          <w:lang w:val="en-US" w:eastAsia="zh-CN"/>
        </w:rPr>
        <w:t>535.54</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535.54</w:t>
      </w:r>
      <w:r>
        <w:rPr>
          <w:rFonts w:hint="eastAsia" w:ascii="仿宋_GB2312" w:hAnsi="仿宋_GB2312" w:eastAsia="仿宋_GB2312" w:cs="仿宋_GB2312"/>
          <w:sz w:val="32"/>
          <w:szCs w:val="32"/>
        </w:rPr>
        <w:t>万元，主要包括：基本工资、津贴补贴、奖金、</w:t>
      </w:r>
      <w:r>
        <w:rPr>
          <w:rFonts w:hint="eastAsia" w:ascii="仿宋_GB2312" w:hAnsi="仿宋_GB2312" w:eastAsia="仿宋_GB2312" w:cs="仿宋_GB2312"/>
          <w:sz w:val="32"/>
          <w:szCs w:val="32"/>
          <w:lang w:val="en-US" w:eastAsia="zh-CN"/>
        </w:rPr>
        <w:t>绩效工资、机关事业单位基本养老保险缴费、职工基本医疗保险缴费、其他</w:t>
      </w:r>
      <w:r>
        <w:commentReference w:id="0"/>
      </w:r>
      <w:r>
        <w:rPr>
          <w:rFonts w:hint="eastAsia" w:ascii="仿宋_GB2312" w:hAnsi="仿宋_GB2312" w:eastAsia="仿宋_GB2312" w:cs="仿宋_GB2312"/>
          <w:sz w:val="32"/>
          <w:szCs w:val="32"/>
          <w:lang w:eastAsia="zh-CN"/>
        </w:rPr>
        <w:t>社会保险</w:t>
      </w:r>
      <w:r>
        <w:rPr>
          <w:rFonts w:hint="eastAsia" w:ascii="仿宋_GB2312" w:hAnsi="仿宋_GB2312" w:eastAsia="仿宋_GB2312" w:cs="仿宋_GB2312"/>
          <w:sz w:val="32"/>
          <w:szCs w:val="32"/>
        </w:rPr>
        <w:t>缴费、住房公积金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其他工资福利、生活补助、奖励金</w:t>
      </w:r>
      <w:r>
        <w:rPr>
          <w:rFonts w:hint="eastAsia" w:ascii="仿宋_GB2312" w:hAnsi="仿宋_GB2312" w:eastAsia="仿宋_GB2312" w:cs="仿宋_GB2312"/>
          <w:sz w:val="32"/>
          <w:szCs w:val="32"/>
        </w:rPr>
        <w:t>等支出。</w:t>
      </w:r>
    </w:p>
    <w:p w14:paraId="42C6CA40">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公用经费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bookmarkStart w:id="14" w:name="_Toc5654"/>
    </w:p>
    <w:p w14:paraId="0B88C0D8">
      <w:pPr>
        <w:keepNext w:val="0"/>
        <w:keepLines w:val="0"/>
        <w:pageBreakBefore w:val="0"/>
        <w:widowControl w:val="0"/>
        <w:pBdr>
          <w:bottom w:val="single" w:color="FFFFFF" w:sz="8" w:space="31"/>
        </w:pBdr>
        <w:shd w:val="clear" w:color="auto" w:fill="FFFFFF"/>
        <w:kinsoku/>
        <w:wordWrap/>
        <w:overflowPunct/>
        <w:topLinePunct w:val="0"/>
        <w:autoSpaceDE/>
        <w:autoSpaceDN/>
        <w:bidi w:val="0"/>
        <w:adjustRightInd/>
        <w:snapToGrid w:val="0"/>
        <w:spacing w:line="240" w:lineRule="auto"/>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七、“三公”经费财政拨款预算安排情况说明</w:t>
      </w:r>
      <w:bookmarkEnd w:id="14"/>
    </w:p>
    <w:p w14:paraId="5F06F094">
      <w:pPr>
        <w:keepNext w:val="0"/>
        <w:keepLines w:val="0"/>
        <w:pageBreakBefore w:val="0"/>
        <w:kinsoku/>
        <w:wordWrap/>
        <w:overflowPunct/>
        <w:topLinePunct w:val="0"/>
        <w:autoSpaceDE/>
        <w:autoSpaceDN/>
        <w:bidi w:val="0"/>
        <w:adjustRightInd/>
        <w:snapToGrid/>
        <w:spacing w:line="15"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沙坝小学</w:t>
      </w: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年“三公”经费财政拨款预算数</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w:t>
      </w:r>
    </w:p>
    <w:p w14:paraId="4BD860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其中：公务接待费0万元，公务用车购置及运行维护费0万元，因公出国（境）经费0万元。</w:t>
      </w:r>
    </w:p>
    <w:p w14:paraId="209776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2025年未安排公务用车购置费0万元。</w:t>
      </w:r>
    </w:p>
    <w:p w14:paraId="779F3AB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45700EF1">
      <w:pPr>
        <w:spacing w:line="576"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2025年，沙坝小学未安排政府采购预算。</w:t>
      </w:r>
    </w:p>
    <w:p w14:paraId="31632FD0">
      <w:pPr>
        <w:widowControl/>
        <w:numPr>
          <w:ilvl w:val="0"/>
          <w:numId w:val="0"/>
        </w:numPr>
        <w:pBdr>
          <w:bottom w:val="single" w:color="FFFFFF" w:sz="8" w:space="31"/>
        </w:pBdr>
        <w:shd w:val="clear" w:color="auto" w:fill="FFFFFF"/>
        <w:spacing w:line="580" w:lineRule="atLeast"/>
        <w:ind w:firstLine="640" w:firstLineChars="200"/>
        <w:outlineLvl w:val="0"/>
        <w:rPr>
          <w:rFonts w:hint="eastAsia" w:ascii="黑体" w:hAnsi="黑体" w:eastAsia="黑体" w:cs="黑体"/>
          <w:sz w:val="32"/>
          <w:szCs w:val="32"/>
        </w:rPr>
      </w:pPr>
      <w:bookmarkStart w:id="15" w:name="_Toc15963"/>
      <w:r>
        <w:rPr>
          <w:rFonts w:hint="eastAsia" w:ascii="黑体" w:hAnsi="黑体" w:eastAsia="黑体" w:cs="黑体"/>
          <w:kern w:val="2"/>
          <w:sz w:val="32"/>
          <w:szCs w:val="32"/>
          <w:lang w:val="en-US" w:eastAsia="zh-CN" w:bidi="ar-SA"/>
        </w:rPr>
        <w:t>八、</w:t>
      </w:r>
      <w:r>
        <w:rPr>
          <w:rFonts w:hint="eastAsia" w:ascii="黑体" w:hAnsi="黑体" w:eastAsia="黑体" w:cs="黑体"/>
          <w:sz w:val="32"/>
          <w:szCs w:val="32"/>
        </w:rPr>
        <w:t>政府性基金预算支出情况说明</w:t>
      </w:r>
      <w:bookmarkEnd w:id="15"/>
    </w:p>
    <w:p w14:paraId="3FB8FCD8">
      <w:pPr>
        <w:widowControl/>
        <w:numPr>
          <w:ilvl w:val="0"/>
          <w:numId w:val="0"/>
        </w:numPr>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沙坝小学</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年无政府性基金预算拨款安排的支出</w:t>
      </w:r>
      <w:r>
        <w:rPr>
          <w:rFonts w:hint="eastAsia" w:ascii="仿宋_GB2312" w:hAnsi="仿宋_GB2312" w:eastAsia="仿宋_GB2312" w:cs="仿宋_GB2312"/>
          <w:sz w:val="32"/>
          <w:szCs w:val="32"/>
          <w:lang w:eastAsia="zh-CN"/>
        </w:rPr>
        <w:t>。</w:t>
      </w:r>
    </w:p>
    <w:p w14:paraId="277DBBAE">
      <w:pPr>
        <w:widowControl/>
        <w:numPr>
          <w:ilvl w:val="0"/>
          <w:numId w:val="0"/>
        </w:numPr>
        <w:pBdr>
          <w:bottom w:val="single" w:color="FFFFFF" w:sz="8" w:space="31"/>
        </w:pBdr>
        <w:shd w:val="clear" w:color="auto" w:fill="FFFFFF"/>
        <w:spacing w:line="580" w:lineRule="atLeast"/>
        <w:ind w:left="0" w:leftChars="0" w:firstLine="640" w:firstLineChars="200"/>
        <w:outlineLvl w:val="0"/>
        <w:rPr>
          <w:rFonts w:hint="eastAsia" w:ascii="黑体" w:hAnsi="黑体" w:eastAsia="黑体" w:cs="黑体"/>
          <w:sz w:val="32"/>
          <w:szCs w:val="32"/>
          <w:lang w:val="en-US" w:eastAsia="zh-CN"/>
        </w:rPr>
      </w:pPr>
      <w:bookmarkStart w:id="16" w:name="_Toc2222"/>
      <w:r>
        <w:rPr>
          <w:rFonts w:hint="eastAsia" w:ascii="黑体" w:hAnsi="黑体" w:eastAsia="黑体" w:cs="黑体"/>
          <w:kern w:val="2"/>
          <w:sz w:val="32"/>
          <w:szCs w:val="32"/>
          <w:lang w:val="en-US" w:eastAsia="zh-CN" w:bidi="ar-SA"/>
        </w:rPr>
        <w:t>九、</w:t>
      </w:r>
      <w:r>
        <w:rPr>
          <w:rFonts w:hint="eastAsia" w:ascii="黑体" w:hAnsi="黑体" w:eastAsia="黑体" w:cs="黑体"/>
          <w:sz w:val="32"/>
          <w:szCs w:val="32"/>
          <w:lang w:val="en-US" w:eastAsia="zh-CN"/>
        </w:rPr>
        <w:t>国有资本经营预算支出情况说明</w:t>
      </w:r>
      <w:bookmarkEnd w:id="16"/>
    </w:p>
    <w:p w14:paraId="62280BF5">
      <w:pPr>
        <w:widowControl/>
        <w:numPr>
          <w:ilvl w:val="0"/>
          <w:numId w:val="0"/>
        </w:numPr>
        <w:pBdr>
          <w:bottom w:val="single" w:color="FFFFFF" w:sz="8" w:space="31"/>
        </w:pBdr>
        <w:shd w:val="clear" w:color="auto" w:fill="FFFFFF"/>
        <w:spacing w:line="580" w:lineRule="atLeast"/>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沙坝小学2025年无国有资本经营预算拨款安排的支出。</w:t>
      </w:r>
    </w:p>
    <w:p w14:paraId="1BE4C385">
      <w:pPr>
        <w:widowControl/>
        <w:numPr>
          <w:ilvl w:val="0"/>
          <w:numId w:val="2"/>
        </w:numPr>
        <w:pBdr>
          <w:bottom w:val="single" w:color="FFFFFF" w:sz="8" w:space="31"/>
        </w:pBdr>
        <w:shd w:val="clear" w:color="auto" w:fill="FFFFFF"/>
        <w:spacing w:line="580" w:lineRule="atLeast"/>
        <w:ind w:left="0" w:leftChars="0" w:firstLine="640" w:firstLineChars="200"/>
        <w:outlineLvl w:val="0"/>
        <w:rPr>
          <w:rFonts w:hint="eastAsia" w:ascii="黑体" w:hAnsi="黑体" w:eastAsia="黑体" w:cs="黑体"/>
          <w:sz w:val="32"/>
          <w:szCs w:val="32"/>
        </w:rPr>
      </w:pPr>
      <w:bookmarkStart w:id="17" w:name="_Toc28733"/>
      <w:r>
        <w:rPr>
          <w:rFonts w:hint="eastAsia" w:ascii="黑体" w:hAnsi="黑体" w:eastAsia="黑体" w:cs="黑体"/>
          <w:sz w:val="32"/>
          <w:szCs w:val="32"/>
        </w:rPr>
        <w:t>其他重要事项的情况说明</w:t>
      </w:r>
      <w:bookmarkEnd w:id="17"/>
    </w:p>
    <w:p w14:paraId="545FD12E">
      <w:pPr>
        <w:widowControl/>
        <w:numPr>
          <w:ilvl w:val="0"/>
          <w:numId w:val="3"/>
        </w:numPr>
        <w:pBdr>
          <w:bottom w:val="single" w:color="FFFFFF" w:sz="8" w:space="31"/>
        </w:pBdr>
        <w:shd w:val="clear" w:color="auto" w:fill="FFFFFF"/>
        <w:spacing w:line="580" w:lineRule="atLeast"/>
        <w:ind w:firstLine="640" w:firstLineChars="200"/>
        <w:outlineLvl w:val="1"/>
        <w:rPr>
          <w:rFonts w:ascii="仿宋_GB2312" w:hAnsi="仿宋_GB2312" w:eastAsia="仿宋_GB2312" w:cs="仿宋_GB2312"/>
          <w:sz w:val="32"/>
          <w:szCs w:val="32"/>
        </w:rPr>
      </w:pPr>
      <w:bookmarkStart w:id="18" w:name="_Toc30253"/>
      <w:bookmarkStart w:id="19" w:name="_Toc22466"/>
      <w:r>
        <w:rPr>
          <w:rFonts w:hint="eastAsia" w:ascii="楷体_GB2312" w:hAnsi="楷体_GB2312" w:eastAsia="楷体_GB2312" w:cs="楷体_GB2312"/>
          <w:sz w:val="32"/>
          <w:szCs w:val="32"/>
        </w:rPr>
        <w:t>机关运行经费</w:t>
      </w:r>
      <w:bookmarkEnd w:id="18"/>
      <w:bookmarkEnd w:id="19"/>
    </w:p>
    <w:p w14:paraId="420B7FE0">
      <w:pPr>
        <w:widowControl/>
        <w:numPr>
          <w:ilvl w:val="0"/>
          <w:numId w:val="0"/>
        </w:numPr>
        <w:pBdr>
          <w:bottom w:val="single" w:color="FFFFFF" w:sz="8" w:space="31"/>
        </w:pBdr>
        <w:shd w:val="clear" w:color="auto" w:fill="FFFFFF"/>
        <w:spacing w:line="580" w:lineRule="atLeast"/>
        <w:ind w:firstLine="960" w:firstLineChars="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2025年，本单位属公益</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类事业单位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无机关运行经费。</w:t>
      </w:r>
    </w:p>
    <w:p w14:paraId="0134E13B">
      <w:pPr>
        <w:widowControl/>
        <w:numPr>
          <w:ilvl w:val="0"/>
          <w:numId w:val="3"/>
        </w:numPr>
        <w:pBdr>
          <w:bottom w:val="single" w:color="FFFFFF" w:sz="8" w:space="31"/>
        </w:pBdr>
        <w:shd w:val="clear" w:color="auto" w:fill="FFFFFF"/>
        <w:spacing w:line="580" w:lineRule="atLeast"/>
        <w:ind w:left="0" w:leftChars="0" w:firstLine="640" w:firstLineChars="200"/>
        <w:outlineLvl w:val="1"/>
        <w:rPr>
          <w:rFonts w:hint="eastAsia" w:ascii="楷体_GB2312" w:hAnsi="楷体_GB2312" w:eastAsia="楷体_GB2312" w:cs="楷体_GB2312"/>
          <w:sz w:val="32"/>
          <w:szCs w:val="32"/>
        </w:rPr>
      </w:pPr>
      <w:bookmarkStart w:id="20" w:name="_Toc15861"/>
      <w:bookmarkStart w:id="21" w:name="_Toc11317"/>
      <w:r>
        <w:rPr>
          <w:rFonts w:hint="eastAsia" w:ascii="楷体_GB2312" w:hAnsi="楷体_GB2312" w:eastAsia="楷体_GB2312" w:cs="楷体_GB2312"/>
          <w:sz w:val="32"/>
          <w:szCs w:val="32"/>
        </w:rPr>
        <w:t>政府采购情况</w:t>
      </w:r>
      <w:bookmarkEnd w:id="20"/>
      <w:bookmarkEnd w:id="21"/>
    </w:p>
    <w:p w14:paraId="079FDD73">
      <w:pPr>
        <w:widowControl/>
        <w:numPr>
          <w:ilvl w:val="0"/>
          <w:numId w:val="0"/>
        </w:numPr>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沙坝小学安</w:t>
      </w:r>
      <w:r>
        <w:rPr>
          <w:rFonts w:hint="eastAsia" w:ascii="仿宋_GB2312" w:hAnsi="仿宋_GB2312" w:eastAsia="仿宋_GB2312" w:cs="仿宋_GB2312"/>
          <w:sz w:val="32"/>
          <w:szCs w:val="32"/>
        </w:rPr>
        <w:t>排政府采购预算</w:t>
      </w:r>
      <w:r>
        <w:rPr>
          <w:rFonts w:hint="eastAsia" w:ascii="仿宋_GB2312" w:hAnsi="仿宋_GB2312" w:eastAsia="仿宋_GB2312" w:cs="仿宋_GB2312"/>
          <w:sz w:val="32"/>
          <w:szCs w:val="32"/>
          <w:lang w:val="en-US" w:eastAsia="zh-CN"/>
        </w:rPr>
        <w:t>0万元</w:t>
      </w:r>
      <w:r>
        <w:rPr>
          <w:rFonts w:hint="eastAsia" w:ascii="仿宋_GB2312" w:hAnsi="仿宋_GB2312" w:eastAsia="仿宋_GB2312" w:cs="仿宋_GB2312"/>
          <w:sz w:val="32"/>
          <w:szCs w:val="32"/>
          <w:lang w:eastAsia="zh-CN"/>
        </w:rPr>
        <w:t>。</w:t>
      </w:r>
      <w:bookmarkStart w:id="22" w:name="_Toc27524"/>
      <w:bookmarkStart w:id="23" w:name="_Toc25893"/>
    </w:p>
    <w:p w14:paraId="3285C932">
      <w:pPr>
        <w:keepNext w:val="0"/>
        <w:keepLines w:val="0"/>
        <w:pageBreakBefore w:val="0"/>
        <w:widowControl/>
        <w:numPr>
          <w:ilvl w:val="0"/>
          <w:numId w:val="0"/>
        </w:numPr>
        <w:pBdr>
          <w:bottom w:val="single" w:color="FFFFFF" w:sz="8" w:space="31"/>
        </w:pBdr>
        <w:shd w:val="clear" w:color="auto" w:fill="FFFFFF"/>
        <w:kinsoku/>
        <w:wordWrap/>
        <w:overflowPunct/>
        <w:topLinePunct w:val="0"/>
        <w:autoSpaceDE/>
        <w:autoSpaceDN/>
        <w:bidi w:val="0"/>
        <w:adjustRightInd/>
        <w:snapToGrid/>
        <w:spacing w:line="60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bookmarkEnd w:id="22"/>
      <w:bookmarkEnd w:id="23"/>
    </w:p>
    <w:p w14:paraId="2250D8C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截至202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年底，</w:t>
      </w:r>
      <w:r>
        <w:rPr>
          <w:rFonts w:hint="eastAsia" w:ascii="仿宋_GB2312" w:hAnsi="仿宋_GB2312" w:eastAsia="仿宋_GB2312" w:cs="仿宋_GB2312"/>
          <w:sz w:val="32"/>
          <w:szCs w:val="32"/>
          <w:lang w:val="en-US" w:eastAsia="zh-CN"/>
        </w:rPr>
        <w:t>沙坝小学</w:t>
      </w:r>
      <w:r>
        <w:rPr>
          <w:rFonts w:hint="eastAsia" w:ascii="仿宋_GB2312" w:hAnsi="仿宋_GB2312" w:eastAsia="仿宋_GB2312" w:cs="仿宋_GB2312"/>
          <w:sz w:val="32"/>
          <w:szCs w:val="32"/>
        </w:rPr>
        <w:t>共有车辆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辆，单位</w:t>
      </w: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rPr>
        <w:t>价值200万元以上</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大型设</w:t>
      </w:r>
      <w:r>
        <w:rPr>
          <w:rFonts w:hint="eastAsia" w:ascii="仿宋_GB2312" w:hAnsi="仿宋_GB2312" w:eastAsia="仿宋_GB2312" w:cs="仿宋_GB2312"/>
          <w:sz w:val="32"/>
          <w:szCs w:val="32"/>
          <w:lang w:val="en-US" w:eastAsia="zh-CN"/>
        </w:rPr>
        <w:t>备</w:t>
      </w:r>
      <w:r>
        <w:rPr>
          <w:rFonts w:hint="eastAsia" w:ascii="仿宋_GB2312" w:hAnsi="仿宋_GB2312" w:eastAsia="仿宋_GB2312" w:cs="仿宋_GB2312"/>
          <w:sz w:val="32"/>
          <w:szCs w:val="32"/>
        </w:rPr>
        <w:t>。</w:t>
      </w:r>
    </w:p>
    <w:p w14:paraId="41EA6FC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部门</w:t>
      </w:r>
      <w:r>
        <w:rPr>
          <w:rFonts w:hint="eastAsia" w:ascii="仿宋_GB2312" w:hAnsi="仿宋_GB2312" w:eastAsia="仿宋_GB2312" w:cs="仿宋_GB2312"/>
          <w:sz w:val="32"/>
          <w:szCs w:val="32"/>
        </w:rPr>
        <w:t>预算未安排购置车辆及单位价值200万元以上大型设备。</w:t>
      </w:r>
    </w:p>
    <w:p w14:paraId="4E0DC903">
      <w:pPr>
        <w:spacing w:line="576" w:lineRule="exact"/>
        <w:ind w:firstLine="640" w:firstLineChars="200"/>
        <w:outlineLvl w:val="1"/>
        <w:rPr>
          <w:rFonts w:ascii="楷体_GB2312" w:hAnsi="楷体_GB2312" w:eastAsia="楷体_GB2312" w:cs="楷体_GB2312"/>
          <w:sz w:val="32"/>
          <w:szCs w:val="32"/>
        </w:rPr>
      </w:pPr>
      <w:bookmarkStart w:id="24" w:name="_Toc11505"/>
      <w:bookmarkStart w:id="25" w:name="_Toc24341"/>
      <w:r>
        <w:rPr>
          <w:rFonts w:hint="eastAsia" w:ascii="楷体_GB2312" w:hAnsi="楷体_GB2312" w:eastAsia="楷体_GB2312" w:cs="楷体_GB2312"/>
          <w:sz w:val="32"/>
          <w:szCs w:val="32"/>
        </w:rPr>
        <w:t>（四）绩效目标设置情况</w:t>
      </w:r>
      <w:bookmarkEnd w:id="24"/>
      <w:bookmarkEnd w:id="25"/>
    </w:p>
    <w:p w14:paraId="39DA8B80">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沙坝小学</w:t>
      </w:r>
      <w:r>
        <w:rPr>
          <w:rFonts w:hint="eastAsia" w:ascii="仿宋_GB2312" w:hAnsi="仿宋_GB2312" w:eastAsia="仿宋_GB2312" w:cs="仿宋_GB2312"/>
          <w:sz w:val="32"/>
          <w:szCs w:val="32"/>
        </w:rPr>
        <w:t>绩效目标管理的项目</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个，涉及预算</w:t>
      </w:r>
      <w:r>
        <w:rPr>
          <w:rFonts w:hint="eastAsia" w:ascii="仿宋_GB2312" w:hAnsi="仿宋_GB2312" w:eastAsia="仿宋_GB2312" w:cs="仿宋_GB2312"/>
          <w:sz w:val="32"/>
          <w:szCs w:val="32"/>
          <w:lang w:val="en-US" w:eastAsia="zh-CN"/>
        </w:rPr>
        <w:t>576.60</w:t>
      </w:r>
      <w:r>
        <w:rPr>
          <w:rFonts w:hint="eastAsia" w:ascii="仿宋_GB2312" w:hAnsi="仿宋_GB2312" w:eastAsia="仿宋_GB2312" w:cs="仿宋_GB2312"/>
          <w:sz w:val="32"/>
          <w:szCs w:val="32"/>
        </w:rPr>
        <w:t>万元。其中：人员类项目</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个，涉及预算535.54万元；运转类项目</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个，涉及预算</w:t>
      </w:r>
      <w:r>
        <w:rPr>
          <w:rFonts w:hint="eastAsia" w:ascii="仿宋_GB2312" w:hAnsi="仿宋_GB2312" w:eastAsia="仿宋_GB2312" w:cs="仿宋_GB2312"/>
          <w:sz w:val="32"/>
          <w:szCs w:val="32"/>
          <w:lang w:val="en-US" w:eastAsia="zh-CN"/>
        </w:rPr>
        <w:t>41.06</w:t>
      </w:r>
      <w:r>
        <w:rPr>
          <w:rFonts w:hint="eastAsia" w:ascii="仿宋_GB2312" w:hAnsi="仿宋_GB2312" w:eastAsia="仿宋_GB2312" w:cs="仿宋_GB2312"/>
          <w:sz w:val="32"/>
          <w:szCs w:val="32"/>
        </w:rPr>
        <w:t>万元；特定目标类项目</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个，涉及预算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万元。因部分项目内容涉密，不予公开。</w:t>
      </w:r>
    </w:p>
    <w:p w14:paraId="6F61470F">
      <w:pPr>
        <w:spacing w:line="576" w:lineRule="exact"/>
        <w:ind w:firstLine="640" w:firstLineChars="200"/>
        <w:outlineLvl w:val="0"/>
        <w:rPr>
          <w:rFonts w:ascii="黑体" w:hAnsi="黑体" w:eastAsia="黑体" w:cs="黑体"/>
          <w:sz w:val="32"/>
          <w:szCs w:val="32"/>
        </w:rPr>
      </w:pPr>
      <w:bookmarkStart w:id="26" w:name="_Toc11992"/>
      <w:r>
        <w:rPr>
          <w:rFonts w:hint="eastAsia" w:ascii="黑体" w:hAnsi="黑体" w:eastAsia="黑体" w:cs="黑体"/>
          <w:sz w:val="32"/>
          <w:szCs w:val="32"/>
        </w:rPr>
        <w:t>十一、名词解释</w:t>
      </w:r>
      <w:bookmarkEnd w:id="26"/>
    </w:p>
    <w:p w14:paraId="516A5218">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（一）财政拨款收入</w:t>
      </w:r>
      <w:r>
        <w:rPr>
          <w:rFonts w:hint="eastAsia" w:ascii="仿宋" w:hAnsi="仿宋" w:eastAsia="仿宋" w:cs="仿宋"/>
          <w:sz w:val="32"/>
          <w:szCs w:val="32"/>
          <w:lang w:eastAsia="zh-CN"/>
        </w:rPr>
        <w:t>：</w:t>
      </w:r>
      <w:r>
        <w:rPr>
          <w:rFonts w:hint="eastAsia" w:ascii="仿宋" w:hAnsi="仿宋" w:eastAsia="仿宋" w:cs="仿宋"/>
          <w:sz w:val="32"/>
          <w:szCs w:val="32"/>
        </w:rPr>
        <w:t>指</w:t>
      </w:r>
      <w:r>
        <w:rPr>
          <w:rFonts w:hint="eastAsia" w:ascii="仿宋" w:hAnsi="仿宋" w:eastAsia="仿宋" w:cs="仿宋"/>
          <w:sz w:val="32"/>
          <w:szCs w:val="32"/>
          <w:lang w:eastAsia="zh-CN"/>
        </w:rPr>
        <w:t>区级</w:t>
      </w:r>
      <w:r>
        <w:rPr>
          <w:rFonts w:hint="eastAsia" w:ascii="仿宋" w:hAnsi="仿宋" w:eastAsia="仿宋" w:cs="仿宋"/>
          <w:sz w:val="32"/>
          <w:szCs w:val="32"/>
        </w:rPr>
        <w:t>财政当年安排的财政预算收入。按现行管理制度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部</w:t>
      </w:r>
      <w:r>
        <w:rPr>
          <w:rFonts w:hint="eastAsia" w:ascii="仿宋" w:hAnsi="仿宋" w:eastAsia="仿宋" w:cs="仿宋"/>
          <w:sz w:val="32"/>
          <w:szCs w:val="32"/>
        </w:rPr>
        <w:t>门预算中反映的财政拨款包括一般公共预算拨款和政府性基金预算拨款。</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（二）事业收入：指事业单位开展专业业务活动及辅助活动所取得的收入。主要为学校根据国家有关部门批准的项目和标准收取的学费、住宿费等。</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（三）其他收入：指除上述“</w:t>
      </w:r>
      <w:r>
        <w:rPr>
          <w:rFonts w:hint="eastAsia" w:ascii="仿宋" w:hAnsi="仿宋" w:eastAsia="仿宋" w:cs="仿宋"/>
          <w:sz w:val="32"/>
          <w:szCs w:val="32"/>
          <w:lang w:eastAsia="zh-CN"/>
        </w:rPr>
        <w:t>一般公共</w:t>
      </w:r>
      <w:r>
        <w:rPr>
          <w:rFonts w:hint="eastAsia" w:ascii="仿宋" w:hAnsi="仿宋" w:eastAsia="仿宋" w:cs="仿宋"/>
          <w:sz w:val="32"/>
          <w:szCs w:val="32"/>
        </w:rPr>
        <w:t>预算拨款收入</w:t>
      </w:r>
      <w:r>
        <w:rPr>
          <w:rFonts w:hint="eastAsia" w:ascii="仿宋" w:hAnsi="仿宋" w:eastAsia="仿宋" w:cs="仿宋"/>
          <w:sz w:val="32"/>
          <w:szCs w:val="32"/>
          <w:lang w:eastAsia="zh-CN"/>
        </w:rPr>
        <w:t>和</w:t>
      </w:r>
      <w:r>
        <w:rPr>
          <w:rFonts w:hint="eastAsia" w:ascii="仿宋" w:hAnsi="仿宋" w:eastAsia="仿宋" w:cs="仿宋"/>
          <w:sz w:val="32"/>
          <w:szCs w:val="32"/>
        </w:rPr>
        <w:t>事业收入”等以外的收入</w:t>
      </w:r>
      <w:r>
        <w:rPr>
          <w:rFonts w:hint="eastAsia"/>
          <w:lang w:eastAsia="zh-CN"/>
        </w:rPr>
        <w:t>。</w:t>
      </w:r>
      <w:r>
        <w:rPr>
          <w:rFonts w:hint="eastAsia" w:ascii="仿宋" w:hAnsi="仿宋" w:eastAsia="仿宋" w:cs="仿宋"/>
          <w:sz w:val="32"/>
          <w:szCs w:val="32"/>
        </w:rPr>
        <w:t>如银行存款利息收入等。</w:t>
      </w:r>
      <w:r>
        <w:rPr>
          <w:rFonts w:hint="eastAsia" w:ascii="仿宋" w:hAnsi="仿宋" w:eastAsia="仿宋" w:cs="仿宋"/>
          <w:sz w:val="32"/>
          <w:szCs w:val="32"/>
        </w:rPr>
        <w:br w:type="textWrapping"/>
      </w:r>
      <w:r>
        <w:rPr>
          <w:rFonts w:hint="eastAsia" w:ascii="仿宋" w:hAnsi="仿宋" w:eastAsia="仿宋" w:cs="仿宋"/>
          <w:sz w:val="32"/>
          <w:szCs w:val="32"/>
        </w:rPr>
        <w:t>　</w:t>
      </w:r>
    </w:p>
    <w:p w14:paraId="3A737D4B">
      <w:pPr>
        <w:spacing w:line="576" w:lineRule="exact"/>
        <w:ind w:firstLine="640" w:firstLineChars="200"/>
        <w:rPr>
          <w:rFonts w:hint="eastAsia" w:ascii="仿宋" w:hAnsi="仿宋" w:eastAsia="仿宋" w:cs="仿宋"/>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 w:hAnsi="仿宋" w:eastAsia="仿宋" w:cs="仿宋"/>
          <w:sz w:val="32"/>
          <w:szCs w:val="32"/>
          <w:lang w:val="en-US" w:eastAsia="zh-CN"/>
        </w:rPr>
        <w:t xml:space="preserve"> </w:t>
      </w:r>
    </w:p>
    <w:p w14:paraId="2884667F">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rPr>
        <w:t>教育支出（类）普通教育（款）学前教育（项）：指学前教育发展的基本支出，包括基本工资、津贴补贴等人员经费以及办公费、印刷费、水电费等日常公用经费。</w:t>
      </w:r>
    </w:p>
    <w:p w14:paraId="38484C28">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六</w:t>
      </w:r>
      <w:r>
        <w:rPr>
          <w:rFonts w:hint="eastAsia" w:ascii="仿宋" w:hAnsi="仿宋" w:eastAsia="仿宋" w:cs="仿宋"/>
          <w:sz w:val="32"/>
          <w:szCs w:val="32"/>
        </w:rPr>
        <w:t>）教育支出（类）普通教育（款）小学教育（项）：指小学教育发展的基本支出，包括基本工资、津贴补贴等人员经费以及办公费、印刷费、水电费等日常公用经费。</w:t>
      </w:r>
    </w:p>
    <w:p w14:paraId="541909A6">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七</w:t>
      </w:r>
      <w:r>
        <w:rPr>
          <w:rFonts w:hint="eastAsia" w:ascii="仿宋" w:hAnsi="仿宋" w:eastAsia="仿宋" w:cs="仿宋"/>
          <w:sz w:val="32"/>
          <w:szCs w:val="32"/>
        </w:rPr>
        <w:t>）教育支出（类）普通教育（款）初中教育（项）：指初中教育发展的基本支出，包括基本工资、津贴补贴等人员经费以及办公费、印刷费、水电费等日常公用经费。</w:t>
      </w:r>
    </w:p>
    <w:p w14:paraId="0B168A31">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八</w:t>
      </w:r>
      <w:r>
        <w:rPr>
          <w:rFonts w:hint="eastAsia" w:ascii="仿宋" w:hAnsi="仿宋" w:eastAsia="仿宋" w:cs="仿宋"/>
          <w:sz w:val="32"/>
          <w:szCs w:val="32"/>
        </w:rPr>
        <w:t>）社会保障和就业（类）行政事业单位养老支出（款）机关事业单位基本养老保险缴费支出（项）：指部门实施养老保险制度由单位缴纳的养老保险</w:t>
      </w:r>
      <w:r>
        <w:rPr>
          <w:rFonts w:hint="eastAsia" w:ascii="仿宋" w:hAnsi="仿宋" w:eastAsia="仿宋" w:cs="仿宋"/>
          <w:sz w:val="32"/>
          <w:szCs w:val="32"/>
          <w:lang w:val="en-US" w:eastAsia="zh-CN"/>
        </w:rPr>
        <w:t>费</w:t>
      </w:r>
      <w:r>
        <w:rPr>
          <w:rFonts w:hint="eastAsia" w:ascii="仿宋" w:hAnsi="仿宋" w:eastAsia="仿宋" w:cs="仿宋"/>
          <w:sz w:val="32"/>
          <w:szCs w:val="32"/>
        </w:rPr>
        <w:t>的支出。</w:t>
      </w:r>
    </w:p>
    <w:p w14:paraId="0EC383E6">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九</w:t>
      </w:r>
      <w:r>
        <w:rPr>
          <w:rFonts w:hint="eastAsia" w:ascii="仿宋" w:hAnsi="仿宋" w:eastAsia="仿宋" w:cs="仿宋"/>
          <w:sz w:val="32"/>
          <w:szCs w:val="32"/>
        </w:rPr>
        <w:t>）社会保障和就业（类）行政事业单位养老支出（款）机关事业单位职业年金缴费支出（项）：指部门实施养老保险制度由单位缴纳的职业年金的支出。</w:t>
      </w:r>
    </w:p>
    <w:p w14:paraId="0B06C254">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十</w:t>
      </w:r>
      <w:r>
        <w:rPr>
          <w:rFonts w:hint="eastAsia" w:ascii="仿宋" w:hAnsi="仿宋" w:eastAsia="仿宋" w:cs="仿宋"/>
          <w:sz w:val="32"/>
          <w:szCs w:val="32"/>
        </w:rPr>
        <w:t>）卫生健康（类）行政事业单位医疗（款）事业单位医疗（项）：指事业单位用于单位应缴纳基本医疗保险支出。</w:t>
      </w:r>
    </w:p>
    <w:p w14:paraId="5EDF715A">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十一</w:t>
      </w:r>
      <w:r>
        <w:rPr>
          <w:rFonts w:hint="eastAsia" w:ascii="仿宋" w:hAnsi="仿宋" w:eastAsia="仿宋" w:cs="仿宋"/>
          <w:sz w:val="32"/>
          <w:szCs w:val="32"/>
        </w:rPr>
        <w:t>）住房保障（类）住房改革支出（款）住房公积金（项）：指按照《住房公积金管理条例》的规定，由单位及其在职职工缴存的长期住房储金。</w:t>
      </w:r>
    </w:p>
    <w:p w14:paraId="43BFDBF0">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w:t>
      </w:r>
      <w:r>
        <w:rPr>
          <w:rFonts w:hint="eastAsia" w:ascii="仿宋" w:hAnsi="仿宋" w:eastAsia="仿宋" w:cs="仿宋"/>
          <w:sz w:val="32"/>
          <w:szCs w:val="32"/>
          <w:lang w:val="en-US" w:eastAsia="zh-CN"/>
        </w:rPr>
        <w:t>二</w:t>
      </w:r>
      <w:r>
        <w:rPr>
          <w:rFonts w:hint="eastAsia" w:ascii="仿宋" w:hAnsi="仿宋" w:eastAsia="仿宋" w:cs="仿宋"/>
          <w:sz w:val="32"/>
          <w:szCs w:val="32"/>
        </w:rPr>
        <w:t>）基本支出：指为保证机构正常运转，完成日常工作任务而发生的人员支出和公用支出。</w:t>
      </w:r>
    </w:p>
    <w:p w14:paraId="676B7963">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w:t>
      </w:r>
      <w:r>
        <w:rPr>
          <w:rFonts w:hint="eastAsia" w:ascii="仿宋" w:hAnsi="仿宋" w:eastAsia="仿宋" w:cs="仿宋"/>
          <w:sz w:val="32"/>
          <w:szCs w:val="32"/>
          <w:lang w:val="en-US" w:eastAsia="zh-CN"/>
        </w:rPr>
        <w:t>三</w:t>
      </w:r>
      <w:r>
        <w:rPr>
          <w:rFonts w:hint="eastAsia" w:ascii="仿宋" w:hAnsi="仿宋" w:eastAsia="仿宋" w:cs="仿宋"/>
          <w:sz w:val="32"/>
          <w:szCs w:val="32"/>
        </w:rPr>
        <w:t>）项目支出：指在基本支出之外为完成特定行政任务和事业发展目标所发生的支出。</w:t>
      </w:r>
    </w:p>
    <w:p w14:paraId="620D8135">
      <w:pPr>
        <w:spacing w:line="576"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w:t>
      </w:r>
      <w:r>
        <w:rPr>
          <w:rFonts w:hint="eastAsia" w:ascii="仿宋" w:hAnsi="仿宋" w:eastAsia="仿宋" w:cs="仿宋"/>
          <w:sz w:val="32"/>
          <w:szCs w:val="32"/>
          <w:lang w:val="en-US" w:eastAsia="zh-CN"/>
        </w:rPr>
        <w:t>四</w:t>
      </w:r>
      <w:r>
        <w:rPr>
          <w:rFonts w:hint="eastAsia" w:ascii="仿宋" w:hAnsi="仿宋" w:eastAsia="仿宋" w:cs="仿宋"/>
          <w:sz w:val="32"/>
          <w:szCs w:val="32"/>
        </w:rPr>
        <w:t>）“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50303D53">
      <w:pPr>
        <w:spacing w:line="600" w:lineRule="exact"/>
        <w:rPr>
          <w:rFonts w:ascii="仿宋_GB2312" w:hAnsi="仿宋_GB2312" w:eastAsia="仿宋_GB2312" w:cs="仿宋_GB2312"/>
          <w:sz w:val="32"/>
          <w:szCs w:val="32"/>
        </w:rPr>
      </w:pPr>
    </w:p>
    <w:p w14:paraId="044927B6">
      <w:pPr>
        <w:spacing w:line="576"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预算公开</w:t>
      </w:r>
      <w:r>
        <w:rPr>
          <w:rFonts w:hint="eastAsia" w:ascii="仿宋_GB2312" w:hAnsi="仿宋_GB2312" w:eastAsia="仿宋_GB2312" w:cs="仿宋_GB2312"/>
          <w:sz w:val="32"/>
          <w:szCs w:val="32"/>
          <w:lang w:val="en-US" w:eastAsia="zh-CN"/>
        </w:rPr>
        <w:t>报表</w:t>
      </w:r>
    </w:p>
    <w:p w14:paraId="6BC21E2E">
      <w:pPr>
        <w:numPr>
          <w:ilvl w:val="0"/>
          <w:numId w:val="0"/>
        </w:numPr>
        <w:spacing w:line="576" w:lineRule="exact"/>
        <w:ind w:left="1600" w:leftChars="0"/>
        <w:outlineLvl w:val="1"/>
        <w:rPr>
          <w:rFonts w:ascii="仿宋_GB2312" w:hAnsi="仿宋_GB2312" w:eastAsia="仿宋_GB2312" w:cs="仿宋_GB2312"/>
          <w:sz w:val="32"/>
          <w:szCs w:val="32"/>
        </w:rPr>
      </w:pPr>
      <w:bookmarkStart w:id="27" w:name="_Toc21861"/>
      <w:bookmarkStart w:id="28" w:name="_Toc8862"/>
      <w:r>
        <w:rPr>
          <w:rFonts w:hint="eastAsia" w:ascii="仿宋_GB2312" w:hAnsi="仿宋_GB2312" w:eastAsia="仿宋_GB2312" w:cs="仿宋_GB2312"/>
          <w:sz w:val="32"/>
          <w:szCs w:val="32"/>
          <w:lang w:val="en-US" w:eastAsia="zh-CN"/>
        </w:rPr>
        <w:t>2.单位</w:t>
      </w:r>
      <w:r>
        <w:rPr>
          <w:rFonts w:hint="eastAsia" w:ascii="仿宋_GB2312" w:hAnsi="仿宋_GB2312" w:eastAsia="仿宋_GB2312" w:cs="仿宋_GB2312"/>
          <w:sz w:val="32"/>
          <w:szCs w:val="32"/>
        </w:rPr>
        <w:t>项目支出绩效目标表</w:t>
      </w:r>
      <w:bookmarkEnd w:id="27"/>
      <w:bookmarkEnd w:id="28"/>
    </w:p>
    <w:sectPr>
      <w:footerReference r:id="rId5" w:type="default"/>
      <w:pgSz w:w="11906" w:h="16838"/>
      <w:pgMar w:top="2098" w:right="1474" w:bottom="1984" w:left="1587" w:header="720" w:footer="1559"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7:58:18Z" w:initials="UC">
    <w:p w14:paraId="00989686">
      <w:r>
        <w:rPr>
          <w:color w:val="FF0000"/>
        </w:rPr>
        <w:t>错敏词:</w:t>
      </w:r>
      <w:r>
        <w:t>会保险</w:t>
      </w:r>
    </w:p>
    <w:p w14:paraId="00989687">
      <w:r>
        <w:rPr>
          <w:color w:val="FF0000"/>
        </w:rPr>
        <w:t>推荐修改:</w:t>
      </w:r>
      <w:r>
        <w:t>社会保险</w:t>
      </w:r>
    </w:p>
    <w:p w14:paraId="00989688">
      <w:r>
        <w:rPr>
          <w:color w:val="FF0000"/>
        </w:rPr>
        <w:t>问题类型:</w:t>
      </w:r>
      <w:r>
        <w:t>专用表述错误</w:t>
      </w:r>
    </w:p>
    <w:p w14:paraId="00989689">
      <w:r>
        <w:rPr>
          <w:color w:val="FF0000"/>
        </w:rPr>
        <w:t>严重程度:</w:t>
      </w:r>
      <w:r>
        <w:t>严重</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Liberation Sans">
    <w:altName w:val="Segoe Print"/>
    <w:panose1 w:val="00000000000000000000"/>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85E47">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13"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27C20B3">
                          <w:pPr>
                            <w:pStyle w:val="5"/>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CZ2OfD/gEAAAAEAAAOAAAAAAAAAAEAIAAAAB8BAABkcnMvZTJvRG9jLnht&#10;bFBLBQYAAAAABgAGAFkBAACPBQAAAAA=&#10;">
              <v:fill on="f" focussize="0,0"/>
              <v:stroke on="f"/>
              <v:imagedata o:title=""/>
              <o:lock v:ext="edit" aspectratio="f"/>
              <v:textbox inset="0mm,0mm,0mm,0mm" style="mso-fit-shape-to-text:t;">
                <w:txbxContent>
                  <w:p w14:paraId="427C20B3">
                    <w:pPr>
                      <w:pStyle w:val="5"/>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8F580F"/>
    <w:multiLevelType w:val="singleLevel"/>
    <w:tmpl w:val="1A8F580F"/>
    <w:lvl w:ilvl="0" w:tentative="0">
      <w:start w:val="10"/>
      <w:numFmt w:val="chineseCounting"/>
      <w:suff w:val="nothing"/>
      <w:lvlText w:val="%1、"/>
      <w:lvlJc w:val="left"/>
      <w:rPr>
        <w:rFonts w:hint="eastAsia"/>
      </w:rPr>
    </w:lvl>
  </w:abstractNum>
  <w:abstractNum w:abstractNumId="1">
    <w:nsid w:val="22719139"/>
    <w:multiLevelType w:val="singleLevel"/>
    <w:tmpl w:val="22719139"/>
    <w:lvl w:ilvl="0" w:tentative="0">
      <w:start w:val="1"/>
      <w:numFmt w:val="chineseCounting"/>
      <w:suff w:val="nothing"/>
      <w:lvlText w:val="（%1）"/>
      <w:lvlJc w:val="left"/>
      <w:rPr>
        <w:rFonts w:hint="eastAsia"/>
      </w:rPr>
    </w:lvl>
  </w:abstractNum>
  <w:abstractNum w:abstractNumId="2">
    <w:nsid w:val="257A4770"/>
    <w:multiLevelType w:val="singleLevel"/>
    <w:tmpl w:val="257A4770"/>
    <w:lvl w:ilvl="0" w:tentative="0">
      <w:start w:val="5"/>
      <w:numFmt w:val="chineseCounting"/>
      <w:suff w:val="nothing"/>
      <w:lvlText w:val="%1、"/>
      <w:lvlJc w:val="left"/>
      <w:rPr>
        <w:rFonts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0YzY5NTA4MjQzMDdmYzBmNDcwNzUyYzQ3M2Q0MjkifQ=="/>
  </w:docVars>
  <w:rsids>
    <w:rsidRoot w:val="00000000"/>
    <w:rsid w:val="724A398E"/>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autoRedefine/>
    <w:qFormat/>
    <w:uiPriority w:val="0"/>
    <w:pPr>
      <w:suppressLineNumbers/>
      <w:spacing w:before="120" w:after="120"/>
    </w:pPr>
    <w:rPr>
      <w:i/>
      <w:iCs/>
      <w:sz w:val="24"/>
    </w:rPr>
  </w:style>
  <w:style w:type="paragraph" w:styleId="4">
    <w:name w:val="Body Text"/>
    <w:basedOn w:val="1"/>
    <w:autoRedefine/>
    <w:qFormat/>
    <w:uiPriority w:val="0"/>
    <w:pPr>
      <w:spacing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List"/>
    <w:basedOn w:val="4"/>
    <w:autoRedefine/>
    <w:qFormat/>
    <w:uiPriority w:val="0"/>
  </w:style>
  <w:style w:type="paragraph" w:styleId="9">
    <w:name w:val="toc 2"/>
    <w:basedOn w:val="1"/>
    <w:next w:val="1"/>
    <w:qFormat/>
    <w:uiPriority w:val="0"/>
    <w:pPr>
      <w:ind w:left="420" w:leftChars="200"/>
    </w:pPr>
  </w:style>
  <w:style w:type="paragraph" w:styleId="10">
    <w:name w:val="Normal (Web)"/>
    <w:basedOn w:val="1"/>
    <w:autoRedefine/>
    <w:qFormat/>
    <w:uiPriority w:val="0"/>
    <w:rPr>
      <w:sz w:val="24"/>
    </w:rPr>
  </w:style>
  <w:style w:type="table" w:styleId="12">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默认段落字体1"/>
    <w:autoRedefine/>
    <w:qFormat/>
    <w:uiPriority w:val="0"/>
  </w:style>
  <w:style w:type="paragraph" w:customStyle="1" w:styleId="15">
    <w:name w:val="Heading"/>
    <w:basedOn w:val="1"/>
    <w:next w:val="4"/>
    <w:autoRedefine/>
    <w:qFormat/>
    <w:uiPriority w:val="0"/>
    <w:pPr>
      <w:keepNext/>
      <w:spacing w:before="240" w:after="120"/>
    </w:pPr>
    <w:rPr>
      <w:rFonts w:ascii="Liberation Sans" w:hAnsi="Liberation Sans" w:eastAsia="Noto Sans CJK SC Regular" w:cs="Noto Sans CJK SC Regular"/>
      <w:sz w:val="28"/>
      <w:szCs w:val="28"/>
    </w:rPr>
  </w:style>
  <w:style w:type="paragraph" w:customStyle="1" w:styleId="16">
    <w:name w:val="Index"/>
    <w:basedOn w:val="1"/>
    <w:autoRedefine/>
    <w:qFormat/>
    <w:uiPriority w:val="0"/>
    <w:pPr>
      <w:suppressLineNumbers/>
    </w:pPr>
  </w:style>
  <w:style w:type="paragraph" w:customStyle="1" w:styleId="17">
    <w:name w:val="p15"/>
    <w:basedOn w:val="1"/>
    <w:qFormat/>
    <w:uiPriority w:val="0"/>
    <w:pPr>
      <w:widowControl/>
      <w:spacing w:before="100" w:beforeLines="0" w:after="100" w:afterLines="0"/>
      <w:jc w:val="left"/>
    </w:pPr>
    <w:rPr>
      <w:rFonts w:hint="eastAsia" w:ascii="宋体" w:hAnsi="宋体"/>
      <w:sz w:val="24"/>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3878</Words>
  <Characters>4089</Characters>
  <Lines>41</Lines>
  <Paragraphs>11</Paragraphs>
  <TotalTime>23</TotalTime>
  <ScaleCrop>false</ScaleCrop>
  <LinksUpToDate>false</LinksUpToDate>
  <CharactersWithSpaces>4175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2024-03-20T13:00:00Z</dcterms:created>
  <dc:creator>admin</dc:creator>
  <cp:lastModifiedBy>丽丽</cp:lastModifiedBy>
  <dcterms:modified xsi:type="dcterms:W3CDTF">2025-02-15T05:47:24Z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