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79D11">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default"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18041"/>
      <w:bookmarkStart w:id="1" w:name="_Toc22083"/>
      <w:bookmarkStart w:id="2" w:name="_Toc2588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广元市昭化区射箭镇小学</w:t>
      </w:r>
      <w:bookmarkEnd w:id="0"/>
      <w:bookmarkEnd w:id="1"/>
      <w:bookmarkEnd w:id="2"/>
    </w:p>
    <w:p w14:paraId="544619E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53397BBC">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p w14:paraId="49742BEB"/>
    <w:sdt>
      <w:sdtPr>
        <w:rPr>
          <w:rFonts w:ascii="宋体" w:hAnsi="宋体" w:eastAsia="宋体" w:cs="Times New Roman"/>
          <w:color w:val="auto"/>
          <w:kern w:val="2"/>
          <w:sz w:val="21"/>
          <w:szCs w:val="24"/>
          <w:lang w:val="en-US" w:eastAsia="zh-CN" w:bidi="ar-SA"/>
        </w:rPr>
        <w:id w:val="147465851"/>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14:paraId="7060A5B6">
          <w:pPr>
            <w:spacing w:before="0" w:beforeLines="0" w:after="0" w:afterLines="0" w:line="240" w:lineRule="auto"/>
            <w:ind w:left="0" w:leftChars="0" w:right="0" w:rightChars="0" w:firstLine="0" w:firstLineChars="0"/>
            <w:jc w:val="center"/>
          </w:pPr>
        </w:p>
        <w:p w14:paraId="0C8B6DD1">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TOC \o "1-2" \h \u</w:instrText>
          </w:r>
          <w:r>
            <w:fldChar w:fldCharType="separate"/>
          </w:r>
          <w:r>
            <w:fldChar w:fldCharType="begin"/>
          </w:r>
          <w:r>
            <w:instrText xml:space="preserve"> HYPERLINK \l "_Toc26353" </w:instrText>
          </w:r>
          <w: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_Toc26353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93A5A48">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"_Toc29391"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_Toc29391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A3823FF">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"_Toc10350" </w:instrText>
          </w:r>
          <w:r>
            <w:fldChar w:fldCharType="separate"/>
          </w:r>
          <w:r>
            <w:rPr>
              <w:rFonts w:hint="eastAsia" w:ascii="仿宋_GB2312" w:hAnsi="仿宋_GB2312" w:eastAsia="仿宋_GB2312" w:cs="仿宋_GB2312"/>
              <w:color w:val="auto"/>
              <w:kern w:val="2"/>
              <w:sz w:val="32"/>
              <w:szCs w:val="32"/>
              <w:lang w:val="en-US" w:eastAsia="zh-CN" w:bidi="ar-SA"/>
            </w:rPr>
            <w:t>（二）2025年重点工作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_Toc10350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22E7751">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"_Toc6736" </w:instrText>
          </w:r>
          <w: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_Toc6736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3A342C4">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"_Toc29139" </w:instrText>
          </w:r>
          <w: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_Toc29139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479BF62">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"_Toc2488"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_Toc2488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204BE8A">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"_Toc1840" </w:instrText>
          </w:r>
          <w:r>
            <w:fldChar w:fldCharType="separate"/>
          </w:r>
          <w:r>
            <w:rPr>
              <w:rFonts w:hint="eastAsia" w:ascii="仿宋_GB2312" w:hAnsi="仿宋_GB2312" w:eastAsia="仿宋_GB2312" w:cs="仿宋_GB2312"/>
              <w:color w:val="auto"/>
              <w:kern w:val="2"/>
              <w:sz w:val="32"/>
              <w:szCs w:val="32"/>
              <w:lang w:val="en-US" w:eastAsia="zh-CN" w:bidi="ar-SA"/>
            </w:rPr>
            <w:t>（二）支出预算情况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_Toc1840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6B7C842">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"_Toc7681" </w:instrText>
          </w:r>
          <w:r>
            <w:fldChar w:fldCharType="separate"/>
          </w:r>
          <w:r>
            <w:rPr>
              <w:rFonts w:hint="eastAsia" w:ascii="仿宋_GB2312" w:hAnsi="仿宋_GB2312" w:eastAsia="仿宋_GB2312" w:cs="仿宋_GB2312"/>
              <w:color w:val="auto"/>
              <w:kern w:val="2"/>
              <w:sz w:val="32"/>
              <w:szCs w:val="32"/>
              <w:lang w:val="en-US" w:eastAsia="zh-CN" w:bidi="ar-SA"/>
            </w:rPr>
            <w:t>四、财政拨款收支预算情况说明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_Toc7681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0E65D84">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"_Toc20436" </w:instrText>
          </w:r>
          <w: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_Toc20436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EC16C40">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"_Toc11189"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_Toc11189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9622DC9">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"_Toc1907"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_Toc1907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BB0E28A">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"_Toc7108" </w:instrText>
          </w:r>
          <w: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_Toc7108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784E35F">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"_Toc18209" </w:instrText>
          </w:r>
          <w: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_Toc18209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C46D960">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"_Toc12110" </w:instrText>
          </w:r>
          <w: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_Toc12110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8D73D85">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"_Toc20286" </w:instrText>
          </w:r>
          <w: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_Toc20286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27C90F1">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"_Toc22203" </w:instrText>
          </w:r>
          <w: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_Toc22203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4D93B59">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"_Toc20170" </w:instrText>
          </w:r>
          <w: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_Toc20170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BD5D841">
          <w:pPr>
            <w:pStyle w:val="15"/>
            <w:tabs>
              <w:tab w:val="right" w:leader="dot" w:pos="8845"/>
            </w:tabs>
            <w:rPr>
              <w:b/>
            </w:rPr>
          </w:pPr>
          <w:r>
            <w:fldChar w:fldCharType="begin"/>
          </w:r>
          <w:r>
            <w:instrText xml:space="preserve"> HYPERLINK \l "_Toc29662" </w:instrText>
          </w:r>
          <w: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_Toc29662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E94442B">
          <w:pPr>
            <w:pStyle w:val="16"/>
            <w:tabs>
              <w:tab w:val="right" w:leader="dot" w:pos="8845"/>
            </w:tabs>
          </w:pPr>
        </w:p>
        <w:p w14:paraId="70108242">
          <w:pPr>
            <w:rPr>
              <w:b/>
            </w:rPr>
          </w:pPr>
          <w:r>
            <w:rPr>
              <w:b/>
            </w:rPr>
            <w:fldChar w:fldCharType="end"/>
          </w:r>
        </w:p>
      </w:sdtContent>
    </w:sdt>
    <w:p w14:paraId="2B64CF5F">
      <w:pPr>
        <w:rPr>
          <w:b/>
        </w:rPr>
      </w:pPr>
    </w:p>
    <w:p w14:paraId="2A73731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26353"/>
    </w:p>
    <w:p w14:paraId="6BBA69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3224F5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48F75EF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4F2833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09B3BAC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67B78F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54511CF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65F7B8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3BC817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524F9D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5A0970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4B8753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07C73B0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5B988E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2ABC46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032B63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682CD49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3"/>
    </w:p>
    <w:p w14:paraId="19DD1C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29391"/>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4"/>
    </w:p>
    <w:p w14:paraId="7D0313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6B3575E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2A83EAB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791B0D8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760438C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6D784B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264016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374E4C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0E2877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0F654F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2160A3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1471DF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67022B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 w:name="_Toc10350"/>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5"/>
    </w:p>
    <w:p w14:paraId="26F71E6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学期我们要在2024年的基础上，不扩展、不折腾，就是不再开设新的项目，但要在原来的基础上再深入、再细化、再提升，使“让善文化润泽师生的生命成长”这一理念真正落地，今年就是“至善教育”的落地之年。</w:t>
      </w:r>
    </w:p>
    <w:p w14:paraId="12C60B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6" w:name="_Toc84"/>
      <w:bookmarkStart w:id="7" w:name="_Toc16880"/>
      <w:bookmarkStart w:id="8" w:name="_Toc795"/>
      <w:r>
        <w:rPr>
          <w:rFonts w:hint="eastAsia" w:ascii="仿宋_GB2312" w:hAnsi="仿宋_GB2312" w:eastAsia="仿宋_GB2312" w:cs="仿宋_GB2312"/>
          <w:sz w:val="32"/>
          <w:szCs w:val="32"/>
          <w:lang w:val="en-US" w:eastAsia="zh-CN"/>
        </w:rPr>
        <w:t>1.践行“至善教育”的理念</w:t>
      </w:r>
      <w:bookmarkEnd w:id="6"/>
      <w:bookmarkEnd w:id="7"/>
      <w:bookmarkEnd w:id="8"/>
    </w:p>
    <w:p w14:paraId="3948F09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这一理念已经提出大半年的时间，不是否定以前，推倒重来，而是对“明德博学 臻于至善”办学思想和“立德树人、五育并举”的价值立场内涵的发展与延续，是一脉相承的。“至善教育”这一理念在同志们的思考下，得到了完善和发展。善自己、善他人、善教育、善家庭和社会。善自己是基础、是根本，是“至善教育”的“因”，后三个是“至善教育”的“果”。“至善教育”落实的最佳途径是“上施下效”。</w:t>
      </w:r>
    </w:p>
    <w:p w14:paraId="413D61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9" w:name="_Toc22416"/>
      <w:bookmarkStart w:id="10" w:name="_Toc10987"/>
      <w:bookmarkStart w:id="11" w:name="_Toc1399"/>
      <w:r>
        <w:rPr>
          <w:rFonts w:hint="eastAsia" w:ascii="仿宋_GB2312" w:hAnsi="仿宋_GB2312" w:eastAsia="仿宋_GB2312" w:cs="仿宋_GB2312"/>
          <w:sz w:val="32"/>
          <w:szCs w:val="32"/>
          <w:lang w:val="en-US" w:eastAsia="zh-CN"/>
        </w:rPr>
        <w:t>2.做一名“有影响的美善教师”</w:t>
      </w:r>
      <w:bookmarkEnd w:id="9"/>
      <w:bookmarkEnd w:id="10"/>
      <w:bookmarkEnd w:id="11"/>
    </w:p>
    <w:p w14:paraId="02CE16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怎么能把班级管好？我送大家“2个1”。第一个“1”是一句话：管理学生要恩威并施，先恩后威，“威”不足道；先威后恩，恩重如山。第二个“1”是一种思想：要和学生融为一体。怎么去“融”是非常有研究的。我建议要沉到学生中去，和学生一起玩、一起活动、一起谈心，就是要和学生亦师亦友，能够达到学生想犯错误自己都不好意思，有学生犯错误，别的学生就会帮你教育。假期给大家提供《致教师》和《给教师的一百条建议》两本书，大家如果看明白了，怎么当好老师，做好教育你就能懂，也能做好。我希望我们能够经常探讨这样的问题，做这样有意义的事情。</w:t>
      </w:r>
    </w:p>
    <w:p w14:paraId="7A7021C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一是心中要有目标。新学期，我们要探索“2345”教师专业成长模式。</w:t>
      </w:r>
    </w:p>
    <w:p w14:paraId="716DBD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二是成长要有平台。努力搭建成长平台，鼓励教师走到平台的中央。</w:t>
      </w:r>
    </w:p>
    <w:p w14:paraId="39331AF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参照要有榜样。榜样从优秀做起，从品质做起，向优秀看、跟优秀学，行政班子领导成员要全面提升服务意识，把服务教师当作履职之要，为你们解决问题。树立“你们的事就是我的事，你们的需要就是我存在的价值”的思想，成为你们的友人、亲人。    </w:t>
      </w:r>
    </w:p>
    <w:p w14:paraId="34FDD6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2" w:name="_Toc19617"/>
      <w:bookmarkStart w:id="13" w:name="_Toc9254"/>
      <w:r>
        <w:rPr>
          <w:rFonts w:hint="eastAsia" w:ascii="仿宋_GB2312" w:hAnsi="仿宋_GB2312" w:eastAsia="仿宋_GB2312" w:cs="仿宋_GB2312"/>
          <w:sz w:val="32"/>
          <w:szCs w:val="32"/>
          <w:lang w:val="en-US" w:eastAsia="zh-CN"/>
        </w:rPr>
        <w:t>四是工作要有氛围。大力倡导“我工作、我开心，我生活、我快乐”的家文化理念，发挥文化润校功能，用“高看一眼、相互补台”的心态对待同事，凝聚谦虚、包容、自律、向上、大气的学校精神，建设谦虚不低调，包容不懦弱，自律不自缚，向上不冒进，大气不张扬的文化内涵。</w:t>
      </w:r>
      <w:bookmarkEnd w:id="12"/>
      <w:bookmarkEnd w:id="13"/>
      <w:bookmarkStart w:id="14" w:name="_Toc27553"/>
    </w:p>
    <w:p w14:paraId="59E434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5" w:name="_Toc6651"/>
      <w:bookmarkStart w:id="16" w:name="_Toc7156"/>
      <w:r>
        <w:rPr>
          <w:rFonts w:hint="eastAsia" w:ascii="仿宋_GB2312" w:hAnsi="仿宋_GB2312" w:eastAsia="仿宋_GB2312" w:cs="仿宋_GB2312"/>
          <w:sz w:val="32"/>
          <w:szCs w:val="32"/>
          <w:lang w:val="en-US" w:eastAsia="zh-CN"/>
        </w:rPr>
        <w:t>3.培育有影响的向善学生</w:t>
      </w:r>
      <w:bookmarkEnd w:id="14"/>
      <w:bookmarkEnd w:id="15"/>
      <w:bookmarkEnd w:id="16"/>
    </w:p>
    <w:p w14:paraId="698686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一是质量要有新突破。二是要抓实“日清、周备”的提升。三是大力开展养成教育。</w:t>
      </w:r>
    </w:p>
    <w:p w14:paraId="27AE8D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7" w:name="_Toc24746"/>
      <w:bookmarkStart w:id="18" w:name="_Toc21972"/>
      <w:bookmarkStart w:id="19" w:name="_Toc24200"/>
      <w:r>
        <w:rPr>
          <w:rFonts w:hint="eastAsia" w:ascii="仿宋_GB2312" w:hAnsi="仿宋_GB2312" w:eastAsia="仿宋_GB2312" w:cs="仿宋_GB2312"/>
          <w:sz w:val="32"/>
          <w:szCs w:val="32"/>
          <w:lang w:val="en-US" w:eastAsia="zh-CN"/>
        </w:rPr>
        <w:t>4.打造有影响的善美校园</w:t>
      </w:r>
      <w:bookmarkEnd w:id="17"/>
      <w:bookmarkEnd w:id="18"/>
      <w:bookmarkEnd w:id="19"/>
    </w:p>
    <w:p w14:paraId="4A6605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学校要有特色。二是班级要有特点。向市内外学校看齐，班级有名字、有目标、有口号等；课前书声琅琅、课上聚精会神、课下出入有序等，班团会有主题、有形式、有效果等；逐步形成自己的班风。三是教师要有特长。我们教师不但能胜任自己的学科教学，更要在专精上下功夫，能指导学生参加各类竞赛，以强基计划为切入点，锻造业务本领，尽快成长为优秀学科竞赛教练。</w:t>
      </w:r>
    </w:p>
    <w:p w14:paraId="02300570">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四是探索“147”安全管理模式，织牢师生安全防护网。五是做好正面报道和宣传。</w:t>
      </w:r>
    </w:p>
    <w:p w14:paraId="450DF7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20" w:name="_Toc28120"/>
      <w:bookmarkStart w:id="21" w:name="_Toc4291"/>
      <w:bookmarkStart w:id="22" w:name="_Toc29778"/>
      <w:r>
        <w:rPr>
          <w:rFonts w:hint="eastAsia" w:ascii="仿宋_GB2312" w:hAnsi="仿宋_GB2312" w:eastAsia="仿宋_GB2312" w:cs="仿宋_GB2312"/>
          <w:sz w:val="32"/>
          <w:szCs w:val="32"/>
          <w:lang w:val="en-US" w:eastAsia="zh-CN"/>
        </w:rPr>
        <w:t>5.抓好其他工作，做好后勤服务</w:t>
      </w:r>
      <w:bookmarkEnd w:id="20"/>
      <w:bookmarkEnd w:id="21"/>
      <w:bookmarkEnd w:id="22"/>
    </w:p>
    <w:p w14:paraId="245D86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一是制定财务预算，坚持按计划、合理使用经费。二是抓好后勤人员的管理，提高服务质量。三是加强食堂质量的管理。四是发挥工会作用，关心教职工生活，解决教职工工作、生活困难，做好校务、财务、政务公开，接受教职工监督。五是加强幼儿园工作。六是形成家校合力。七是各处室和办公室要加强痕迹管理和档案管理。</w:t>
      </w:r>
    </w:p>
    <w:p w14:paraId="48DBB4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3" w:name="_Toc6736"/>
      <w:r>
        <w:rPr>
          <w:rFonts w:hint="eastAsia" w:ascii="黑体" w:hAnsi="黑体" w:eastAsia="黑体" w:cs="黑体"/>
          <w:sz w:val="32"/>
          <w:szCs w:val="32"/>
          <w:lang w:val="en-US" w:eastAsia="zh-CN"/>
        </w:rPr>
        <w:t>二、部门预算单位构成</w:t>
      </w:r>
      <w:bookmarkEnd w:id="23"/>
    </w:p>
    <w:p w14:paraId="49684D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1C6740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29139"/>
      <w:r>
        <w:rPr>
          <w:rFonts w:hint="eastAsia" w:ascii="黑体" w:hAnsi="黑体" w:eastAsia="黑体" w:cs="黑体"/>
          <w:sz w:val="32"/>
          <w:szCs w:val="32"/>
          <w:lang w:val="en-US" w:eastAsia="zh-CN"/>
        </w:rPr>
        <w:t>三、收支预算情况说明</w:t>
      </w:r>
      <w:bookmarkEnd w:id="24"/>
    </w:p>
    <w:p w14:paraId="70CBE6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射箭小学所有收入和支出均纳入部门预算管理。收入包括：一般公共预算拨款收入；支出包括：教育支出。射箭小学2025年收支预算总数420.91万元，比2024年收支预算总数增加24.85万元，主要原因是基本支出增加。</w:t>
      </w:r>
    </w:p>
    <w:p w14:paraId="4BFA70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2488"/>
      <w:r>
        <w:rPr>
          <w:rFonts w:hint="eastAsia" w:ascii="楷体_GB2312" w:hAnsi="楷体_GB2312" w:eastAsia="楷体_GB2312" w:cs="楷体_GB2312"/>
          <w:sz w:val="32"/>
          <w:szCs w:val="32"/>
          <w:lang w:val="en-US" w:eastAsia="zh-CN"/>
        </w:rPr>
        <w:t>（一）收入预算情况</w:t>
      </w:r>
      <w:bookmarkEnd w:id="25"/>
    </w:p>
    <w:p w14:paraId="48F292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射箭小学2025年收入预算420.91万元，其中：上年结转420.91万元，占100%。</w:t>
      </w:r>
    </w:p>
    <w:p w14:paraId="4EE8691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6" w:name="_Toc1840"/>
      <w:r>
        <w:rPr>
          <w:rFonts w:hint="eastAsia" w:ascii="楷体_GB2312" w:hAnsi="楷体_GB2312" w:eastAsia="楷体_GB2312" w:cs="楷体_GB2312"/>
          <w:sz w:val="32"/>
          <w:szCs w:val="32"/>
          <w:lang w:val="en-US" w:eastAsia="zh-CN"/>
        </w:rPr>
        <w:t>（二）支出预算情况</w:t>
      </w:r>
      <w:bookmarkEnd w:id="26"/>
    </w:p>
    <w:p w14:paraId="419752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射箭小学2025年支出预算420.91万元，其中：基本支出386.45万元，占91.81%；项目支出34.46万元，占8.19%</w:t>
      </w:r>
      <w:r>
        <w:rPr>
          <w:rFonts w:hint="eastAsia" w:ascii="仿宋_GB2312" w:hAnsi="仿宋_GB2312" w:eastAsia="仿宋_GB2312" w:cs="仿宋_GB2312"/>
          <w:b w:val="0"/>
          <w:bCs w:val="0"/>
          <w:sz w:val="32"/>
          <w:szCs w:val="32"/>
          <w:lang w:val="en-US" w:eastAsia="zh-CN"/>
        </w:rPr>
        <w:t>。</w:t>
      </w:r>
    </w:p>
    <w:p w14:paraId="0AB3D2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7" w:name="_Toc7681"/>
      <w:r>
        <w:rPr>
          <w:rFonts w:hint="eastAsia" w:ascii="黑体" w:hAnsi="黑体" w:eastAsia="黑体" w:cs="黑体"/>
          <w:sz w:val="32"/>
          <w:szCs w:val="32"/>
          <w:lang w:val="en-US" w:eastAsia="zh-CN"/>
        </w:rPr>
        <w:t>四、财政拨款收支预算情况说明</w:t>
      </w:r>
      <w:bookmarkEnd w:id="27"/>
    </w:p>
    <w:p w14:paraId="5CE305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射箭小学2025年财政拨款收支预算总数420.91万元，比2024年财政拨款收支预算总数增加24.85万元，主要原因是基本支出增加。</w:t>
      </w:r>
    </w:p>
    <w:p w14:paraId="5E981F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收入包括：本年一般公共预算拨款收入420.91万元；支出包括：教育支出420.91万元。</w:t>
      </w:r>
    </w:p>
    <w:p w14:paraId="18852F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8" w:name="_Toc20436"/>
      <w:r>
        <w:rPr>
          <w:rFonts w:hint="eastAsia" w:ascii="黑体" w:hAnsi="黑体" w:eastAsia="黑体" w:cs="黑体"/>
          <w:sz w:val="32"/>
          <w:szCs w:val="32"/>
          <w:lang w:val="en-US" w:eastAsia="zh-CN"/>
        </w:rPr>
        <w:t>五、一般公共预算当年拨款情况说明</w:t>
      </w:r>
      <w:bookmarkEnd w:id="28"/>
    </w:p>
    <w:p w14:paraId="42B60D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9" w:name="_Toc18195"/>
      <w:bookmarkStart w:id="30" w:name="_Toc11189"/>
      <w:r>
        <w:rPr>
          <w:rFonts w:hint="eastAsia" w:ascii="楷体_GB2312" w:hAnsi="楷体_GB2312" w:eastAsia="楷体_GB2312" w:cs="楷体_GB2312"/>
          <w:sz w:val="32"/>
          <w:szCs w:val="32"/>
          <w:lang w:val="en-US" w:eastAsia="zh-CN"/>
        </w:rPr>
        <w:t>（一）一般公共预算当年拨款规模变化情况</w:t>
      </w:r>
      <w:bookmarkEnd w:id="29"/>
      <w:bookmarkEnd w:id="30"/>
    </w:p>
    <w:p w14:paraId="6580C4F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射箭小学2025年一般公共预算当年拨款420.91万元，比2024年预算数增加24.85万元，主要原因是基本支出增加。</w:t>
      </w:r>
    </w:p>
    <w:p w14:paraId="5FC0922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1" w:name="_Toc1907"/>
      <w:bookmarkStart w:id="32" w:name="_Toc27095"/>
      <w:r>
        <w:rPr>
          <w:rFonts w:hint="eastAsia" w:ascii="楷体_GB2312" w:hAnsi="楷体_GB2312" w:eastAsia="楷体_GB2312" w:cs="楷体_GB2312"/>
          <w:sz w:val="32"/>
          <w:szCs w:val="32"/>
          <w:lang w:val="en-US" w:eastAsia="zh-CN"/>
        </w:rPr>
        <w:t>（二）一般公共预算当年拨款结构情况</w:t>
      </w:r>
      <w:bookmarkEnd w:id="31"/>
      <w:bookmarkEnd w:id="32"/>
    </w:p>
    <w:p w14:paraId="0BCAC8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教育支出420.91万元，占100%。</w:t>
      </w:r>
    </w:p>
    <w:p w14:paraId="0F0E18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3" w:name="_Toc31617"/>
      <w:bookmarkStart w:id="34" w:name="_Toc7108"/>
      <w:r>
        <w:rPr>
          <w:rFonts w:hint="eastAsia" w:ascii="楷体_GB2312" w:hAnsi="楷体_GB2312" w:eastAsia="楷体_GB2312" w:cs="楷体_GB2312"/>
          <w:sz w:val="32"/>
          <w:szCs w:val="32"/>
          <w:lang w:val="en-US" w:eastAsia="zh-CN"/>
        </w:rPr>
        <w:t>（三）一般公共预算当年拨款具体使用情况</w:t>
      </w:r>
      <w:bookmarkEnd w:id="33"/>
      <w:bookmarkEnd w:id="34"/>
    </w:p>
    <w:p w14:paraId="6EEBF1C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类）普通教育（款）小学教育（项）2025年预算数420.91万元，主要用于：小学教育机构的基本支出，包括基本工资、津贴补贴、基础绩效奖等人员经费以及机构运行所需的办公费、印刷费、维修（护）费、工会经费等运行补助经费。</w:t>
      </w:r>
    </w:p>
    <w:p w14:paraId="77658C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5" w:name="_Toc18209"/>
      <w:r>
        <w:rPr>
          <w:rFonts w:hint="eastAsia" w:ascii="黑体" w:hAnsi="黑体" w:eastAsia="黑体" w:cs="黑体"/>
          <w:sz w:val="32"/>
          <w:szCs w:val="32"/>
          <w:lang w:val="en-US" w:eastAsia="zh-CN"/>
        </w:rPr>
        <w:t>六、一般公共预算基本支出情况说明</w:t>
      </w:r>
      <w:bookmarkEnd w:id="35"/>
    </w:p>
    <w:p w14:paraId="5A96E7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射箭小学2025年一般公共预算基本支出386.45万元，其中：</w:t>
      </w:r>
    </w:p>
    <w:p w14:paraId="41CB3D9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人员经费386.45万元，主要包括：基本工资、津贴补贴、奖金、绩效工资、社会保险缴费、住房公积金、生活补助、奖励金等支出。</w:t>
      </w:r>
    </w:p>
    <w:p w14:paraId="168F64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304F09B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6" w:name="_Toc12110"/>
      <w:r>
        <w:rPr>
          <w:rFonts w:hint="eastAsia" w:ascii="黑体" w:hAnsi="黑体" w:eastAsia="黑体" w:cs="黑体"/>
          <w:sz w:val="32"/>
          <w:szCs w:val="32"/>
          <w:lang w:val="en-US" w:eastAsia="zh-CN"/>
        </w:rPr>
        <w:t>七、“三公”经费财政拨款预算安排情况说明</w:t>
      </w:r>
      <w:bookmarkEnd w:id="36"/>
    </w:p>
    <w:p w14:paraId="696B7D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射箭小学2025年“三公”经费财政拨款预算数为0.1万元，其中：公务接待费0.1万元，公务用车购置及运行维护费0万元，因公出国（境）经费0万元。</w:t>
      </w:r>
    </w:p>
    <w:p w14:paraId="29364C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7" w:name="_Toc3694"/>
      <w:bookmarkStart w:id="38" w:name="_Toc16788"/>
      <w:r>
        <w:rPr>
          <w:rFonts w:hint="eastAsia" w:ascii="楷体_GB2312" w:hAnsi="楷体_GB2312" w:eastAsia="楷体_GB2312" w:cs="楷体_GB2312"/>
          <w:sz w:val="32"/>
          <w:szCs w:val="32"/>
          <w:lang w:val="en-US" w:eastAsia="zh-CN"/>
        </w:rPr>
        <w:t>（一）公务接待费</w:t>
      </w:r>
      <w:bookmarkEnd w:id="37"/>
      <w:bookmarkEnd w:id="38"/>
    </w:p>
    <w:p w14:paraId="0B917E4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50B8725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2CCD1824">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9" w:name="_Toc26311"/>
      <w:bookmarkStart w:id="40" w:name="_Toc1534"/>
      <w:r>
        <w:rPr>
          <w:rFonts w:hint="eastAsia" w:ascii="楷体_GB2312" w:hAnsi="楷体_GB2312" w:eastAsia="楷体_GB2312" w:cs="楷体_GB2312"/>
          <w:sz w:val="32"/>
          <w:szCs w:val="32"/>
          <w:lang w:val="en-US" w:eastAsia="zh-CN"/>
        </w:rPr>
        <w:t>公务用车购置及运行维护费</w:t>
      </w:r>
      <w:bookmarkEnd w:id="39"/>
      <w:bookmarkEnd w:id="40"/>
    </w:p>
    <w:p w14:paraId="7A7E5F7B">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159F1C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7A6AE1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3ABE63E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7F4F2011">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41" w:name="_Toc1663"/>
      <w:bookmarkStart w:id="42" w:name="_Toc30656"/>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41"/>
      <w:bookmarkEnd w:id="42"/>
    </w:p>
    <w:p w14:paraId="4ACB55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18064DD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3" w:name="_Toc20286"/>
      <w:r>
        <w:rPr>
          <w:rFonts w:hint="eastAsia" w:ascii="黑体" w:hAnsi="黑体" w:eastAsia="黑体" w:cs="黑体"/>
          <w:sz w:val="32"/>
          <w:szCs w:val="32"/>
          <w:lang w:val="en-US" w:eastAsia="zh-CN"/>
        </w:rPr>
        <w:t>八、政府性基金预算支出情况说明</w:t>
      </w:r>
      <w:bookmarkEnd w:id="43"/>
    </w:p>
    <w:p w14:paraId="62C519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射箭小学2025年无政府性基金预算拨款安排的支出。</w:t>
      </w:r>
    </w:p>
    <w:p w14:paraId="5BFADD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4" w:name="_Toc22203"/>
      <w:r>
        <w:rPr>
          <w:rFonts w:hint="eastAsia" w:ascii="黑体" w:hAnsi="黑体" w:eastAsia="黑体" w:cs="黑体"/>
          <w:sz w:val="32"/>
          <w:szCs w:val="32"/>
          <w:lang w:val="en-US" w:eastAsia="zh-CN"/>
        </w:rPr>
        <w:t>九、国有资本经营预算支出情况说明</w:t>
      </w:r>
      <w:bookmarkEnd w:id="44"/>
    </w:p>
    <w:p w14:paraId="100E41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射箭小学2025年无国有资本经营预算拨款安排的支出。</w:t>
      </w:r>
    </w:p>
    <w:p w14:paraId="5D260F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5" w:name="_Toc20170"/>
      <w:r>
        <w:rPr>
          <w:rFonts w:hint="eastAsia" w:ascii="黑体" w:hAnsi="黑体" w:eastAsia="黑体" w:cs="黑体"/>
          <w:sz w:val="32"/>
          <w:szCs w:val="32"/>
          <w:lang w:val="en-US" w:eastAsia="zh-CN"/>
        </w:rPr>
        <w:t>十、其他重要事项的情况说明</w:t>
      </w:r>
      <w:bookmarkEnd w:id="45"/>
    </w:p>
    <w:p w14:paraId="56B288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6" w:name="_Toc24575"/>
      <w:bookmarkStart w:id="47" w:name="_Toc1306"/>
      <w:r>
        <w:rPr>
          <w:rFonts w:hint="eastAsia" w:ascii="楷体_GB2312" w:hAnsi="楷体_GB2312" w:eastAsia="楷体_GB2312" w:cs="楷体_GB2312"/>
          <w:sz w:val="32"/>
          <w:szCs w:val="32"/>
          <w:lang w:val="en-US" w:eastAsia="zh-CN"/>
        </w:rPr>
        <w:t>（一）机关运行经费</w:t>
      </w:r>
      <w:bookmarkEnd w:id="46"/>
      <w:bookmarkEnd w:id="47"/>
    </w:p>
    <w:p w14:paraId="707F19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783791A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8" w:name="_Toc4455"/>
      <w:bookmarkStart w:id="49" w:name="_Toc3786"/>
      <w:r>
        <w:rPr>
          <w:rFonts w:hint="eastAsia" w:ascii="楷体_GB2312" w:hAnsi="楷体_GB2312" w:eastAsia="楷体_GB2312" w:cs="楷体_GB2312"/>
          <w:sz w:val="32"/>
          <w:szCs w:val="32"/>
          <w:lang w:val="en-US" w:eastAsia="zh-CN"/>
        </w:rPr>
        <w:t>（二）政府采购情况</w:t>
      </w:r>
      <w:bookmarkEnd w:id="48"/>
      <w:bookmarkEnd w:id="49"/>
    </w:p>
    <w:p w14:paraId="435153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2025年，射箭小学安排政府采购预算0万元。</w:t>
      </w:r>
    </w:p>
    <w:p w14:paraId="608E4CE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0" w:name="_Toc6791"/>
      <w:bookmarkStart w:id="51" w:name="_Toc4641"/>
      <w:r>
        <w:rPr>
          <w:rFonts w:hint="eastAsia" w:ascii="楷体_GB2312" w:hAnsi="楷体_GB2312" w:eastAsia="楷体_GB2312" w:cs="楷体_GB2312"/>
          <w:sz w:val="32"/>
          <w:szCs w:val="32"/>
          <w:lang w:val="en-US" w:eastAsia="zh-CN"/>
        </w:rPr>
        <w:t>（三）国有资产占有使用情况</w:t>
      </w:r>
      <w:bookmarkEnd w:id="50"/>
      <w:bookmarkEnd w:id="51"/>
    </w:p>
    <w:p w14:paraId="71279A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截至2024年底，射箭小学共有车辆0辆。单位无价值200万元以上的大型设备。</w:t>
      </w:r>
    </w:p>
    <w:p w14:paraId="0560D8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1F6451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2" w:name="_Toc466"/>
      <w:bookmarkStart w:id="53" w:name="_Toc10775"/>
      <w:r>
        <w:rPr>
          <w:rFonts w:hint="eastAsia" w:ascii="楷体_GB2312" w:hAnsi="楷体_GB2312" w:eastAsia="楷体_GB2312" w:cs="楷体_GB2312"/>
          <w:sz w:val="32"/>
          <w:szCs w:val="32"/>
          <w:lang w:val="en-US" w:eastAsia="zh-CN"/>
        </w:rPr>
        <w:t>（四）绩效目标设置情况</w:t>
      </w:r>
      <w:bookmarkEnd w:id="52"/>
      <w:bookmarkEnd w:id="53"/>
    </w:p>
    <w:p w14:paraId="17B4A8A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射箭小学开展绩效目标管理的项目XX个，涉及预算420.91万元。其中：人员类项目10个，涉及预算386.45万元；运转类项目4个，涉及预算34.46万元；特定目标类项目0个，涉及预算0万元。因部分项目内容涉密，不予公开。</w:t>
      </w:r>
    </w:p>
    <w:p w14:paraId="62ADB1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4" w:name="_Toc29662"/>
      <w:r>
        <w:rPr>
          <w:rFonts w:hint="eastAsia" w:ascii="黑体" w:hAnsi="黑体" w:eastAsia="黑体" w:cs="黑体"/>
          <w:sz w:val="32"/>
          <w:szCs w:val="32"/>
          <w:lang w:val="en-US" w:eastAsia="zh-CN"/>
        </w:rPr>
        <w:t>十一、名词解释</w:t>
      </w:r>
      <w:bookmarkEnd w:id="54"/>
    </w:p>
    <w:p w14:paraId="1E3BBA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w:t>
      </w:r>
      <w:bookmarkStart w:id="57" w:name="_GoBack"/>
      <w:bookmarkEnd w:id="57"/>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14:paraId="73E584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3DCB1F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256B2D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（五）教育支出（类）普通教育（款）学前教育（项）：</w:t>
      </w:r>
      <w:r>
        <w:rPr>
          <w:rFonts w:hint="eastAsia" w:ascii="仿宋_GB2312" w:hAnsi="仿宋_GB2312" w:eastAsia="仿宋_GB2312" w:cs="仿宋_GB2312"/>
          <w:sz w:val="32"/>
          <w:szCs w:val="32"/>
          <w:lang w:val="en-US" w:eastAsia="zh-CN"/>
        </w:rPr>
        <w:t>指学前教育发展的基本支出，包括基本工资、津贴补贴等人员经费以及办公费、印刷费、水电费等日常公用经费。</w:t>
      </w:r>
    </w:p>
    <w:p w14:paraId="6E0279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指部门实施养老保险制度由单位缴纳的养老保险费的支出。</w:t>
      </w:r>
    </w:p>
    <w:p w14:paraId="042881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15C73D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1AF859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38B0C5C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183D62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6D91158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p>
    <w:p w14:paraId="27464C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3E86B0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5336409B">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55" w:name="_Toc17418"/>
      <w:bookmarkStart w:id="56" w:name="_Toc22049"/>
      <w:r>
        <w:rPr>
          <w:rFonts w:hint="eastAsia" w:ascii="仿宋_GB2312" w:hAnsi="仿宋_GB2312" w:eastAsia="仿宋_GB2312" w:cs="仿宋_GB2312"/>
          <w:sz w:val="32"/>
          <w:szCs w:val="32"/>
          <w:lang w:val="en-US" w:eastAsia="zh-CN"/>
        </w:rPr>
        <w:t>单位预算项目绩效目标表</w:t>
      </w:r>
      <w:bookmarkEnd w:id="55"/>
      <w:bookmarkEnd w:id="56"/>
    </w:p>
    <w:p w14:paraId="0CD0988E">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B2D9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2"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A976153">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ANc4Vs/gEAAAAEAAAOAAAAAAAAAAEAIAAAAB8BAABkcnMvZTJvRG9jLnht&#10;bFBLBQYAAAAABgAGAFkBAACPBQAAAAA=&#10;">
              <v:fill on="f" focussize="0,0"/>
              <v:stroke on="f"/>
              <v:imagedata o:title=""/>
              <o:lock v:ext="edit" aspectratio="f"/>
              <v:textbox inset="0mm,0mm,0mm,0mm" style="mso-fit-shape-to-text:t;">
                <w:txbxContent>
                  <w:p w14:paraId="4A976153">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7C6E7B"/>
    <w:multiLevelType w:val="singleLevel"/>
    <w:tmpl w:val="0F7C6E7B"/>
    <w:lvl w:ilvl="0" w:tentative="0">
      <w:start w:val="2"/>
      <w:numFmt w:val="decimal"/>
      <w:lvlText w:val="%1."/>
      <w:lvlJc w:val="left"/>
      <w:pPr>
        <w:tabs>
          <w:tab w:val="left" w:pos="312"/>
        </w:tabs>
        <w:ind w:left="1600" w:leftChars="0" w:firstLine="0" w:firstLineChars="0"/>
      </w:pPr>
    </w:lvl>
  </w:abstractNum>
  <w:abstractNum w:abstractNumId="1">
    <w:nsid w:val="2110C92A"/>
    <w:multiLevelType w:val="singleLevel"/>
    <w:tmpl w:val="2110C92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xYWNmOTVlNTUwMjFhZGJjZTBiYTkzNWM3ZWY5NjMifQ=="/>
  </w:docVars>
  <w:rsids>
    <w:rsidRoot w:val="00000000"/>
    <w:rsid w:val="65354D20"/>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cs="Cambria"/>
      <w:b/>
      <w:bCs/>
      <w:sz w:val="32"/>
      <w:szCs w:val="32"/>
    </w:rPr>
  </w:style>
  <w:style w:type="character" w:default="1" w:styleId="11">
    <w:name w:val="Default Paragraph Font"/>
    <w:autoRedefine/>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autoRedefine/>
    <w:qFormat/>
    <w:uiPriority w:val="0"/>
  </w:style>
  <w:style w:type="paragraph" w:styleId="8">
    <w:name w:val="Normal (Web)"/>
    <w:basedOn w:val="1"/>
    <w:autoRedefine/>
    <w:qFormat/>
    <w:uiPriority w:val="0"/>
    <w:rPr>
      <w:sz w:val="24"/>
    </w:rPr>
  </w:style>
  <w:style w:type="table" w:styleId="1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2">
    <w:name w:val="默认段落字体1"/>
    <w:autoRedefine/>
    <w:qFormat/>
    <w:uiPriority w:val="0"/>
  </w:style>
  <w:style w:type="paragraph" w:customStyle="1" w:styleId="13">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autoRedefine/>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4112</Words>
  <Characters>4340</Characters>
  <TotalTime>8</TotalTime>
  <ScaleCrop>false</ScaleCrop>
  <LinksUpToDate>false</LinksUpToDate>
  <CharactersWithSpaces>4412</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2025-02-15T05:44:03Z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40BE185AC69A49F4AC70218A0EE531E4_13</vt:lpwstr>
  </property>
  <property fmtid="{D5CDD505-2E9C-101B-9397-08002B2CF9AE}" pid="4" name="KSOTemplateDocerSaveRecord">
    <vt:lpwstr>eyJoZGlkIjoiOTlhNTlmMWMwY2NkZGNhOTM0ZTIzOTMwM2UwMjVlYzgiLCJ1c2VySWQiOiI2MDAwNDk2NTIifQ==</vt:lpwstr>
  </property>
</Properties>
</file>