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2408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10176"/>
      <w:bookmarkStart w:id="1" w:name="_Toc20285"/>
      <w:bookmarkStart w:id="2" w:name="_Toc6661"/>
      <w:bookmarkStart w:id="3" w:name="_Toc20662"/>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广元市昭化区射箭镇明觉小学</w:t>
      </w:r>
      <w:bookmarkEnd w:id="0"/>
      <w:bookmarkEnd w:id="1"/>
      <w:bookmarkEnd w:id="2"/>
      <w:bookmarkEnd w:id="3"/>
    </w:p>
    <w:p w14:paraId="7D72AEE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0F1BEE01">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hint="eastAsia" w:ascii="仿宋_GB2312" w:hAnsi="仿宋_GB2312" w:eastAsia="仿宋_GB2312" w:cs="仿宋_GB2312"/>
          <w:color w:val="auto"/>
          <w:kern w:val="2"/>
          <w:sz w:val="32"/>
          <w:szCs w:val="32"/>
          <w:lang w:val="en-US" w:eastAsia="zh-CN" w:bidi="ar-SA"/>
        </w:rPr>
        <w:id w:val="147454141"/>
        <w:docPartObj>
          <w:docPartGallery w:val="Table of Contents"/>
          <w:docPartUnique/>
        </w:docPartObj>
      </w:sdtPr>
      <w:sdtEndPr>
        <w:rPr>
          <w:rFonts w:hint="eastAsia" w:ascii="仿宋_GB2312" w:hAnsi="仿宋_GB2312" w:eastAsia="仿宋_GB2312" w:cs="仿宋_GB2312"/>
          <w:b/>
          <w:color w:val="auto"/>
          <w:kern w:val="2"/>
          <w:sz w:val="32"/>
          <w:szCs w:val="32"/>
          <w:lang w:val="en-US" w:eastAsia="zh-CN" w:bidi="ar-SA"/>
        </w:rPr>
      </w:sdtEndPr>
      <w:sdtContent>
        <w:p w14:paraId="641D3EEA">
          <w:pPr>
            <w:spacing w:before="0" w:beforeLines="0" w:after="0" w:afterLines="0"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w:instrText>
          </w:r>
          <w:r>
            <w:rPr>
              <w:rFonts w:hint="eastAsia" w:ascii="仿宋_GB2312" w:hAnsi="仿宋_GB2312" w:eastAsia="仿宋_GB2312" w:cs="仿宋_GB2312"/>
              <w:sz w:val="32"/>
              <w:szCs w:val="32"/>
            </w:rPr>
            <w:fldChar w:fldCharType="separate"/>
          </w:r>
        </w:p>
        <w:p w14:paraId="54A2EC98">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"_Toc19967" </w:instrText>
          </w:r>
          <w:r>
            <w:fldChar w:fldCharType="separate"/>
          </w:r>
          <w:r>
            <w:rPr>
              <w:rFonts w:hint="eastAsia" w:ascii="仿宋_GB2312" w:hAnsi="仿宋_GB2312" w:eastAsia="仿宋_GB2312" w:cs="仿宋_GB2312"/>
              <w:b/>
              <w:sz w:val="32"/>
              <w:szCs w:val="32"/>
              <w:lang w:val="en-US" w:eastAsia="zh-CN"/>
            </w:rPr>
            <w:t>一、基本职能及主要工作</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_Toc19967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48B70EA8">
          <w:pPr>
            <w:pStyle w:val="16"/>
            <w:tabs>
              <w:tab w:val="right" w:leader="dot" w:pos="8845"/>
            </w:tabs>
            <w:rPr>
              <w:rFonts w:hint="eastAsia" w:ascii="仿宋_GB2312" w:hAnsi="仿宋_GB2312" w:eastAsia="仿宋_GB2312" w:cs="仿宋_GB2312"/>
              <w:sz w:val="32"/>
              <w:szCs w:val="32"/>
            </w:rPr>
          </w:pPr>
          <w:r>
            <w:fldChar w:fldCharType="begin"/>
          </w:r>
          <w:r>
            <w:instrText xml:space="preserve"> HYPERLINK \l "_Toc7742" </w:instrText>
          </w:r>
          <w:r>
            <w:fldChar w:fldCharType="separate"/>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职能简介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_Toc7742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4693C79">
          <w:pPr>
            <w:pStyle w:val="16"/>
            <w:tabs>
              <w:tab w:val="right" w:leader="dot" w:pos="8845"/>
            </w:tabs>
            <w:rPr>
              <w:rFonts w:hint="eastAsia" w:ascii="仿宋_GB2312" w:hAnsi="仿宋_GB2312" w:eastAsia="仿宋_GB2312" w:cs="仿宋_GB2312"/>
              <w:sz w:val="32"/>
              <w:szCs w:val="32"/>
            </w:rPr>
          </w:pPr>
          <w:r>
            <w:fldChar w:fldCharType="begin"/>
          </w:r>
          <w:r>
            <w:instrText xml:space="preserve"> HYPERLINK \l "_Toc4270" </w:instrText>
          </w:r>
          <w:r>
            <w:fldChar w:fldCharType="separate"/>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年重点工作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_Toc4270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65E35CE">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"_Toc25579" </w:instrText>
          </w:r>
          <w:r>
            <w:fldChar w:fldCharType="separate"/>
          </w:r>
          <w:r>
            <w:rPr>
              <w:rFonts w:hint="eastAsia" w:ascii="仿宋_GB2312" w:hAnsi="仿宋_GB2312" w:eastAsia="仿宋_GB2312" w:cs="仿宋_GB2312"/>
              <w:b/>
              <w:sz w:val="32"/>
              <w:szCs w:val="32"/>
              <w:lang w:val="en-US" w:eastAsia="zh-CN"/>
            </w:rPr>
            <w:t>二、部门预算单位构成</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_Toc25579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08DAD567">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"_Toc12477" </w:instrText>
          </w:r>
          <w:r>
            <w:fldChar w:fldCharType="separate"/>
          </w:r>
          <w:r>
            <w:rPr>
              <w:rFonts w:hint="eastAsia" w:ascii="仿宋_GB2312" w:hAnsi="仿宋_GB2312" w:eastAsia="仿宋_GB2312" w:cs="仿宋_GB2312"/>
              <w:b/>
              <w:sz w:val="32"/>
              <w:szCs w:val="32"/>
              <w:lang w:val="en-US" w:eastAsia="zh-CN"/>
            </w:rPr>
            <w:t>三、收支预算情况说明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_Toc12477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6324ECB4">
          <w:pPr>
            <w:pStyle w:val="16"/>
            <w:tabs>
              <w:tab w:val="right" w:leader="dot" w:pos="8845"/>
            </w:tabs>
            <w:rPr>
              <w:rFonts w:hint="eastAsia" w:ascii="仿宋_GB2312" w:hAnsi="仿宋_GB2312" w:eastAsia="仿宋_GB2312" w:cs="仿宋_GB2312"/>
              <w:sz w:val="32"/>
              <w:szCs w:val="32"/>
            </w:rPr>
          </w:pPr>
          <w:r>
            <w:fldChar w:fldCharType="begin"/>
          </w:r>
          <w:r>
            <w:instrText xml:space="preserve"> HYPERLINK \l "_Toc969" </w:instrText>
          </w:r>
          <w:r>
            <w:fldChar w:fldCharType="separate"/>
          </w:r>
          <w:r>
            <w:rPr>
              <w:rFonts w:hint="eastAsia" w:ascii="仿宋_GB2312" w:hAnsi="仿宋_GB2312" w:eastAsia="仿宋_GB2312" w:cs="仿宋_GB2312"/>
              <w:sz w:val="32"/>
              <w:szCs w:val="32"/>
              <w:lang w:val="en-US" w:eastAsia="zh-CN"/>
            </w:rPr>
            <w:t>（一）收入预算情况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_Toc969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A33DC61">
          <w:pPr>
            <w:pStyle w:val="16"/>
            <w:tabs>
              <w:tab w:val="right" w:leader="dot" w:pos="8845"/>
            </w:tabs>
            <w:rPr>
              <w:rFonts w:hint="eastAsia" w:ascii="仿宋_GB2312" w:hAnsi="仿宋_GB2312" w:eastAsia="仿宋_GB2312" w:cs="仿宋_GB2312"/>
              <w:sz w:val="32"/>
              <w:szCs w:val="32"/>
            </w:rPr>
          </w:pPr>
          <w:r>
            <w:fldChar w:fldCharType="begin"/>
          </w:r>
          <w:r>
            <w:instrText xml:space="preserve"> HYPERLINK \l "_Toc22155" </w:instrText>
          </w:r>
          <w:r>
            <w:fldChar w:fldCharType="separate"/>
          </w:r>
          <w:r>
            <w:rPr>
              <w:rFonts w:hint="eastAsia" w:ascii="仿宋_GB2312" w:hAnsi="仿宋_GB2312" w:eastAsia="仿宋_GB2312" w:cs="仿宋_GB2312"/>
              <w:sz w:val="32"/>
              <w:szCs w:val="32"/>
              <w:lang w:val="en-US" w:eastAsia="zh-CN"/>
            </w:rPr>
            <w:t>（二）支出预算情况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_Toc22155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7E5DB09">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"_Toc20804" </w:instrText>
          </w:r>
          <w:r>
            <w:fldChar w:fldCharType="separate"/>
          </w:r>
          <w:r>
            <w:rPr>
              <w:rFonts w:hint="eastAsia" w:ascii="仿宋_GB2312" w:hAnsi="仿宋_GB2312" w:eastAsia="仿宋_GB2312" w:cs="仿宋_GB2312"/>
              <w:b/>
              <w:sz w:val="32"/>
              <w:szCs w:val="32"/>
              <w:lang w:val="en-US" w:eastAsia="zh-CN"/>
            </w:rPr>
            <w:t>四、财政拨款收支预算情况说明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_Toc20804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28604F08">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"_Toc17423" </w:instrText>
          </w:r>
          <w:r>
            <w:fldChar w:fldCharType="separate"/>
          </w:r>
          <w:r>
            <w:rPr>
              <w:rFonts w:hint="eastAsia" w:ascii="仿宋_GB2312" w:hAnsi="仿宋_GB2312" w:eastAsia="仿宋_GB2312" w:cs="仿宋_GB2312"/>
              <w:b/>
              <w:sz w:val="32"/>
              <w:szCs w:val="32"/>
              <w:lang w:val="en-US" w:eastAsia="zh-CN"/>
            </w:rPr>
            <w:t>五、一般公共预算当年拨款情况说明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_Toc17423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7</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5FCE797A">
          <w:pPr>
            <w:pStyle w:val="16"/>
            <w:tabs>
              <w:tab w:val="right" w:leader="dot" w:pos="8845"/>
            </w:tabs>
            <w:rPr>
              <w:rFonts w:hint="eastAsia" w:ascii="仿宋_GB2312" w:hAnsi="仿宋_GB2312" w:eastAsia="仿宋_GB2312" w:cs="仿宋_GB2312"/>
              <w:sz w:val="32"/>
              <w:szCs w:val="32"/>
            </w:rPr>
          </w:pPr>
          <w:r>
            <w:fldChar w:fldCharType="begin"/>
          </w:r>
          <w:r>
            <w:instrText xml:space="preserve"> HYPERLINK \l "_Toc20222" </w:instrText>
          </w:r>
          <w:r>
            <w:fldChar w:fldCharType="separate"/>
          </w:r>
          <w:r>
            <w:rPr>
              <w:rFonts w:hint="eastAsia" w:ascii="仿宋_GB2312" w:hAnsi="仿宋_GB2312" w:eastAsia="仿宋_GB2312" w:cs="仿宋_GB2312"/>
              <w:sz w:val="32"/>
              <w:szCs w:val="32"/>
              <w:lang w:val="en-US" w:eastAsia="zh-CN"/>
            </w:rPr>
            <w:t>（一）一般公共预算当年拨款规模变化情况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_Toc20222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A3B70FF">
          <w:pPr>
            <w:pStyle w:val="16"/>
            <w:tabs>
              <w:tab w:val="right" w:leader="dot" w:pos="8845"/>
            </w:tabs>
            <w:rPr>
              <w:rFonts w:hint="eastAsia" w:ascii="仿宋_GB2312" w:hAnsi="仿宋_GB2312" w:eastAsia="仿宋_GB2312" w:cs="仿宋_GB2312"/>
              <w:sz w:val="32"/>
              <w:szCs w:val="32"/>
            </w:rPr>
          </w:pPr>
          <w:r>
            <w:fldChar w:fldCharType="begin"/>
          </w:r>
          <w:r>
            <w:instrText xml:space="preserve"> HYPERLINK \l "_Toc8112" </w:instrText>
          </w:r>
          <w:r>
            <w:fldChar w:fldCharType="separate"/>
          </w:r>
          <w:r>
            <w:rPr>
              <w:rFonts w:hint="eastAsia" w:ascii="仿宋_GB2312" w:hAnsi="仿宋_GB2312" w:eastAsia="仿宋_GB2312" w:cs="仿宋_GB2312"/>
              <w:sz w:val="32"/>
              <w:szCs w:val="32"/>
              <w:lang w:val="en-US" w:eastAsia="zh-CN"/>
            </w:rPr>
            <w:t>（二）一般公共预算当年拨款结构情况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_Toc8112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D826E2D">
          <w:pPr>
            <w:pStyle w:val="16"/>
            <w:tabs>
              <w:tab w:val="right" w:leader="dot" w:pos="8845"/>
            </w:tabs>
            <w:rPr>
              <w:rFonts w:hint="eastAsia" w:ascii="仿宋_GB2312" w:hAnsi="仿宋_GB2312" w:eastAsia="仿宋_GB2312" w:cs="仿宋_GB2312"/>
              <w:sz w:val="32"/>
              <w:szCs w:val="32"/>
            </w:rPr>
          </w:pPr>
          <w:r>
            <w:fldChar w:fldCharType="begin"/>
          </w:r>
          <w:r>
            <w:instrText xml:space="preserve"> HYPERLINK \l "_Toc18122" </w:instrText>
          </w:r>
          <w:r>
            <w:fldChar w:fldCharType="separate"/>
          </w:r>
          <w:r>
            <w:rPr>
              <w:rFonts w:hint="eastAsia" w:ascii="仿宋_GB2312" w:hAnsi="仿宋_GB2312" w:eastAsia="仿宋_GB2312" w:cs="仿宋_GB2312"/>
              <w:sz w:val="32"/>
              <w:szCs w:val="32"/>
              <w:lang w:val="en-US" w:eastAsia="zh-CN"/>
            </w:rPr>
            <w:t>（三）一般公共预算当年拨款具体使用情况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_Toc18122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BF281F7">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"_Toc31961" </w:instrText>
          </w:r>
          <w:r>
            <w:fldChar w:fldCharType="separate"/>
          </w:r>
          <w:r>
            <w:rPr>
              <w:rFonts w:hint="eastAsia" w:ascii="仿宋_GB2312" w:hAnsi="仿宋_GB2312" w:eastAsia="仿宋_GB2312" w:cs="仿宋_GB2312"/>
              <w:b/>
              <w:sz w:val="32"/>
              <w:szCs w:val="32"/>
              <w:lang w:val="en-US" w:eastAsia="zh-CN"/>
            </w:rPr>
            <w:t>六、一般公共预算基本支出情况说明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_Toc31961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7</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57399A69">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"_Toc13254" </w:instrText>
          </w:r>
          <w:r>
            <w:fldChar w:fldCharType="separate"/>
          </w:r>
          <w:r>
            <w:rPr>
              <w:rFonts w:hint="eastAsia" w:ascii="仿宋_GB2312" w:hAnsi="仿宋_GB2312" w:eastAsia="仿宋_GB2312" w:cs="仿宋_GB2312"/>
              <w:b/>
              <w:sz w:val="32"/>
              <w:szCs w:val="32"/>
              <w:lang w:val="en-US" w:eastAsia="zh-CN"/>
            </w:rPr>
            <w:t>七、“三公”经费财政拨款预算安排情况说明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_Toc13254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7</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3A321FCD">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"_Toc31890" </w:instrText>
          </w:r>
          <w:r>
            <w:fldChar w:fldCharType="separate"/>
          </w:r>
          <w:r>
            <w:rPr>
              <w:rFonts w:hint="eastAsia" w:ascii="仿宋_GB2312" w:hAnsi="仿宋_GB2312" w:eastAsia="仿宋_GB2312" w:cs="仿宋_GB2312"/>
              <w:b/>
              <w:sz w:val="32"/>
              <w:szCs w:val="32"/>
              <w:lang w:val="en-US" w:eastAsia="zh-CN"/>
            </w:rPr>
            <w:t>八、政府性基金预算支出情况说明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_Toc31890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8</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1771E1FF">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"_Toc24935" </w:instrText>
          </w:r>
          <w:r>
            <w:fldChar w:fldCharType="separate"/>
          </w:r>
          <w:r>
            <w:rPr>
              <w:rFonts w:hint="eastAsia" w:ascii="仿宋_GB2312" w:hAnsi="仿宋_GB2312" w:eastAsia="仿宋_GB2312" w:cs="仿宋_GB2312"/>
              <w:b/>
              <w:sz w:val="32"/>
              <w:szCs w:val="32"/>
              <w:lang w:val="en-US" w:eastAsia="zh-CN"/>
            </w:rPr>
            <w:t>九、国有资本经营预算支出情况说明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_Toc24935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8</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122AC280">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"_Toc12498" </w:instrText>
          </w:r>
          <w:r>
            <w:fldChar w:fldCharType="separate"/>
          </w:r>
          <w:r>
            <w:rPr>
              <w:rFonts w:hint="eastAsia" w:ascii="仿宋_GB2312" w:hAnsi="仿宋_GB2312" w:eastAsia="仿宋_GB2312" w:cs="仿宋_GB2312"/>
              <w:b/>
              <w:sz w:val="32"/>
              <w:szCs w:val="32"/>
              <w:lang w:val="en-US" w:eastAsia="zh-CN"/>
            </w:rPr>
            <w:t>十、其他重要事项的情况说明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_Toc12498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8</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233391E2">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"_Toc8765" </w:instrText>
          </w:r>
          <w:r>
            <w:fldChar w:fldCharType="separate"/>
          </w:r>
          <w:r>
            <w:rPr>
              <w:rFonts w:hint="eastAsia" w:ascii="仿宋_GB2312" w:hAnsi="仿宋_GB2312" w:eastAsia="仿宋_GB2312" w:cs="仿宋_GB2312"/>
              <w:b/>
              <w:sz w:val="32"/>
              <w:szCs w:val="32"/>
              <w:lang w:val="en-US" w:eastAsia="zh-CN"/>
            </w:rPr>
            <w:t>十一、名词解释</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_Toc8765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9</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1D7645C0">
          <w:pPr>
            <w:rPr>
              <w:b/>
            </w:rPr>
          </w:pPr>
          <w:r>
            <w:rPr>
              <w:rFonts w:hint="eastAsia" w:ascii="仿宋_GB2312" w:hAnsi="仿宋_GB2312" w:eastAsia="仿宋_GB2312" w:cs="仿宋_GB2312"/>
              <w:b/>
              <w:sz w:val="32"/>
              <w:szCs w:val="32"/>
            </w:rPr>
            <w:fldChar w:fldCharType="end"/>
          </w:r>
        </w:p>
      </w:sdtContent>
    </w:sdt>
    <w:p w14:paraId="228C0A32">
      <w:pPr>
        <w:rPr>
          <w:b/>
        </w:rPr>
      </w:pPr>
    </w:p>
    <w:p w14:paraId="414B4AF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outlineLvl w:val="0"/>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28E4187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05A080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0509FC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ED80E0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9B1C4A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19967"/>
    </w:p>
    <w:p w14:paraId="42D767B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3114D4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0A27ADA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589FD94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521D1E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3F1028D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03892B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3BEF745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5CB2884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20953F2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299BF8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4"/>
    </w:p>
    <w:p w14:paraId="484B2F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 w:name="_Toc7742"/>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5"/>
    </w:p>
    <w:p w14:paraId="1B5CDF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15C7FB9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5C1811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7F7370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6DA9BF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482AA5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748CFF5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69D9EB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59A5AD6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4E877E6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09AD578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5AD5AFB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0835A0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6" w:name="_Toc4270"/>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6"/>
    </w:p>
    <w:p w14:paraId="7EC5940E">
      <w:pPr>
        <w:ind w:firstLine="640" w:firstLineChars="200"/>
        <w:rPr>
          <w:rFonts w:ascii="仿宋" w:hAnsi="仿宋" w:eastAsia="仿宋"/>
          <w:bCs/>
          <w:color w:val="auto"/>
          <w:sz w:val="32"/>
          <w:szCs w:val="32"/>
        </w:rPr>
      </w:pPr>
      <w:r>
        <w:rPr>
          <w:rFonts w:hint="eastAsia" w:ascii="仿宋" w:hAnsi="仿宋" w:eastAsia="仿宋"/>
          <w:bCs/>
          <w:color w:val="auto"/>
          <w:sz w:val="32"/>
          <w:szCs w:val="32"/>
          <w:lang w:eastAsia="zh-CN"/>
        </w:rPr>
        <w:t>明觉小学</w:t>
      </w:r>
      <w:r>
        <w:rPr>
          <w:rFonts w:hint="eastAsia" w:ascii="仿宋" w:hAnsi="仿宋" w:eastAsia="仿宋"/>
          <w:bCs/>
          <w:color w:val="auto"/>
          <w:sz w:val="32"/>
          <w:szCs w:val="32"/>
        </w:rPr>
        <w:t>教育教学工作将紧紧</w:t>
      </w:r>
      <w:r>
        <w:rPr>
          <w:rFonts w:hint="eastAsia" w:ascii="仿宋" w:hAnsi="仿宋" w:eastAsia="仿宋"/>
          <w:bCs/>
          <w:color w:val="auto"/>
          <w:sz w:val="32"/>
          <w:szCs w:val="32"/>
          <w:lang w:eastAsia="zh-CN"/>
        </w:rPr>
        <w:t>围绕昭</w:t>
      </w:r>
      <w:r>
        <w:rPr>
          <w:rFonts w:hint="eastAsia" w:ascii="仿宋" w:hAnsi="仿宋" w:eastAsia="仿宋"/>
          <w:bCs/>
          <w:color w:val="auto"/>
          <w:sz w:val="32"/>
          <w:szCs w:val="32"/>
        </w:rPr>
        <w:t>化区教育局及镇党委工作要求，以全面提高教育教学质量，促进学校全面、健康、发展为目标，以进一步推进教学常规，不断更新教育理念，大力提高素质教育水平，使</w:t>
      </w:r>
      <w:r>
        <w:rPr>
          <w:rFonts w:hint="eastAsia" w:ascii="仿宋" w:hAnsi="仿宋" w:eastAsia="仿宋"/>
          <w:bCs/>
          <w:color w:val="auto"/>
          <w:sz w:val="32"/>
          <w:szCs w:val="32"/>
          <w:lang w:eastAsia="zh-CN"/>
        </w:rPr>
        <w:t>明觉小学</w:t>
      </w:r>
      <w:r>
        <w:rPr>
          <w:rFonts w:hint="eastAsia" w:ascii="仿宋" w:hAnsi="仿宋" w:eastAsia="仿宋"/>
          <w:bCs/>
          <w:color w:val="auto"/>
          <w:sz w:val="32"/>
          <w:szCs w:val="32"/>
        </w:rPr>
        <w:t>教育教学工作力争在去年的基础上取得更好的成绩。</w:t>
      </w:r>
    </w:p>
    <w:p w14:paraId="00D9CFF1">
      <w:pPr>
        <w:ind w:firstLine="640" w:firstLineChars="200"/>
        <w:rPr>
          <w:rFonts w:ascii="仿宋" w:hAnsi="仿宋" w:eastAsia="仿宋"/>
          <w:bCs/>
          <w:color w:val="auto"/>
          <w:sz w:val="32"/>
          <w:szCs w:val="32"/>
        </w:rPr>
      </w:pPr>
      <w:r>
        <w:rPr>
          <w:rFonts w:hint="eastAsia" w:ascii="仿宋" w:hAnsi="仿宋" w:eastAsia="仿宋"/>
          <w:bCs/>
          <w:color w:val="auto"/>
          <w:sz w:val="32"/>
          <w:szCs w:val="32"/>
        </w:rPr>
        <w:t>狠抓德育，养成良好行为习惯</w:t>
      </w:r>
      <w:r>
        <w:rPr>
          <w:rFonts w:hint="eastAsia" w:ascii="仿宋" w:hAnsi="仿宋" w:eastAsia="仿宋"/>
          <w:bCs/>
          <w:color w:val="auto"/>
          <w:sz w:val="32"/>
          <w:szCs w:val="32"/>
          <w:lang w:eastAsia="zh-CN"/>
        </w:rPr>
        <w:t>。</w:t>
      </w:r>
      <w:r>
        <w:rPr>
          <w:rFonts w:hint="eastAsia" w:ascii="仿宋" w:hAnsi="仿宋" w:eastAsia="仿宋"/>
          <w:bCs/>
          <w:color w:val="auto"/>
          <w:sz w:val="32"/>
          <w:szCs w:val="32"/>
        </w:rPr>
        <w:t>积极开展</w:t>
      </w:r>
      <w:r>
        <w:commentReference w:id="0"/>
      </w:r>
      <w:r>
        <w:rPr>
          <w:rFonts w:hint="eastAsia" w:ascii="仿宋" w:hAnsi="仿宋" w:eastAsia="仿宋"/>
          <w:bCs/>
          <w:color w:val="auto"/>
          <w:sz w:val="32"/>
          <w:szCs w:val="32"/>
          <w:lang w:eastAsia="zh-CN"/>
        </w:rPr>
        <w:t>各类主题教育活动</w:t>
      </w:r>
      <w:r>
        <w:rPr>
          <w:rFonts w:hint="eastAsia" w:ascii="仿宋" w:hAnsi="仿宋" w:eastAsia="仿宋"/>
          <w:bCs/>
          <w:color w:val="auto"/>
          <w:sz w:val="32"/>
          <w:szCs w:val="32"/>
        </w:rPr>
        <w:t>，以活动为载体，不断推进学校的思想政治工作。强化养成教育，不断提升学生的日常管理水平。</w:t>
      </w:r>
    </w:p>
    <w:p w14:paraId="5FE863CE">
      <w:pPr>
        <w:ind w:firstLine="640" w:firstLineChars="200"/>
        <w:rPr>
          <w:rFonts w:hint="eastAsia" w:ascii="仿宋" w:hAnsi="仿宋" w:eastAsia="仿宋"/>
          <w:bCs/>
          <w:color w:val="auto"/>
          <w:sz w:val="32"/>
          <w:szCs w:val="32"/>
        </w:rPr>
      </w:pPr>
      <w:r>
        <w:rPr>
          <w:rFonts w:hint="eastAsia" w:ascii="Times New Roman" w:hAnsi="Times New Roman" w:eastAsia="仿宋"/>
          <w:bCs/>
          <w:color w:val="auto"/>
          <w:sz w:val="32"/>
          <w:szCs w:val="32"/>
        </w:rPr>
        <w:t> </w:t>
      </w:r>
      <w:r>
        <w:rPr>
          <w:rFonts w:hint="eastAsia" w:ascii="仿宋" w:hAnsi="仿宋" w:eastAsia="仿宋"/>
          <w:bCs/>
          <w:color w:val="auto"/>
          <w:sz w:val="32"/>
          <w:szCs w:val="32"/>
        </w:rPr>
        <w:t>抓实教师队伍建设工作</w:t>
      </w:r>
      <w:r>
        <w:rPr>
          <w:rFonts w:hint="eastAsia" w:ascii="仿宋" w:hAnsi="仿宋" w:eastAsia="仿宋"/>
          <w:bCs/>
          <w:color w:val="auto"/>
          <w:sz w:val="32"/>
          <w:szCs w:val="32"/>
          <w:lang w:eastAsia="zh-CN"/>
        </w:rPr>
        <w:t>。</w:t>
      </w:r>
      <w:r>
        <w:rPr>
          <w:rFonts w:hint="eastAsia" w:ascii="Times New Roman" w:hAnsi="Times New Roman" w:eastAsia="仿宋"/>
          <w:bCs/>
          <w:color w:val="auto"/>
          <w:sz w:val="32"/>
          <w:szCs w:val="32"/>
        </w:rPr>
        <w:t> </w:t>
      </w:r>
      <w:r>
        <w:rPr>
          <w:rFonts w:hint="eastAsia" w:ascii="仿宋" w:hAnsi="仿宋" w:eastAsia="仿宋"/>
          <w:bCs/>
          <w:color w:val="auto"/>
          <w:sz w:val="32"/>
          <w:szCs w:val="32"/>
        </w:rPr>
        <w:t>遵照“抓班子、带队伍、强素质、树形象”的总体要求，积极参加教育部门组织的领导班子管理能力的提升培训项目，抓好领导班子建设，切实提高班子队伍的工作素养，求真务实，真抓实干。狠抓师德师风建设，强化教师职业道德</w:t>
      </w:r>
      <w:r>
        <w:rPr>
          <w:rFonts w:hint="eastAsia" w:ascii="仿宋" w:hAnsi="仿宋" w:eastAsia="仿宋"/>
          <w:bCs/>
          <w:color w:val="auto"/>
          <w:sz w:val="32"/>
          <w:szCs w:val="32"/>
          <w:lang w:eastAsia="zh-CN"/>
        </w:rPr>
        <w:t>建设</w:t>
      </w:r>
      <w:r>
        <w:rPr>
          <w:rFonts w:hint="eastAsia" w:ascii="仿宋" w:hAnsi="仿宋" w:eastAsia="仿宋"/>
          <w:bCs/>
          <w:color w:val="auto"/>
          <w:sz w:val="32"/>
          <w:szCs w:val="32"/>
        </w:rPr>
        <w:t>。</w:t>
      </w:r>
    </w:p>
    <w:p w14:paraId="09C5C625">
      <w:pPr>
        <w:ind w:firstLine="640" w:firstLineChars="200"/>
        <w:outlineLvl w:val="1"/>
        <w:rPr>
          <w:rFonts w:ascii="仿宋" w:hAnsi="仿宋" w:eastAsia="仿宋"/>
          <w:bCs/>
          <w:color w:val="auto"/>
          <w:sz w:val="32"/>
          <w:szCs w:val="32"/>
        </w:rPr>
      </w:pPr>
      <w:bookmarkStart w:id="7" w:name="_Toc26287"/>
      <w:bookmarkStart w:id="8" w:name="_Toc22081"/>
      <w:bookmarkStart w:id="9" w:name="_Toc9673"/>
      <w:r>
        <w:rPr>
          <w:rFonts w:hint="eastAsia" w:ascii="仿宋" w:hAnsi="仿宋" w:eastAsia="仿宋"/>
          <w:bCs/>
          <w:color w:val="auto"/>
          <w:sz w:val="32"/>
          <w:szCs w:val="32"/>
        </w:rPr>
        <w:t>严格执行教学常规，提高教育教学质量</w:t>
      </w:r>
      <w:bookmarkEnd w:id="7"/>
      <w:bookmarkEnd w:id="8"/>
      <w:bookmarkEnd w:id="9"/>
      <w:r>
        <w:rPr>
          <w:rFonts w:hint="eastAsia" w:ascii="仿宋" w:hAnsi="仿宋" w:eastAsia="仿宋"/>
          <w:bCs/>
          <w:color w:val="auto"/>
          <w:sz w:val="32"/>
          <w:szCs w:val="32"/>
          <w:lang w:eastAsia="zh-CN"/>
        </w:rPr>
        <w:t>。</w:t>
      </w:r>
      <w:r>
        <w:rPr>
          <w:rFonts w:hint="eastAsia" w:ascii="仿宋" w:hAnsi="仿宋" w:eastAsia="仿宋"/>
          <w:bCs/>
          <w:color w:val="auto"/>
          <w:sz w:val="32"/>
          <w:szCs w:val="32"/>
        </w:rPr>
        <w:t>继续加强教学研讨，促进教师专业发展，强化教师队伍建设</w:t>
      </w:r>
    </w:p>
    <w:p w14:paraId="563D4CFD">
      <w:pPr>
        <w:ind w:firstLine="640" w:firstLineChars="200"/>
        <w:rPr>
          <w:rFonts w:ascii="仿宋" w:hAnsi="仿宋" w:eastAsia="仿宋"/>
          <w:bCs/>
          <w:color w:val="auto"/>
          <w:sz w:val="32"/>
          <w:szCs w:val="32"/>
        </w:rPr>
      </w:pPr>
      <w:r>
        <w:rPr>
          <w:rFonts w:hint="eastAsia" w:ascii="仿宋" w:hAnsi="仿宋" w:eastAsia="仿宋"/>
          <w:bCs/>
          <w:color w:val="auto"/>
          <w:sz w:val="32"/>
          <w:szCs w:val="32"/>
        </w:rPr>
        <w:t>更新观念，增强服务意识</w:t>
      </w:r>
      <w:r>
        <w:rPr>
          <w:rFonts w:hint="eastAsia" w:ascii="仿宋" w:hAnsi="仿宋" w:eastAsia="仿宋"/>
          <w:bCs/>
          <w:color w:val="auto"/>
          <w:sz w:val="32"/>
          <w:szCs w:val="32"/>
          <w:lang w:eastAsia="zh-CN"/>
        </w:rPr>
        <w:t>。全</w:t>
      </w:r>
      <w:r>
        <w:rPr>
          <w:rFonts w:hint="eastAsia" w:ascii="仿宋" w:hAnsi="仿宋" w:eastAsia="仿宋"/>
          <w:bCs/>
          <w:color w:val="auto"/>
          <w:sz w:val="32"/>
          <w:szCs w:val="32"/>
        </w:rPr>
        <w:t>体后勤人员必须树立师生利益至上的服务意识，从学校整体利益出发，把师生的合理需求作为开展工作的出发点和归宿，做好服务工作。规范管理，改进服务方式方法，明确责任，狠抓落实。加强自身素质及业务能力的培养，更新观念，不断提高自身的素质。根据上级主管部门要求做好后勤人员的改革工作。勤俭节约，加强财</w:t>
      </w:r>
      <w:r>
        <w:rPr>
          <w:rFonts w:hint="eastAsia" w:ascii="仿宋" w:hAnsi="仿宋" w:eastAsia="仿宋"/>
          <w:bCs/>
          <w:color w:val="auto"/>
          <w:sz w:val="32"/>
          <w:szCs w:val="32"/>
          <w:lang w:eastAsia="zh-CN"/>
        </w:rPr>
        <w:t>务</w:t>
      </w:r>
      <w:r>
        <w:rPr>
          <w:rFonts w:hint="eastAsia" w:ascii="仿宋" w:hAnsi="仿宋" w:eastAsia="仿宋"/>
          <w:bCs/>
          <w:color w:val="auto"/>
          <w:sz w:val="32"/>
          <w:szCs w:val="32"/>
        </w:rPr>
        <w:t>管理维护校园环境，加大投入，优化育人环境</w:t>
      </w:r>
      <w:r>
        <w:rPr>
          <w:rFonts w:hint="eastAsia" w:ascii="仿宋" w:hAnsi="仿宋" w:eastAsia="仿宋"/>
          <w:bCs/>
          <w:color w:val="auto"/>
          <w:sz w:val="32"/>
          <w:szCs w:val="32"/>
          <w:lang w:eastAsia="zh-CN"/>
        </w:rPr>
        <w:t>，重</w:t>
      </w:r>
      <w:r>
        <w:rPr>
          <w:rFonts w:hint="eastAsia" w:ascii="仿宋" w:hAnsi="仿宋" w:eastAsia="仿宋"/>
          <w:bCs/>
          <w:color w:val="auto"/>
          <w:sz w:val="32"/>
          <w:szCs w:val="32"/>
        </w:rPr>
        <w:t>视校园安全防范工作，常抓不懈，有备无患</w:t>
      </w:r>
    </w:p>
    <w:p w14:paraId="724B3B5D">
      <w:pPr>
        <w:ind w:firstLine="640" w:firstLineChars="200"/>
        <w:outlineLvl w:val="1"/>
        <w:rPr>
          <w:rFonts w:ascii="仿宋" w:hAnsi="仿宋" w:eastAsia="仿宋"/>
          <w:bCs/>
          <w:color w:val="auto"/>
          <w:sz w:val="32"/>
          <w:szCs w:val="32"/>
        </w:rPr>
      </w:pPr>
      <w:bookmarkStart w:id="10" w:name="_Toc16761"/>
      <w:bookmarkStart w:id="11" w:name="_Toc19976"/>
      <w:bookmarkStart w:id="12" w:name="_Toc19742"/>
      <w:r>
        <w:rPr>
          <w:rFonts w:hint="eastAsia" w:ascii="仿宋" w:hAnsi="仿宋" w:eastAsia="仿宋"/>
          <w:bCs/>
          <w:color w:val="auto"/>
          <w:sz w:val="32"/>
          <w:szCs w:val="32"/>
        </w:rPr>
        <w:t>加强工会建设，保障教职工合法权益</w:t>
      </w:r>
      <w:bookmarkEnd w:id="10"/>
      <w:bookmarkEnd w:id="11"/>
      <w:bookmarkEnd w:id="12"/>
      <w:r>
        <w:rPr>
          <w:rFonts w:hint="eastAsia" w:ascii="仿宋" w:hAnsi="仿宋" w:eastAsia="仿宋"/>
          <w:bCs/>
          <w:color w:val="auto"/>
          <w:sz w:val="32"/>
          <w:szCs w:val="32"/>
          <w:lang w:eastAsia="zh-CN"/>
        </w:rPr>
        <w:t>。</w:t>
      </w:r>
      <w:r>
        <w:rPr>
          <w:rFonts w:hint="eastAsia" w:ascii="仿宋" w:hAnsi="仿宋" w:eastAsia="仿宋"/>
          <w:bCs/>
          <w:color w:val="auto"/>
          <w:sz w:val="32"/>
          <w:szCs w:val="32"/>
        </w:rPr>
        <w:t>加强</w:t>
      </w:r>
      <w:r>
        <w:rPr>
          <w:rFonts w:hint="eastAsia" w:ascii="仿宋" w:hAnsi="仿宋" w:eastAsia="仿宋"/>
          <w:bCs/>
          <w:color w:val="auto"/>
          <w:sz w:val="32"/>
          <w:szCs w:val="32"/>
          <w:lang w:eastAsia="zh-CN"/>
        </w:rPr>
        <w:t>队伍</w:t>
      </w:r>
      <w:r>
        <w:rPr>
          <w:rFonts w:hint="eastAsia" w:ascii="仿宋" w:hAnsi="仿宋" w:eastAsia="仿宋"/>
          <w:bCs/>
          <w:color w:val="auto"/>
          <w:sz w:val="32"/>
          <w:szCs w:val="32"/>
        </w:rPr>
        <w:t>建设发挥职能作用</w:t>
      </w:r>
      <w:r>
        <w:rPr>
          <w:rFonts w:hint="eastAsia" w:ascii="仿宋" w:hAnsi="仿宋" w:eastAsia="仿宋"/>
          <w:bCs/>
          <w:color w:val="auto"/>
          <w:sz w:val="32"/>
          <w:szCs w:val="32"/>
          <w:lang w:eastAsia="zh-CN"/>
        </w:rPr>
        <w:t>。</w:t>
      </w:r>
      <w:r>
        <w:rPr>
          <w:rFonts w:hint="eastAsia" w:ascii="仿宋" w:hAnsi="仿宋" w:eastAsia="仿宋"/>
          <w:bCs/>
          <w:color w:val="auto"/>
          <w:sz w:val="32"/>
          <w:szCs w:val="32"/>
        </w:rPr>
        <w:t>认真学习贯彻新《中华人民共和国工会法》，在党支部的领导下，团结带领广大教师，积极主动地开展各项工作。加强思想作风和工作作风的建设，密切联系群众，为广大教师办实事，为学校党政分忧，充分发挥工会的桥梁和纽带作用。推进工会工作现代化建设，充分利用校园网络资源，尝试建立工会专页，开辟教师之家，推介优秀教师、名师，并鼓励教师建立个人网页。</w:t>
      </w:r>
    </w:p>
    <w:p w14:paraId="6460469C">
      <w:pPr>
        <w:ind w:firstLine="640" w:firstLineChars="200"/>
        <w:rPr>
          <w:rFonts w:hint="eastAsia" w:ascii="楷体_GB2312" w:hAnsi="楷体_GB2312" w:eastAsia="楷体_GB2312" w:cs="楷体_GB2312"/>
          <w:sz w:val="32"/>
          <w:szCs w:val="32"/>
        </w:rPr>
      </w:pPr>
      <w:r>
        <w:rPr>
          <w:rFonts w:hint="eastAsia" w:ascii="Times New Roman" w:hAnsi="Times New Roman" w:eastAsia="仿宋"/>
          <w:bCs/>
          <w:color w:val="auto"/>
          <w:sz w:val="32"/>
          <w:szCs w:val="32"/>
        </w:rPr>
        <w:t> </w:t>
      </w:r>
      <w:r>
        <w:rPr>
          <w:rFonts w:hint="eastAsia" w:ascii="仿宋" w:hAnsi="仿宋" w:eastAsia="仿宋"/>
          <w:bCs/>
          <w:color w:val="auto"/>
          <w:sz w:val="32"/>
          <w:szCs w:val="32"/>
        </w:rPr>
        <w:t>推进学校民主建设</w:t>
      </w:r>
      <w:r>
        <w:rPr>
          <w:rFonts w:hint="eastAsia" w:ascii="仿宋" w:hAnsi="仿宋" w:eastAsia="仿宋"/>
          <w:bCs/>
          <w:color w:val="auto"/>
          <w:sz w:val="32"/>
          <w:szCs w:val="32"/>
          <w:lang w:eastAsia="zh-CN"/>
        </w:rPr>
        <w:t>。</w:t>
      </w:r>
      <w:r>
        <w:rPr>
          <w:rFonts w:hint="eastAsia" w:ascii="仿宋" w:hAnsi="仿宋" w:eastAsia="仿宋"/>
          <w:bCs/>
          <w:color w:val="auto"/>
          <w:sz w:val="32"/>
          <w:szCs w:val="32"/>
        </w:rPr>
        <w:t>落实教代会制度，创新教代会形式，认真履行教代会职权，提高教代会质量。广泛征求广大教师对学校发展、管理等方面的意见和建议，每年召开一次教代会，讨论通过学校与工会工作及学校重大事项的决策、进展等情况。积极配合党政</w:t>
      </w:r>
      <w:r>
        <w:rPr>
          <w:rFonts w:hint="eastAsia" w:ascii="仿宋" w:hAnsi="仿宋" w:eastAsia="仿宋"/>
          <w:bCs/>
          <w:color w:val="auto"/>
          <w:sz w:val="32"/>
          <w:szCs w:val="32"/>
          <w:lang w:eastAsia="zh-CN"/>
        </w:rPr>
        <w:t>部门</w:t>
      </w:r>
      <w:r>
        <w:rPr>
          <w:rFonts w:hint="eastAsia" w:ascii="仿宋" w:hAnsi="仿宋" w:eastAsia="仿宋"/>
          <w:bCs/>
          <w:color w:val="auto"/>
          <w:sz w:val="32"/>
          <w:szCs w:val="32"/>
        </w:rPr>
        <w:t>，继续做好校务公开工作，进一步健全制度，规范运作，加强监督，提高质量，保证校务公开的真实性、有效性。加强学习。进一步增强广大教职工参政议政的意识，积极主动参与学校的民主管理，把学校的民主建设真正落到实处，充分发挥广大教职工在学校建设与管理中的主观能动性，集思广益，把学校办好。认真履行工会的基本职责，维护教职工的合法权益，做好协调工作。</w:t>
      </w:r>
    </w:p>
    <w:p w14:paraId="3247F3B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3" w:name="_Toc25579"/>
      <w:r>
        <w:rPr>
          <w:rFonts w:hint="eastAsia" w:ascii="黑体" w:hAnsi="黑体" w:eastAsia="黑体" w:cs="黑体"/>
          <w:sz w:val="32"/>
          <w:szCs w:val="32"/>
          <w:lang w:val="en-US" w:eastAsia="zh-CN"/>
        </w:rPr>
        <w:t>二、部门预算单位构成</w:t>
      </w:r>
      <w:bookmarkEnd w:id="13"/>
    </w:p>
    <w:p w14:paraId="59E68D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我单位为广元市昭化区教育局的下属一级预算单位，属于公益一类事业单位，无下属机构。</w:t>
      </w:r>
    </w:p>
    <w:p w14:paraId="3FB2CD6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2477"/>
      <w:r>
        <w:rPr>
          <w:rFonts w:hint="eastAsia" w:ascii="黑体" w:hAnsi="黑体" w:eastAsia="黑体" w:cs="黑体"/>
          <w:sz w:val="32"/>
          <w:szCs w:val="32"/>
          <w:lang w:val="en-US" w:eastAsia="zh-CN"/>
        </w:rPr>
        <w:t>三、收支预算情况说明</w:t>
      </w:r>
      <w:bookmarkEnd w:id="14"/>
    </w:p>
    <w:p w14:paraId="6C3E71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明觉小学所有收入和支出均纳入部门预算管理。收入包括：一般公共预算拨款收入593.83万元；支出包括：教育支出593.83万元。明觉小学2025年收支预算总数593.83万元，比2024年收支预算总数增加41.29万元，主要原因是基本支出预算增加。</w:t>
      </w:r>
    </w:p>
    <w:p w14:paraId="5F39DF3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969"/>
      <w:r>
        <w:rPr>
          <w:rFonts w:hint="eastAsia" w:ascii="楷体_GB2312" w:hAnsi="楷体_GB2312" w:eastAsia="楷体_GB2312" w:cs="楷体_GB2312"/>
          <w:sz w:val="32"/>
          <w:szCs w:val="32"/>
          <w:lang w:val="en-US" w:eastAsia="zh-CN"/>
        </w:rPr>
        <w:t>（一）收入预算情况</w:t>
      </w:r>
      <w:bookmarkEnd w:id="15"/>
    </w:p>
    <w:p w14:paraId="2CAE24F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明觉小学2025年收入预算593.83万元，其中：一般公共预算拨款收入593.83万元，占100%。</w:t>
      </w:r>
    </w:p>
    <w:p w14:paraId="2CB1AFC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22155"/>
      <w:r>
        <w:rPr>
          <w:rFonts w:hint="eastAsia" w:ascii="楷体_GB2312" w:hAnsi="楷体_GB2312" w:eastAsia="楷体_GB2312" w:cs="楷体_GB2312"/>
          <w:sz w:val="32"/>
          <w:szCs w:val="32"/>
          <w:lang w:val="en-US" w:eastAsia="zh-CN"/>
        </w:rPr>
        <w:t>（二）支出预算情况</w:t>
      </w:r>
      <w:bookmarkEnd w:id="16"/>
    </w:p>
    <w:p w14:paraId="2413FC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明觉小学2025年支出预算593.83万元，其中：基本支出559.13万元，占94.16%；项目支出34.7万元，占5.84%</w:t>
      </w:r>
      <w:r>
        <w:rPr>
          <w:rFonts w:hint="eastAsia" w:ascii="仿宋_GB2312" w:hAnsi="仿宋_GB2312" w:eastAsia="仿宋_GB2312" w:cs="仿宋_GB2312"/>
          <w:b w:val="0"/>
          <w:bCs w:val="0"/>
          <w:sz w:val="32"/>
          <w:szCs w:val="32"/>
          <w:lang w:val="en-US" w:eastAsia="zh-CN"/>
        </w:rPr>
        <w:t>。</w:t>
      </w:r>
    </w:p>
    <w:p w14:paraId="6540EA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7" w:name="_Toc20804"/>
      <w:r>
        <w:rPr>
          <w:rFonts w:hint="eastAsia" w:ascii="黑体" w:hAnsi="黑体" w:eastAsia="黑体" w:cs="黑体"/>
          <w:sz w:val="32"/>
          <w:szCs w:val="32"/>
          <w:lang w:val="en-US" w:eastAsia="zh-CN"/>
        </w:rPr>
        <w:t>四、财政拨款收支预算情况说明</w:t>
      </w:r>
      <w:bookmarkEnd w:id="17"/>
    </w:p>
    <w:p w14:paraId="3F54A25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明觉小学2025年财政拨款收支预算总数593.83万元，比2024年财政拨款收支预算总数增加41.29万元，主要原因是基本支出预算增加。</w:t>
      </w:r>
    </w:p>
    <w:p w14:paraId="7D4100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收入包括：本年一般公共预算拨款收入593.83万元；支出包括：教育支出593.83万元。</w:t>
      </w:r>
    </w:p>
    <w:p w14:paraId="0FDE94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7423"/>
      <w:r>
        <w:rPr>
          <w:rFonts w:hint="eastAsia" w:ascii="黑体" w:hAnsi="黑体" w:eastAsia="黑体" w:cs="黑体"/>
          <w:sz w:val="32"/>
          <w:szCs w:val="32"/>
          <w:lang w:val="en-US" w:eastAsia="zh-CN"/>
        </w:rPr>
        <w:t>五、一般公共预算当年拨款情况说明</w:t>
      </w:r>
      <w:bookmarkEnd w:id="18"/>
    </w:p>
    <w:p w14:paraId="0C62F9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20222"/>
      <w:r>
        <w:rPr>
          <w:rFonts w:hint="eastAsia" w:ascii="楷体_GB2312" w:hAnsi="楷体_GB2312" w:eastAsia="楷体_GB2312" w:cs="楷体_GB2312"/>
          <w:sz w:val="32"/>
          <w:szCs w:val="32"/>
          <w:lang w:val="en-US" w:eastAsia="zh-CN"/>
        </w:rPr>
        <w:t>（一）一般公共预算当年拨款规模变化情况</w:t>
      </w:r>
      <w:bookmarkEnd w:id="19"/>
    </w:p>
    <w:p w14:paraId="1A1916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明觉小学2025年一般公共预算当年拨款593.83万元，比2024年预算数增加41.29万元，主要原因是基本支出预算增加。</w:t>
      </w:r>
    </w:p>
    <w:p w14:paraId="5CF3AA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8112"/>
      <w:r>
        <w:rPr>
          <w:rFonts w:hint="eastAsia" w:ascii="楷体_GB2312" w:hAnsi="楷体_GB2312" w:eastAsia="楷体_GB2312" w:cs="楷体_GB2312"/>
          <w:sz w:val="32"/>
          <w:szCs w:val="32"/>
          <w:lang w:val="en-US" w:eastAsia="zh-CN"/>
        </w:rPr>
        <w:t>（二）一般公共预算当年拨款结构情况</w:t>
      </w:r>
      <w:bookmarkEnd w:id="20"/>
    </w:p>
    <w:p w14:paraId="450A083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教育支出593.83万元，占100%。</w:t>
      </w:r>
    </w:p>
    <w:p w14:paraId="64C484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8122"/>
      <w:r>
        <w:rPr>
          <w:rFonts w:hint="eastAsia" w:ascii="楷体_GB2312" w:hAnsi="楷体_GB2312" w:eastAsia="楷体_GB2312" w:cs="楷体_GB2312"/>
          <w:sz w:val="32"/>
          <w:szCs w:val="32"/>
          <w:lang w:val="en-US" w:eastAsia="zh-CN"/>
        </w:rPr>
        <w:t>（三）一般公共预算当年拨款具体使用情况</w:t>
      </w:r>
      <w:bookmarkEnd w:id="21"/>
    </w:p>
    <w:p w14:paraId="6BE14B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教育支出（类）普通教育（款）小学教育（项）2025年预算数为</w:t>
      </w:r>
      <w:r>
        <w:rPr>
          <w:rFonts w:hint="eastAsia" w:ascii="仿宋_GB2312" w:hAnsi="仿宋_GB2312" w:eastAsia="仿宋_GB2312" w:cs="仿宋_GB2312"/>
          <w:sz w:val="32"/>
          <w:szCs w:val="32"/>
          <w:lang w:val="en-US" w:eastAsia="zh-CN"/>
        </w:rPr>
        <w:t>593.83</w:t>
      </w:r>
      <w:r>
        <w:rPr>
          <w:rFonts w:hint="default" w:ascii="仿宋_GB2312" w:hAnsi="仿宋_GB2312" w:eastAsia="仿宋_GB2312" w:cs="仿宋_GB2312"/>
          <w:sz w:val="32"/>
          <w:szCs w:val="32"/>
          <w:lang w:val="en-US" w:eastAsia="zh-CN"/>
        </w:rPr>
        <w:t>万元，主要用于：小学教育机构的基本支出，包括基本工资、津贴补贴、基础绩效奖等人员经费以及机构运行所需的办公费、印刷费、维修（护）费、工会经费等运行补助经费。</w:t>
      </w:r>
    </w:p>
    <w:p w14:paraId="5D66F1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2" w:name="_Toc31961"/>
      <w:r>
        <w:rPr>
          <w:rFonts w:hint="eastAsia" w:ascii="黑体" w:hAnsi="黑体" w:eastAsia="黑体" w:cs="黑体"/>
          <w:sz w:val="32"/>
          <w:szCs w:val="32"/>
          <w:lang w:val="en-US" w:eastAsia="zh-CN"/>
        </w:rPr>
        <w:t>六、一般公共预算基本支出情况说明</w:t>
      </w:r>
      <w:bookmarkEnd w:id="22"/>
    </w:p>
    <w:p w14:paraId="3F95C4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明觉小学2025年一般公共预算基本支出559.13万元，其中：</w:t>
      </w:r>
    </w:p>
    <w:p w14:paraId="781E6029">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人员经费559.13万元，主要包括：基本工资、津贴补贴、奖金、绩效工资、社会保险缴费、住房公积金、生活补助、奖励金等支出。</w:t>
      </w:r>
    </w:p>
    <w:p w14:paraId="73D9498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11EC9D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3" w:name="_Toc13254"/>
      <w:r>
        <w:rPr>
          <w:rFonts w:hint="eastAsia" w:ascii="黑体" w:hAnsi="黑体" w:eastAsia="黑体" w:cs="黑体"/>
          <w:sz w:val="32"/>
          <w:szCs w:val="32"/>
          <w:lang w:val="en-US" w:eastAsia="zh-CN"/>
        </w:rPr>
        <w:t>七、“三公”经费财政拨款预算安排情况说明</w:t>
      </w:r>
      <w:bookmarkEnd w:id="23"/>
    </w:p>
    <w:p w14:paraId="66AC858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明觉小学2025年“三公”经费财政拨款预算数0万元，其中：公务接待费0万元，公务用车购置及运行维护费0万元，因公出国（境）经费0万元。</w:t>
      </w:r>
    </w:p>
    <w:p w14:paraId="0B6ED53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12834"/>
      <w:r>
        <w:rPr>
          <w:rFonts w:hint="eastAsia" w:ascii="楷体_GB2312" w:hAnsi="楷体_GB2312" w:eastAsia="楷体_GB2312" w:cs="楷体_GB2312"/>
          <w:sz w:val="32"/>
          <w:szCs w:val="32"/>
          <w:lang w:val="en-US" w:eastAsia="zh-CN"/>
        </w:rPr>
        <w:t>（一）公务接待费</w:t>
      </w:r>
      <w:bookmarkEnd w:id="24"/>
    </w:p>
    <w:p w14:paraId="08ED5F7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4FA575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74E55710">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590"/>
      <w:r>
        <w:rPr>
          <w:rFonts w:hint="eastAsia" w:ascii="楷体_GB2312" w:hAnsi="楷体_GB2312" w:eastAsia="楷体_GB2312" w:cs="楷体_GB2312"/>
          <w:sz w:val="32"/>
          <w:szCs w:val="32"/>
          <w:lang w:val="en-US" w:eastAsia="zh-CN"/>
        </w:rPr>
        <w:t>公务用车购置及运行维护费</w:t>
      </w:r>
      <w:bookmarkEnd w:id="25"/>
    </w:p>
    <w:p w14:paraId="1DAFA289">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6842DD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1A0E4C8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2EEC70C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4FB4D223">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6" w:name="_Toc20988"/>
      <w:r>
        <w:rPr>
          <w:rFonts w:hint="eastAsia" w:ascii="仿宋_GB2312" w:hAnsi="仿宋_GB2312" w:eastAsia="仿宋_GB2312" w:cs="仿宋_GB2312"/>
          <w:sz w:val="32"/>
          <w:szCs w:val="32"/>
          <w:lang w:val="en-US" w:eastAsia="zh-CN"/>
        </w:rPr>
        <w:t>（三）</w:t>
      </w:r>
      <w:r>
        <w:rPr>
          <w:rFonts w:hint="eastAsia" w:ascii="楷体_GB2312" w:hAnsi="楷体_GB2312" w:eastAsia="楷体_GB2312" w:cs="楷体_GB2312"/>
          <w:sz w:val="32"/>
          <w:szCs w:val="32"/>
          <w:lang w:val="en-US" w:eastAsia="zh-CN"/>
        </w:rPr>
        <w:t>因公出国（境）经费</w:t>
      </w:r>
      <w:bookmarkEnd w:id="26"/>
    </w:p>
    <w:p w14:paraId="4AD4D32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21D272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7" w:name="_Toc31890"/>
      <w:r>
        <w:rPr>
          <w:rFonts w:hint="eastAsia" w:ascii="黑体" w:hAnsi="黑体" w:eastAsia="黑体" w:cs="黑体"/>
          <w:sz w:val="32"/>
          <w:szCs w:val="32"/>
          <w:lang w:val="en-US" w:eastAsia="zh-CN"/>
        </w:rPr>
        <w:t>八、政府性基金预算支出情况说明</w:t>
      </w:r>
      <w:bookmarkEnd w:id="27"/>
    </w:p>
    <w:p w14:paraId="575008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明觉小学2025年无政府性基金预算拨款安排的支出。</w:t>
      </w:r>
    </w:p>
    <w:p w14:paraId="45535F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8" w:name="_Toc24935"/>
      <w:r>
        <w:rPr>
          <w:rFonts w:hint="eastAsia" w:ascii="黑体" w:hAnsi="黑体" w:eastAsia="黑体" w:cs="黑体"/>
          <w:sz w:val="32"/>
          <w:szCs w:val="32"/>
          <w:lang w:val="en-US" w:eastAsia="zh-CN"/>
        </w:rPr>
        <w:t>九、国有资本经营预算支出情况说明</w:t>
      </w:r>
      <w:bookmarkEnd w:id="28"/>
    </w:p>
    <w:p w14:paraId="2F287C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明觉小学2025年无国有资本经营预算拨款安排的支出。</w:t>
      </w:r>
    </w:p>
    <w:p w14:paraId="22FED63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9" w:name="_Toc12498"/>
      <w:r>
        <w:rPr>
          <w:rFonts w:hint="eastAsia" w:ascii="黑体" w:hAnsi="黑体" w:eastAsia="黑体" w:cs="黑体"/>
          <w:sz w:val="32"/>
          <w:szCs w:val="32"/>
          <w:lang w:val="en-US" w:eastAsia="zh-CN"/>
        </w:rPr>
        <w:t>十、其他重要事项的情况说明</w:t>
      </w:r>
      <w:bookmarkEnd w:id="29"/>
    </w:p>
    <w:p w14:paraId="1401D6E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1473"/>
      <w:r>
        <w:rPr>
          <w:rFonts w:hint="eastAsia" w:ascii="楷体_GB2312" w:hAnsi="楷体_GB2312" w:eastAsia="楷体_GB2312" w:cs="楷体_GB2312"/>
          <w:sz w:val="32"/>
          <w:szCs w:val="32"/>
          <w:lang w:val="en-US" w:eastAsia="zh-CN"/>
        </w:rPr>
        <w:t>（一）机关运行经费</w:t>
      </w:r>
      <w:bookmarkEnd w:id="30"/>
    </w:p>
    <w:p w14:paraId="3FAC16CB">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r>
        <w:rPr>
          <w:rFonts w:hint="eastAsia" w:ascii="楷体_GB2312" w:hAnsi="楷体_GB2312" w:eastAsia="楷体_GB2312" w:cs="楷体_GB2312"/>
          <w:sz w:val="32"/>
          <w:szCs w:val="32"/>
          <w:lang w:val="en-US" w:eastAsia="zh-CN"/>
        </w:rPr>
        <w:t>（二）政府采购情况</w:t>
      </w:r>
    </w:p>
    <w:p w14:paraId="703FAE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2025年，明觉小学安排政府采购预算0万元。</w:t>
      </w:r>
    </w:p>
    <w:p w14:paraId="2456574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1" w:name="_Toc18066"/>
      <w:r>
        <w:rPr>
          <w:rFonts w:hint="eastAsia" w:ascii="楷体_GB2312" w:hAnsi="楷体_GB2312" w:eastAsia="楷体_GB2312" w:cs="楷体_GB2312"/>
          <w:sz w:val="32"/>
          <w:szCs w:val="32"/>
          <w:lang w:val="en-US" w:eastAsia="zh-CN"/>
        </w:rPr>
        <w:t>（三）国有资产占有使用情况</w:t>
      </w:r>
      <w:bookmarkEnd w:id="31"/>
    </w:p>
    <w:p w14:paraId="178239E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截至2024年底，明觉小学共有车辆0辆，单位无价值200万元以上的大型设备。</w:t>
      </w:r>
    </w:p>
    <w:p w14:paraId="2694E4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71CC5FB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2" w:name="_Toc27061"/>
      <w:r>
        <w:rPr>
          <w:rFonts w:hint="eastAsia" w:ascii="楷体_GB2312" w:hAnsi="楷体_GB2312" w:eastAsia="楷体_GB2312" w:cs="楷体_GB2312"/>
          <w:sz w:val="32"/>
          <w:szCs w:val="32"/>
          <w:lang w:val="en-US" w:eastAsia="zh-CN"/>
        </w:rPr>
        <w:t>（四）绩效目标设置情况</w:t>
      </w:r>
      <w:bookmarkEnd w:id="32"/>
    </w:p>
    <w:p w14:paraId="55EC38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明觉小学开展绩效目标管理的项目13个，涉及预算593.83万元。其中：人员类项目10个，涉及预算559.13万元；运转类项目3个，涉及预算34.7万元；特定目标类项目0个，涉及预算0万元。因部分项目内容涉密，不予公开。</w:t>
      </w:r>
    </w:p>
    <w:p w14:paraId="5D17F8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3" w:name="_Toc8765"/>
      <w:r>
        <w:rPr>
          <w:rFonts w:hint="eastAsia" w:ascii="黑体" w:hAnsi="黑体" w:eastAsia="黑体" w:cs="黑体"/>
          <w:sz w:val="32"/>
          <w:szCs w:val="32"/>
          <w:lang w:val="en-US" w:eastAsia="zh-CN"/>
        </w:rPr>
        <w:t>十一、名词解释</w:t>
      </w:r>
      <w:bookmarkEnd w:id="33"/>
    </w:p>
    <w:p w14:paraId="22142C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w:t>
      </w:r>
      <w:bookmarkStart w:id="35" w:name="_GoBack"/>
      <w:bookmarkEnd w:id="35"/>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14:paraId="5F3003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5ED286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5BBEAF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（五）教育支出（类）普通教育（款）小学教育（项）：</w:t>
      </w:r>
      <w:r>
        <w:rPr>
          <w:rFonts w:hint="eastAsia" w:ascii="仿宋_GB2312" w:hAnsi="仿宋_GB2312" w:eastAsia="仿宋_GB2312" w:cs="仿宋_GB2312"/>
          <w:sz w:val="32"/>
          <w:szCs w:val="32"/>
          <w:lang w:val="en-US" w:eastAsia="zh-CN"/>
        </w:rPr>
        <w:t>指小学教育发展的基本支出，包括基本工资、津贴补贴等人员经费以及办公费、印刷费、水电费等日常公用经费。　　</w:t>
      </w:r>
    </w:p>
    <w:p w14:paraId="2E541F2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指部门实施养老保险制度由单位缴纳的养老保险费的支出。</w:t>
      </w:r>
    </w:p>
    <w:p w14:paraId="6E46743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51353C5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430A732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782FA7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487CE1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46506F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B58519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27401C8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1871BE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1273D938">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34" w:name="_Toc23232"/>
      <w:r>
        <w:rPr>
          <w:rFonts w:hint="eastAsia" w:ascii="仿宋_GB2312" w:hAnsi="仿宋_GB2312" w:eastAsia="仿宋_GB2312" w:cs="仿宋_GB2312"/>
          <w:sz w:val="32"/>
          <w:szCs w:val="32"/>
          <w:lang w:val="en-US" w:eastAsia="zh-CN"/>
        </w:rPr>
        <w:t>单位预算项目绩效目标表</w:t>
      </w:r>
      <w:bookmarkEnd w:id="34"/>
    </w:p>
    <w:p w14:paraId="401549C0">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7:58:02Z" w:initials="UC">
    <w:p w14:paraId="00989682">
      <w:r>
        <w:rPr>
          <w:color w:val="FF0000"/>
        </w:rPr>
        <w:t>错敏词:</w:t>
      </w:r>
      <w:r>
        <w:t>主题教育活动</w:t>
      </w:r>
    </w:p>
    <w:p w14:paraId="00989683">
      <w:r>
        <w:rPr>
          <w:color w:val="FF0000"/>
        </w:rPr>
        <w:t>推荐修改:</w:t>
      </w:r>
      <w:r>
        <w:t>主题教育</w:t>
      </w:r>
    </w:p>
    <w:p w14:paraId="00989684">
      <w:r>
        <w:rPr>
          <w:color w:val="FF0000"/>
        </w:rPr>
        <w:t>问题类型:</w:t>
      </w:r>
      <w:r>
        <w:t>专用表述错误</w:t>
      </w:r>
    </w:p>
    <w:p w14:paraId="00989685">
      <w:r>
        <w:rPr>
          <w:color w:val="FF0000"/>
        </w:rPr>
        <w:t>严重程度:</w:t>
      </w:r>
      <w:r>
        <w:t>严重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FF5F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0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7612C72">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XW5UtAAAAAFAQAADwAAAAAAAAABACAAAAAiAAAAZHJzL2Rvd25yZXYueG1sUEsB&#10;AhQAFAAAAAgAh07iQAHIO4H9AQAAAAQAAA4AAAAAAAAAAQAgAAAAHwEAAGRycy9lMm9Eb2MueG1s&#10;UEsFBgAAAAAGAAYAWQEAAI4FAAAAAA==&#10;">
              <v:fill on="f" focussize="0,0"/>
              <v:stroke on="f"/>
              <v:imagedata o:title=""/>
              <o:lock v:ext="edit" aspectratio="f"/>
              <v:textbox inset="0mm,0mm,0mm,0mm" style="mso-fit-shape-to-text:t;">
                <w:txbxContent>
                  <w:p w14:paraId="37612C72">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13CF75"/>
    <w:multiLevelType w:val="singleLevel"/>
    <w:tmpl w:val="0413CF75"/>
    <w:lvl w:ilvl="0" w:tentative="0">
      <w:start w:val="2"/>
      <w:numFmt w:val="decimal"/>
      <w:lvlText w:val="%1."/>
      <w:lvlJc w:val="left"/>
      <w:pPr>
        <w:tabs>
          <w:tab w:val="left" w:pos="312"/>
        </w:tabs>
        <w:ind w:left="1600" w:leftChars="0" w:firstLine="0" w:firstLineChars="0"/>
      </w:pPr>
    </w:lvl>
  </w:abstractNum>
  <w:abstractNum w:abstractNumId="1">
    <w:nsid w:val="1E494748"/>
    <w:multiLevelType w:val="singleLevel"/>
    <w:tmpl w:val="1E494748"/>
    <w:lvl w:ilvl="0" w:tentative="0">
      <w:start w:val="2"/>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xYWNmOTVlNTUwMjFhZGJjZTBiYTkzNWM3ZWY5NjMifQ=="/>
  </w:docVars>
  <w:rsids>
    <w:rsidRoot w:val="00000000"/>
    <w:rsid w:val="3D4400D0"/>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1">
    <w:name w:val="Default Paragraph Font"/>
    <w:autoRedefine/>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autoRedefine/>
    <w:qFormat/>
    <w:uiPriority w:val="0"/>
  </w:style>
  <w:style w:type="paragraph" w:styleId="8">
    <w:name w:val="Normal (Web)"/>
    <w:basedOn w:val="1"/>
    <w:autoRedefine/>
    <w:qFormat/>
    <w:uiPriority w:val="0"/>
    <w:rPr>
      <w:sz w:val="24"/>
    </w:rPr>
  </w:style>
  <w:style w:type="table" w:styleId="1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2">
    <w:name w:val="默认段落字体1"/>
    <w:autoRedefine/>
    <w:qFormat/>
    <w:uiPriority w:val="0"/>
  </w:style>
  <w:style w:type="paragraph" w:customStyle="1" w:styleId="13">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autoRedefine/>
    <w:qFormat/>
    <w:uiPriority w:val="0"/>
    <w:pPr>
      <w:widowControl w:val="0"/>
      <w:suppressLineNumbers/>
      <w:suppressAutoHyphens/>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3887</Words>
  <Characters>4106</Characters>
  <TotalTime>1</TotalTime>
  <ScaleCrop>false</ScaleCrop>
  <LinksUpToDate>false</LinksUpToDate>
  <CharactersWithSpaces>4178</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2025-02-15T05:43:18Z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