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7681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11749"/>
      <w:bookmarkStart w:id="1" w:name="_Toc28713"/>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广元市昭化区昭化镇朝阳小学</w:t>
      </w:r>
      <w:bookmarkEnd w:id="0"/>
      <w:bookmarkEnd w:id="1"/>
    </w:p>
    <w:p w14:paraId="22EB3EC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5B0A7726">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5175"/>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SA"/>
          <w14:textFill>
            <w14:solidFill>
              <w14:schemeClr w14:val="tx1"/>
            </w14:solidFill>
          </w14:textFill>
        </w:rPr>
      </w:sdtEndPr>
      <w:sdtContent>
        <w:p w14:paraId="75330D68">
          <w:pPr>
            <w:spacing w:before="0" w:beforeLines="0" w:after="0" w:afterLines="0" w:line="240" w:lineRule="auto"/>
            <w:ind w:left="0" w:leftChars="0" w:right="0" w:rightChars="0" w:firstLine="0" w:firstLineChars="0"/>
            <w:jc w:val="center"/>
          </w:pPr>
        </w:p>
        <w:p w14:paraId="2CBDE12F">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TOC \o "1-2" \h \u</w:instrText>
          </w:r>
          <w:r>
            <w:rPr>
              <w:rFonts w:hint="eastAsia" w:ascii="仿宋_GB2312" w:hAnsi="仿宋_GB2312" w:eastAsia="仿宋_GB2312" w:cs="仿宋_GB2312"/>
              <w:color w:val="auto"/>
              <w:kern w:val="2"/>
              <w:sz w:val="32"/>
              <w:szCs w:val="32"/>
              <w:lang w:val="en-US" w:eastAsia="zh-CN" w:bidi="ar-SA"/>
            </w:rPr>
            <w:fldChar w:fldCharType="separate"/>
          </w:r>
          <w:r>
            <w:fldChar w:fldCharType="begin"/>
          </w:r>
          <w:r>
            <w:instrText xml:space="preserve"> HYPERLINK \l "_Toc10810"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_Toc10810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6994676">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"_Toc9998"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_Toc9998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6F77542">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"_Toc32363"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_Toc32363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CEC6841">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"_Toc25076"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_Toc25076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8CE0F4B">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"_Toc16621"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_Toc16621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2A3754E">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"_Toc29686"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_Toc29686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1043ABE">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"_Toc25835"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_Toc25835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0ED5935">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"_Toc17937" </w:instrText>
          </w:r>
          <w: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_Toc17937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96C3DCD">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"_Toc20484"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_Toc20484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2AD01F3">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"_Toc3498"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_Toc3498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8305E3F">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"_Toc22311"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_Toc22311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2B10A78">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"_Toc29844"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_Toc29844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7B349AC">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"_Toc27408"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_Toc27408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5A9162D">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"_Toc9732"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_Toc9732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A23A36E">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"_Toc26969"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_Toc26969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715E114">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"_Toc15211"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_Toc15211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7DD8885">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"_Toc13391"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_Toc13391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589B589">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"_Toc13591"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_Toc13591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98A2717">
          <w:pPr>
            <w:pStyle w:val="15"/>
            <w:tabs>
              <w:tab w:val="right" w:leader="dot" w:pos="8845"/>
            </w:tabs>
            <w:rPr>
              <w:rFonts w:hint="eastAsia" w:ascii="仿宋_GB2312" w:hAnsi="仿宋_GB2312" w:eastAsia="仿宋_GB2312" w:cs="仿宋_GB2312"/>
              <w:color w:val="auto"/>
              <w:kern w:val="2"/>
              <w:sz w:val="32"/>
              <w:szCs w:val="32"/>
              <w:lang w:val="en-US" w:eastAsia="zh-CN" w:bidi="ar-SA"/>
            </w:rPr>
          </w:pPr>
        </w:p>
        <w:p w14:paraId="078C73F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color w:val="auto"/>
              <w:kern w:val="2"/>
              <w:sz w:val="32"/>
              <w:szCs w:val="32"/>
              <w:lang w:val="en-US" w:eastAsia="zh-CN" w:bidi="ar-SA"/>
            </w:rPr>
            <w:fldChar w:fldCharType="end"/>
          </w:r>
        </w:p>
      </w:sdtContent>
    </w:sdt>
    <w:p w14:paraId="75DBAFB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604035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center"/>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B71D42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CD3C83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355B19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FCEA1E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9C179A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A30A09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60BAE4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F7D5E9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55A109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666DE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14:paraId="4229DB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14:paraId="3147E4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14:paraId="50DA7B9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10810"/>
      <w:r>
        <w:rPr>
          <w:rFonts w:hint="eastAsia" w:ascii="黑体" w:hAnsi="黑体" w:eastAsia="黑体" w:cs="黑体"/>
          <w:sz w:val="32"/>
          <w:szCs w:val="32"/>
          <w:lang w:val="en-US" w:eastAsia="zh-CN"/>
        </w:rPr>
        <w:t>一、基本职能及主要工作</w:t>
      </w:r>
      <w:bookmarkEnd w:id="2"/>
    </w:p>
    <w:p w14:paraId="30CBDB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9998"/>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3"/>
    </w:p>
    <w:p w14:paraId="6EA669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7503A79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00B185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596FB84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54B4A8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40647B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61E9809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7DA91F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5AB47D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0EAAF8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798910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321AA7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2DAF73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32363"/>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4"/>
    </w:p>
    <w:p w14:paraId="581632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党建引领立德树人</w:t>
      </w:r>
    </w:p>
    <w:p w14:paraId="0FC140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夯实健全</w:t>
      </w:r>
      <w:r>
        <w:rPr>
          <w:rFonts w:hint="eastAsia" w:ascii="仿宋" w:hAnsi="仿宋" w:eastAsia="仿宋" w:cs="仿宋"/>
          <w:sz w:val="32"/>
          <w:szCs w:val="32"/>
        </w:rPr>
        <w:t>组织建设。强化党组织的政治功能和组织力，全面深化校长负责制，开展党务工作者能力提升行动。扎实推进党支部标准化规范化建设，打造一批示范点。加强党员队伍管理，规范党内政治生活。</w:t>
      </w:r>
    </w:p>
    <w:p w14:paraId="1DA3B0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加强思想建设。开展党史学习教育，深入学习贯彻习近平新时代中国特色社会主义思想，进一步升华思想、强化担当精神。加强思政教育，做实政治引领、课程研发、保障落实三位一体思政育人模式。加强意识形态阵地建设管理，定期分析研判本行业领域风险。加强网络舆情研判处置，规范使用网络、微博、微信等新媒体。</w:t>
      </w:r>
    </w:p>
    <w:p w14:paraId="390824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深化“四责协同”，夯实全面从严治党责任。深入推进“4321”精准监督模式，制定“三张清单”，规范建立“三本台账”，推进重点权力风险联防联控。纠治“四风”，力戒形式主义、官僚主义，切实减轻基层负担。常态化开展警示教育，针对性开展专项整治行动，不断巩固学校风清气正的良好政治生态。</w:t>
      </w:r>
    </w:p>
    <w:p w14:paraId="37B36A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2.五育并举</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培养新时代接班人</w:t>
      </w:r>
    </w:p>
    <w:p w14:paraId="28DAD2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深化德育工作。开展党史、新中国史、改革开放史、社会主义发展史“四史”教育活动，传承红色基因、厚植爱国情怀。加强德育与学科课程的衔接，提升学科教学德育实效。加强班主任和德育队伍建设，提炼推广优秀班主任工作经验。推动校外活动场所建设。办好家长学校，形成家庭、社会和学校齐抓共管工作格局。抓实“心育”，巩固“替代服务”成果，关爱留守儿童。</w:t>
      </w:r>
    </w:p>
    <w:p w14:paraId="3BF6A5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 w:hAnsi="仿宋" w:eastAsia="仿宋" w:cs="仿宋"/>
          <w:sz w:val="32"/>
          <w:szCs w:val="32"/>
        </w:rPr>
        <w:t>（5）提升学生综合素养。推进体育艺术工作，创建校艺术教育特色学校、优秀学生艺术社团。实施国家学生体质健康标准测试，开展体育教学质量监测工作。举办校园艺术节活动，开展学生艺术素质测评。加强新时代劳动教育，开齐开足劳动教育课程，建成校园劳动教育场地，积极开展劳动教育实践活动。</w:t>
      </w:r>
    </w:p>
    <w:p w14:paraId="7E0F71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 w:name="_Toc25076"/>
      <w:r>
        <w:rPr>
          <w:rFonts w:hint="eastAsia" w:ascii="黑体" w:hAnsi="黑体" w:eastAsia="黑体" w:cs="黑体"/>
          <w:sz w:val="32"/>
          <w:szCs w:val="32"/>
          <w:lang w:val="en-US" w:eastAsia="zh-CN"/>
        </w:rPr>
        <w:t>二、部门预算单位构成</w:t>
      </w:r>
      <w:bookmarkEnd w:id="5"/>
    </w:p>
    <w:p w14:paraId="0AC376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63D0D8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 w:name="_Toc16621"/>
      <w:r>
        <w:rPr>
          <w:rFonts w:hint="eastAsia" w:ascii="黑体" w:hAnsi="黑体" w:eastAsia="黑体" w:cs="黑体"/>
          <w:sz w:val="32"/>
          <w:szCs w:val="32"/>
          <w:lang w:val="en-US" w:eastAsia="zh-CN"/>
        </w:rPr>
        <w:t>三、收支预算情况说明</w:t>
      </w:r>
      <w:bookmarkEnd w:id="6"/>
    </w:p>
    <w:p w14:paraId="7029CA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朝阳小学所有收入和支出均纳入部门预算管理。收入包括：一般公共预算拨款收入；支出包括：教育支出。朝阳小学2025年收支预算总数为326.91万元，比2024年收支预算总数减少8.78万元，主要原因是基本支出预算减少。</w:t>
      </w:r>
    </w:p>
    <w:p w14:paraId="2C6EA5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9686"/>
      <w:r>
        <w:rPr>
          <w:rFonts w:hint="eastAsia" w:ascii="楷体_GB2312" w:hAnsi="楷体_GB2312" w:eastAsia="楷体_GB2312" w:cs="楷体_GB2312"/>
          <w:sz w:val="32"/>
          <w:szCs w:val="32"/>
          <w:lang w:val="en-US" w:eastAsia="zh-CN"/>
        </w:rPr>
        <w:t>（一）收入预算情况</w:t>
      </w:r>
      <w:bookmarkEnd w:id="7"/>
    </w:p>
    <w:p w14:paraId="7E1FAB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朝阳小学2025年收入预算326.91万元，其中：一般公共预算拨款收入326.91万元，占100%。</w:t>
      </w:r>
    </w:p>
    <w:p w14:paraId="26F87E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25835"/>
      <w:r>
        <w:rPr>
          <w:rFonts w:hint="eastAsia" w:ascii="楷体_GB2312" w:hAnsi="楷体_GB2312" w:eastAsia="楷体_GB2312" w:cs="楷体_GB2312"/>
          <w:sz w:val="32"/>
          <w:szCs w:val="32"/>
          <w:lang w:val="en-US" w:eastAsia="zh-CN"/>
        </w:rPr>
        <w:t>（二）支出预算情况</w:t>
      </w:r>
      <w:bookmarkEnd w:id="8"/>
    </w:p>
    <w:p w14:paraId="081B5A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朝阳小学2025年支出预算326.91万元，其中：基本支出301.51万元，占92.23%；项目支出25.40万元，占7.77%</w:t>
      </w:r>
      <w:r>
        <w:rPr>
          <w:rFonts w:hint="eastAsia" w:ascii="仿宋_GB2312" w:hAnsi="仿宋_GB2312" w:eastAsia="仿宋_GB2312" w:cs="仿宋_GB2312"/>
          <w:b w:val="0"/>
          <w:bCs w:val="0"/>
          <w:sz w:val="32"/>
          <w:szCs w:val="32"/>
          <w:lang w:val="en-US" w:eastAsia="zh-CN"/>
        </w:rPr>
        <w:t>。</w:t>
      </w:r>
    </w:p>
    <w:p w14:paraId="63B0888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9" w:name="_Toc17937"/>
      <w:r>
        <w:rPr>
          <w:rFonts w:hint="eastAsia" w:ascii="黑体" w:hAnsi="黑体" w:eastAsia="黑体" w:cs="黑体"/>
          <w:sz w:val="32"/>
          <w:szCs w:val="32"/>
          <w:lang w:val="en-US" w:eastAsia="zh-CN"/>
        </w:rPr>
        <w:t>四、财政拨款收支预算情况说明</w:t>
      </w:r>
      <w:bookmarkEnd w:id="9"/>
    </w:p>
    <w:p w14:paraId="2B2977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朝阳小学2025年财政拨款收支预算总数为326.91万元，比2024年财政拨款收支预算总数减少8.78万元，主要原因是基本支出预算减少。</w:t>
      </w:r>
    </w:p>
    <w:p w14:paraId="568147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收入包括：本年一般公共预算拨款收入326.91万元；支出包括：教育支出326.91万元。</w:t>
      </w:r>
    </w:p>
    <w:p w14:paraId="1344E0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0" w:name="_Toc20484"/>
      <w:r>
        <w:rPr>
          <w:rFonts w:hint="eastAsia" w:ascii="黑体" w:hAnsi="黑体" w:eastAsia="黑体" w:cs="黑体"/>
          <w:sz w:val="32"/>
          <w:szCs w:val="32"/>
          <w:lang w:val="en-US" w:eastAsia="zh-CN"/>
        </w:rPr>
        <w:t>五、一般公共预算当年拨款情况说明</w:t>
      </w:r>
      <w:bookmarkEnd w:id="10"/>
    </w:p>
    <w:p w14:paraId="1E4559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3498"/>
      <w:r>
        <w:rPr>
          <w:rFonts w:hint="eastAsia" w:ascii="楷体_GB2312" w:hAnsi="楷体_GB2312" w:eastAsia="楷体_GB2312" w:cs="楷体_GB2312"/>
          <w:sz w:val="32"/>
          <w:szCs w:val="32"/>
          <w:lang w:val="en-US" w:eastAsia="zh-CN"/>
        </w:rPr>
        <w:t>（一）一般公共预算当年拨款规模变化情况</w:t>
      </w:r>
      <w:bookmarkEnd w:id="11"/>
    </w:p>
    <w:p w14:paraId="650FF8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朝阳小学2025年一般公共预算当年拨款326.91万元，比2024年预算数减少8.78万元，主要原因是基本支出预算减少。</w:t>
      </w:r>
    </w:p>
    <w:p w14:paraId="3218885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2311"/>
      <w:r>
        <w:rPr>
          <w:rFonts w:hint="eastAsia" w:ascii="楷体_GB2312" w:hAnsi="楷体_GB2312" w:eastAsia="楷体_GB2312" w:cs="楷体_GB2312"/>
          <w:sz w:val="32"/>
          <w:szCs w:val="32"/>
          <w:lang w:val="en-US" w:eastAsia="zh-CN"/>
        </w:rPr>
        <w:t>（二）一般公共预算当年拨款结构情况</w:t>
      </w:r>
      <w:bookmarkEnd w:id="12"/>
    </w:p>
    <w:p w14:paraId="642F536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教育支出326.91万元，占100%。</w:t>
      </w:r>
    </w:p>
    <w:p w14:paraId="311EA5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29844"/>
      <w:r>
        <w:rPr>
          <w:rFonts w:hint="eastAsia" w:ascii="楷体_GB2312" w:hAnsi="楷体_GB2312" w:eastAsia="楷体_GB2312" w:cs="楷体_GB2312"/>
          <w:sz w:val="32"/>
          <w:szCs w:val="32"/>
          <w:lang w:val="en-US" w:eastAsia="zh-CN"/>
        </w:rPr>
        <w:t>（三）一般公共预算当年拨款具体使用情况</w:t>
      </w:r>
      <w:bookmarkEnd w:id="13"/>
    </w:p>
    <w:p w14:paraId="2A1AD5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类）普通教育（款）小学教育（项）2025年预算数为326.91万元，主要用于小学教育机构的基本支出，包括基本工资、津贴补贴、基础绩效奖等人员经费以及机构运行所需的办公费、印刷费、维修（护）费、工会经费等运行补助经费。</w:t>
      </w:r>
    </w:p>
    <w:p w14:paraId="2E71B4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27408"/>
      <w:r>
        <w:rPr>
          <w:rFonts w:hint="eastAsia" w:ascii="黑体" w:hAnsi="黑体" w:eastAsia="黑体" w:cs="黑体"/>
          <w:sz w:val="32"/>
          <w:szCs w:val="32"/>
          <w:lang w:val="en-US" w:eastAsia="zh-CN"/>
        </w:rPr>
        <w:t>六、一般公共预算基本支出情况说明</w:t>
      </w:r>
      <w:bookmarkEnd w:id="14"/>
    </w:p>
    <w:p w14:paraId="15036B3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朝阳小学2025年一般公共预算基本支出301.51万元，其中：</w:t>
      </w:r>
    </w:p>
    <w:p w14:paraId="288528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人员经费301.51万元，主要包括：基本工资、津贴补贴、奖金、 绩效奖金、社会保险缴费、  住房公积金、生活补助、 奖励金等支出。</w:t>
      </w:r>
    </w:p>
    <w:p w14:paraId="5B9D60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099088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9732"/>
      <w:r>
        <w:rPr>
          <w:rFonts w:hint="eastAsia" w:ascii="黑体" w:hAnsi="黑体" w:eastAsia="黑体" w:cs="黑体"/>
          <w:sz w:val="32"/>
          <w:szCs w:val="32"/>
          <w:lang w:val="en-US" w:eastAsia="zh-CN"/>
        </w:rPr>
        <w:t>七、“三公”经费财政拨款预算安排情况说明</w:t>
      </w:r>
      <w:bookmarkEnd w:id="15"/>
    </w:p>
    <w:p w14:paraId="4D6A56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朝阳小学2025年“三公”经费财政拨款预算数0.3万元，其中：公务接待费0.3万元，公务用车购置及运行维护费0万元，因公出国（境）经费0万元。</w:t>
      </w:r>
    </w:p>
    <w:p w14:paraId="6AD9FE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4817"/>
      <w:bookmarkStart w:id="17" w:name="_Toc24959"/>
      <w:r>
        <w:rPr>
          <w:rFonts w:hint="eastAsia" w:ascii="楷体_GB2312" w:hAnsi="楷体_GB2312" w:eastAsia="楷体_GB2312" w:cs="楷体_GB2312"/>
          <w:sz w:val="32"/>
          <w:szCs w:val="32"/>
          <w:lang w:val="en-US" w:eastAsia="zh-CN"/>
        </w:rPr>
        <w:t>（一）公务接待费</w:t>
      </w:r>
      <w:bookmarkEnd w:id="16"/>
      <w:bookmarkEnd w:id="17"/>
    </w:p>
    <w:p w14:paraId="275FDF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584BD5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1733F67D">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4171"/>
      <w:bookmarkStart w:id="19" w:name="_Toc29858"/>
      <w:r>
        <w:rPr>
          <w:rFonts w:hint="eastAsia" w:ascii="楷体_GB2312" w:hAnsi="楷体_GB2312" w:eastAsia="楷体_GB2312" w:cs="楷体_GB2312"/>
          <w:sz w:val="32"/>
          <w:szCs w:val="32"/>
          <w:lang w:val="en-US" w:eastAsia="zh-CN"/>
        </w:rPr>
        <w:t>公务用车购置及运行维护费</w:t>
      </w:r>
      <w:bookmarkEnd w:id="18"/>
      <w:bookmarkEnd w:id="19"/>
    </w:p>
    <w:p w14:paraId="2FBCBF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3EEA0D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605AF82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1EF455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6F12F5B9">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0" w:name="_Toc26008"/>
      <w:bookmarkStart w:id="21" w:name="_Toc30329"/>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0"/>
      <w:bookmarkEnd w:id="21"/>
    </w:p>
    <w:p w14:paraId="7F1A49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60C50F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2" w:name="_Toc26969"/>
      <w:r>
        <w:rPr>
          <w:rFonts w:hint="eastAsia" w:ascii="黑体" w:hAnsi="黑体" w:eastAsia="黑体" w:cs="黑体"/>
          <w:sz w:val="32"/>
          <w:szCs w:val="32"/>
          <w:lang w:val="en-US" w:eastAsia="zh-CN"/>
        </w:rPr>
        <w:t>八、政府性基金预算支出情况说明</w:t>
      </w:r>
      <w:bookmarkEnd w:id="22"/>
    </w:p>
    <w:p w14:paraId="41EBB5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朝阳小学2025年无政府性基金预算拨款安排的支出。</w:t>
      </w:r>
    </w:p>
    <w:p w14:paraId="2D1A17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3" w:name="_Toc15211"/>
      <w:r>
        <w:rPr>
          <w:rFonts w:hint="eastAsia" w:ascii="黑体" w:hAnsi="黑体" w:eastAsia="黑体" w:cs="黑体"/>
          <w:sz w:val="32"/>
          <w:szCs w:val="32"/>
          <w:lang w:val="en-US" w:eastAsia="zh-CN"/>
        </w:rPr>
        <w:t>九、国有资本经营预算支出情况说明</w:t>
      </w:r>
      <w:bookmarkEnd w:id="23"/>
    </w:p>
    <w:p w14:paraId="7C0F7F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朝阳小学2025年无国有资本经营预算拨款安排的支出。</w:t>
      </w:r>
    </w:p>
    <w:p w14:paraId="67883F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13391"/>
      <w:r>
        <w:rPr>
          <w:rFonts w:hint="eastAsia" w:ascii="黑体" w:hAnsi="黑体" w:eastAsia="黑体" w:cs="黑体"/>
          <w:sz w:val="32"/>
          <w:szCs w:val="32"/>
          <w:lang w:val="en-US" w:eastAsia="zh-CN"/>
        </w:rPr>
        <w:t>十、其他重要事项的情况说明</w:t>
      </w:r>
      <w:bookmarkEnd w:id="24"/>
    </w:p>
    <w:p w14:paraId="691AFA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16377"/>
      <w:bookmarkStart w:id="26" w:name="_Toc28357"/>
      <w:r>
        <w:rPr>
          <w:rFonts w:hint="eastAsia" w:ascii="楷体_GB2312" w:hAnsi="楷体_GB2312" w:eastAsia="楷体_GB2312" w:cs="楷体_GB2312"/>
          <w:sz w:val="32"/>
          <w:szCs w:val="32"/>
          <w:lang w:val="en-US" w:eastAsia="zh-CN"/>
        </w:rPr>
        <w:t>（一）机关运行经费</w:t>
      </w:r>
      <w:bookmarkEnd w:id="25"/>
      <w:bookmarkEnd w:id="26"/>
    </w:p>
    <w:p w14:paraId="6E48C6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3DB29D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7" w:name="_Toc14508"/>
      <w:bookmarkStart w:id="28" w:name="_Toc31602"/>
      <w:r>
        <w:rPr>
          <w:rFonts w:hint="eastAsia" w:ascii="楷体_GB2312" w:hAnsi="楷体_GB2312" w:eastAsia="楷体_GB2312" w:cs="楷体_GB2312"/>
          <w:sz w:val="32"/>
          <w:szCs w:val="32"/>
          <w:lang w:val="en-US" w:eastAsia="zh-CN"/>
        </w:rPr>
        <w:t>（二）政府采购情况</w:t>
      </w:r>
      <w:bookmarkEnd w:id="27"/>
      <w:bookmarkEnd w:id="28"/>
    </w:p>
    <w:p w14:paraId="337C20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2025年，朝阳小学安排政府采购预算0万元。</w:t>
      </w:r>
    </w:p>
    <w:p w14:paraId="7DAD5C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9" w:name="_Toc29965"/>
      <w:bookmarkStart w:id="30" w:name="_Toc9161"/>
      <w:r>
        <w:rPr>
          <w:rFonts w:hint="eastAsia" w:ascii="楷体_GB2312" w:hAnsi="楷体_GB2312" w:eastAsia="楷体_GB2312" w:cs="楷体_GB2312"/>
          <w:sz w:val="32"/>
          <w:szCs w:val="32"/>
          <w:lang w:val="en-US" w:eastAsia="zh-CN"/>
        </w:rPr>
        <w:t>（三）国有资产占有使用情况</w:t>
      </w:r>
      <w:bookmarkEnd w:id="29"/>
      <w:bookmarkEnd w:id="30"/>
    </w:p>
    <w:p w14:paraId="2B3076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截至2024年底，朝阳小学共有车辆0辆。单位无价值200万元以上大型设备。</w:t>
      </w:r>
    </w:p>
    <w:p w14:paraId="6B3A9B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7A58C1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1" w:name="_Toc8154"/>
      <w:bookmarkStart w:id="32" w:name="_Toc8172"/>
      <w:r>
        <w:rPr>
          <w:rFonts w:hint="eastAsia" w:ascii="楷体_GB2312" w:hAnsi="楷体_GB2312" w:eastAsia="楷体_GB2312" w:cs="楷体_GB2312"/>
          <w:sz w:val="32"/>
          <w:szCs w:val="32"/>
          <w:lang w:val="en-US" w:eastAsia="zh-CN"/>
        </w:rPr>
        <w:t>（四）绩效目标设置情况</w:t>
      </w:r>
      <w:bookmarkEnd w:id="31"/>
      <w:bookmarkEnd w:id="32"/>
    </w:p>
    <w:p w14:paraId="37B7BA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2025年朝阳小学开展绩效目标管理的项目13个，涉及预算326.91万元。其中：人员类项目10个，涉及预算 301.51万元；运转类项目3个，涉及预算25.40万元；特定目标类项目0个，涉及预算0万元。因部分项目内容涉密，不予公开。</w:t>
      </w:r>
    </w:p>
    <w:p w14:paraId="24EEA6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3" w:name="_Toc13591"/>
      <w:r>
        <w:rPr>
          <w:rFonts w:hint="eastAsia" w:ascii="黑体" w:hAnsi="黑体" w:eastAsia="黑体" w:cs="黑体"/>
          <w:sz w:val="32"/>
          <w:szCs w:val="32"/>
          <w:lang w:val="en-US" w:eastAsia="zh-CN"/>
        </w:rPr>
        <w:t>十一、名词解释</w:t>
      </w:r>
      <w:bookmarkEnd w:id="33"/>
    </w:p>
    <w:p w14:paraId="7FE684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1FC0BE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2F0934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6EDBFF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（五）教育支出（类）普通教育（款）小学教育（项）</w:t>
      </w:r>
      <w:r>
        <w:rPr>
          <w:rFonts w:hint="eastAsia" w:ascii="仿宋_GB2312" w:hAnsi="仿宋_GB2312" w:eastAsia="仿宋_GB2312" w:cs="仿宋_GB2312"/>
          <w:sz w:val="32"/>
          <w:szCs w:val="32"/>
          <w:lang w:val="en-US" w:eastAsia="zh-CN"/>
        </w:rPr>
        <w:t>：指小学教育发展的基本支出，包括基本工资、津贴补贴等人员经费以及办公费、印刷费、水电费等日常公用经费。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：指部门实施养老保险制度由单位缴纳的养老保险费的支出。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（七）</w:t>
      </w:r>
      <w:r>
        <w:rPr>
          <w:rFonts w:hint="eastAsia" w:ascii="楷体_GB2312" w:hAnsi="楷体_GB2312" w:eastAsia="楷体_GB2312" w:cs="楷体_GB2312"/>
          <w:sz w:val="32"/>
          <w:szCs w:val="32"/>
          <w:lang w:val="en-US" w:eastAsia="zh-CN"/>
        </w:rPr>
        <w:t>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（八）</w:t>
      </w:r>
      <w:r>
        <w:rPr>
          <w:rFonts w:hint="eastAsia" w:ascii="楷体_GB2312" w:hAnsi="楷体_GB2312" w:eastAsia="楷体_GB2312" w:cs="楷体_GB2312"/>
          <w:sz w:val="32"/>
          <w:szCs w:val="32"/>
          <w:lang w:val="en-US" w:eastAsia="zh-CN"/>
        </w:rPr>
        <w:t>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（九）</w:t>
      </w: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w:t>
      </w: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（十一）</w:t>
      </w: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（十二）</w:t>
      </w: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费</w:t>
      </w:r>
      <w:bookmarkStart w:id="36" w:name="_GoBack"/>
      <w:bookmarkEnd w:id="36"/>
      <w:r>
        <w:commentReference w:id="0"/>
      </w:r>
      <w:r>
        <w:rPr>
          <w:rFonts w:hint="eastAsia" w:ascii="仿宋_GB2312" w:hAnsi="仿宋_GB2312" w:eastAsia="仿宋_GB2312" w:cs="仿宋_GB2312"/>
          <w:sz w:val="32"/>
          <w:szCs w:val="32"/>
          <w:lang w:val="en-US" w:eastAsia="zh-CN"/>
        </w:rPr>
        <w:t>（含外宾接待）支出。</w:t>
      </w:r>
    </w:p>
    <w:p w14:paraId="197218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2AB26E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6CEC5FC2">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34" w:name="_Toc10395"/>
      <w:bookmarkStart w:id="35" w:name="_Toc21538"/>
      <w:r>
        <w:rPr>
          <w:rFonts w:hint="eastAsia" w:ascii="仿宋_GB2312" w:hAnsi="仿宋_GB2312" w:eastAsia="仿宋_GB2312" w:cs="仿宋_GB2312"/>
          <w:sz w:val="32"/>
          <w:szCs w:val="32"/>
          <w:lang w:val="en-US" w:eastAsia="zh-CN"/>
        </w:rPr>
        <w:t>单位预算项目绩效目标表</w:t>
      </w:r>
      <w:bookmarkEnd w:id="34"/>
      <w:bookmarkEnd w:id="35"/>
    </w:p>
    <w:p w14:paraId="3E0500B5">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7:58:24Z" w:initials="UC">
    <w:p w14:paraId="00989686">
      <w:r>
        <w:rPr>
          <w:color w:val="FF0000"/>
        </w:rPr>
        <w:t>错敏词:</w:t>
      </w:r>
      <w:r>
        <w:t>务接待</w:t>
      </w:r>
    </w:p>
    <w:p w14:paraId="00989687">
      <w:r>
        <w:rPr>
          <w:color w:val="FF0000"/>
        </w:rPr>
        <w:t>推荐修改:</w:t>
      </w:r>
      <w:r>
        <w:t>null 建议删除</w:t>
      </w:r>
    </w:p>
    <w:p w14:paraId="00989688">
      <w:r>
        <w:rPr>
          <w:color w:val="FF0000"/>
        </w:rPr>
        <w:t>问题类型:</w:t>
      </w:r>
      <w:r>
        <w:t>多字</w:t>
      </w:r>
    </w:p>
    <w:p w14:paraId="00989689">
      <w:r>
        <w:rPr>
          <w:color w:val="FF0000"/>
        </w:rPr>
        <w:t>严重程度:</w:t>
      </w:r>
      <w:r>
        <w:t>轻微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auto"/>
    <w:pitch w:val="default"/>
    <w:sig w:usb0="00000000" w:usb1="00000000" w:usb2="00000000" w:usb3="00000000" w:csb0="6000009F" w:csb1="DFD70000"/>
  </w:font>
  <w:font w:name="Vijaya">
    <w:panose1 w:val="020B0604020202020204"/>
    <w:charset w:val="00"/>
    <w:family w:val="auto"/>
    <w:pitch w:val="default"/>
    <w:sig w:usb0="00100003" w:usb1="00000000" w:usb2="00000000" w:usb3="00000000" w:csb0="00000001" w:csb1="0000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0767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03"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A892CBB">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omY8E/gEAAAAEAAAOAAAAAAAAAAEAIAAAAB8BAABkcnMvZTJvRG9jLnht&#10;bFBLBQYAAAAABgAGAFkBAACPBQAAAAA=&#10;">
              <v:fill on="f" focussize="0,0"/>
              <v:stroke on="f"/>
              <v:imagedata o:title=""/>
              <o:lock v:ext="edit" aspectratio="f"/>
              <v:textbox inset="0mm,0mm,0mm,0mm" style="mso-fit-shape-to-text:t;">
                <w:txbxContent>
                  <w:p w14:paraId="2A892CBB">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1D19DC"/>
    <w:multiLevelType w:val="singleLevel"/>
    <w:tmpl w:val="1D1D19DC"/>
    <w:lvl w:ilvl="0" w:tentative="0">
      <w:start w:val="2"/>
      <w:numFmt w:val="chineseCounting"/>
      <w:suff w:val="nothing"/>
      <w:lvlText w:val="（%1）"/>
      <w:lvlJc w:val="left"/>
      <w:rPr>
        <w:rFonts w:hint="eastAsia"/>
      </w:rPr>
    </w:lvl>
  </w:abstractNum>
  <w:abstractNum w:abstractNumId="1">
    <w:nsid w:val="3C50D9DC"/>
    <w:multiLevelType w:val="singleLevel"/>
    <w:tmpl w:val="3C50D9DC"/>
    <w:lvl w:ilvl="0" w:tentative="0">
      <w:start w:val="2"/>
      <w:numFmt w:val="decimal"/>
      <w:lvlText w:val="%1."/>
      <w:lvlJc w:val="left"/>
      <w:pPr>
        <w:tabs>
          <w:tab w:val="left" w:pos="312"/>
        </w:tabs>
        <w:ind w:left="1600" w:leftChars="0" w:firstLine="0" w:firstLineChars="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ZDE1ODY4NGVlZGUzNTBhMTUyYzcwYjQwZjViYjkifQ=="/>
  </w:docVars>
  <w:rsids>
    <w:rsidRoot w:val="00000000"/>
    <w:rsid w:val="6F9E269C"/>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默认段落字体1"/>
    <w:autoRedefine/>
    <w:qFormat/>
    <w:uiPriority w:val="0"/>
  </w:style>
  <w:style w:type="paragraph" w:customStyle="1" w:styleId="12">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3554</Words>
  <Characters>3771</Characters>
  <TotalTime>0</TotalTime>
  <ScaleCrop>false</ScaleCrop>
  <LinksUpToDate>false</LinksUpToDate>
  <CharactersWithSpaces>3856</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2025-02-15T05:41:22Z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