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33B1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bookmarkStart w:id="0" w:name="_Toc13589"/>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广元市昭化区昭化镇小学</w:t>
      </w:r>
      <w:bookmarkEnd w:id="0"/>
    </w:p>
    <w:p w14:paraId="6FB5F16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65021F13">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7536"/>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1601B772">
          <w:pPr>
            <w:spacing w:before="0" w:beforeLines="0" w:after="0" w:afterLines="0" w:line="240" w:lineRule="auto"/>
            <w:ind w:left="0" w:leftChars="0" w:right="0" w:rightChars="0" w:firstLine="0" w:firstLineChars="0"/>
            <w:jc w:val="center"/>
          </w:pPr>
          <w:bookmarkStart w:id="27" w:name="_GoBack"/>
          <w:bookmarkEnd w:id="27"/>
        </w:p>
        <w:p w14:paraId="5F725F14">
          <w:pPr>
            <w:pStyle w:val="14"/>
            <w:tabs>
              <w:tab w:val="right" w:leader="dot" w:pos="8845"/>
            </w:tabs>
            <w:rPr>
              <w:rFonts w:hint="eastAsia" w:ascii="仿宋" w:hAnsi="仿宋" w:eastAsia="仿宋" w:cs="仿宋"/>
              <w:b w:val="0"/>
              <w:bCs/>
              <w:sz w:val="32"/>
              <w:szCs w:val="32"/>
            </w:rPr>
          </w:pPr>
          <w:r>
            <w:rPr>
              <w:rFonts w:hint="eastAsia" w:ascii="仿宋" w:hAnsi="仿宋" w:eastAsia="仿宋" w:cs="仿宋"/>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lang w:val="en-US" w:eastAsia="zh-CN"/>
              <w14:textFill>
                <w14:solidFill>
                  <w14:schemeClr w14:val="tx1"/>
                </w14:solidFill>
              </w14:textFill>
            </w:rPr>
            <w:instrText xml:space="preserve">TOC \o "1-2" \h \u</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fldChar w:fldCharType="begin"/>
          </w:r>
          <w:r>
            <w:instrText xml:space="preserve"> HYPERLINK \l "_Toc5488" </w:instrText>
          </w:r>
          <w:r>
            <w:fldChar w:fldCharType="separate"/>
          </w:r>
          <w:r>
            <w:rPr>
              <w:rFonts w:hint="eastAsia" w:ascii="仿宋" w:hAnsi="仿宋" w:eastAsia="仿宋" w:cs="仿宋"/>
              <w:b w:val="0"/>
              <w:bCs/>
              <w:sz w:val="32"/>
              <w:szCs w:val="32"/>
              <w:lang w:val="en-US" w:eastAsia="zh-CN"/>
            </w:rPr>
            <w:t>一、基本职能及主要工作</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_Toc5488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3</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5E3DEB7C">
          <w:pPr>
            <w:pStyle w:val="15"/>
            <w:tabs>
              <w:tab w:val="right" w:leader="dot" w:pos="8845"/>
            </w:tabs>
            <w:rPr>
              <w:rFonts w:hint="eastAsia" w:ascii="仿宋" w:hAnsi="仿宋" w:eastAsia="仿宋" w:cs="仿宋"/>
              <w:b w:val="0"/>
              <w:bCs/>
              <w:sz w:val="32"/>
              <w:szCs w:val="32"/>
            </w:rPr>
          </w:pPr>
          <w:r>
            <w:fldChar w:fldCharType="begin"/>
          </w:r>
          <w:r>
            <w:instrText xml:space="preserve"> HYPERLINK \l "_Toc3386" </w:instrText>
          </w:r>
          <w:r>
            <w:fldChar w:fldCharType="separate"/>
          </w:r>
          <w:r>
            <w:rPr>
              <w:rFonts w:hint="eastAsia" w:ascii="仿宋" w:hAnsi="仿宋" w:eastAsia="仿宋" w:cs="仿宋"/>
              <w:b w:val="0"/>
              <w:bCs/>
              <w:sz w:val="32"/>
              <w:szCs w:val="32"/>
            </w:rPr>
            <w:t>（一）</w:t>
          </w:r>
          <w:r>
            <w:rPr>
              <w:rFonts w:hint="eastAsia" w:ascii="仿宋" w:hAnsi="仿宋" w:eastAsia="仿宋" w:cs="仿宋"/>
              <w:b w:val="0"/>
              <w:bCs/>
              <w:sz w:val="32"/>
              <w:szCs w:val="32"/>
              <w:lang w:val="en-US" w:eastAsia="zh-CN"/>
            </w:rPr>
            <w:t>单位</w:t>
          </w:r>
          <w:r>
            <w:rPr>
              <w:rFonts w:hint="eastAsia" w:ascii="仿宋" w:hAnsi="仿宋" w:eastAsia="仿宋" w:cs="仿宋"/>
              <w:b w:val="0"/>
              <w:bCs/>
              <w:sz w:val="32"/>
              <w:szCs w:val="32"/>
            </w:rPr>
            <w:t>职能简介</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_Toc3386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3</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3B473CB3">
          <w:pPr>
            <w:pStyle w:val="15"/>
            <w:tabs>
              <w:tab w:val="right" w:leader="dot" w:pos="8845"/>
            </w:tabs>
            <w:rPr>
              <w:rFonts w:hint="eastAsia" w:ascii="仿宋" w:hAnsi="仿宋" w:eastAsia="仿宋" w:cs="仿宋"/>
              <w:b w:val="0"/>
              <w:bCs/>
              <w:sz w:val="32"/>
              <w:szCs w:val="32"/>
            </w:rPr>
          </w:pPr>
          <w:r>
            <w:fldChar w:fldCharType="begin"/>
          </w:r>
          <w:r>
            <w:instrText xml:space="preserve"> HYPERLINK \l "_Toc21301" </w:instrText>
          </w:r>
          <w:r>
            <w:fldChar w:fldCharType="separate"/>
          </w:r>
          <w:r>
            <w:rPr>
              <w:rFonts w:hint="eastAsia" w:ascii="仿宋" w:hAnsi="仿宋" w:eastAsia="仿宋" w:cs="仿宋"/>
              <w:b w:val="0"/>
              <w:bCs/>
              <w:sz w:val="32"/>
              <w:szCs w:val="32"/>
            </w:rPr>
            <w:t>（二）</w:t>
          </w:r>
          <w:r>
            <w:rPr>
              <w:rFonts w:hint="eastAsia" w:ascii="仿宋" w:hAnsi="仿宋" w:eastAsia="仿宋" w:cs="仿宋"/>
              <w:b w:val="0"/>
              <w:bCs/>
              <w:sz w:val="32"/>
              <w:szCs w:val="32"/>
              <w:lang w:val="en-US"/>
            </w:rPr>
            <w:t>202</w:t>
          </w:r>
          <w:r>
            <w:rPr>
              <w:rFonts w:hint="eastAsia" w:ascii="仿宋" w:hAnsi="仿宋" w:eastAsia="仿宋" w:cs="仿宋"/>
              <w:b w:val="0"/>
              <w:bCs/>
              <w:sz w:val="32"/>
              <w:szCs w:val="32"/>
              <w:lang w:val="en-US" w:eastAsia="zh-CN"/>
            </w:rPr>
            <w:t>5</w:t>
          </w:r>
          <w:r>
            <w:rPr>
              <w:rFonts w:hint="eastAsia" w:ascii="仿宋" w:hAnsi="仿宋" w:eastAsia="仿宋" w:cs="仿宋"/>
              <w:b w:val="0"/>
              <w:bCs/>
              <w:sz w:val="32"/>
              <w:szCs w:val="32"/>
            </w:rPr>
            <w:t>年重点工作</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_Toc21301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4</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6D59BEF2">
          <w:pPr>
            <w:pStyle w:val="14"/>
            <w:tabs>
              <w:tab w:val="right" w:leader="dot" w:pos="8845"/>
            </w:tabs>
            <w:rPr>
              <w:rFonts w:hint="eastAsia" w:ascii="仿宋" w:hAnsi="仿宋" w:eastAsia="仿宋" w:cs="仿宋"/>
              <w:b w:val="0"/>
              <w:bCs/>
              <w:sz w:val="32"/>
              <w:szCs w:val="32"/>
            </w:rPr>
          </w:pPr>
          <w:r>
            <w:fldChar w:fldCharType="begin"/>
          </w:r>
          <w:r>
            <w:instrText xml:space="preserve"> HYPERLINK \l "_Toc20845" </w:instrText>
          </w:r>
          <w:r>
            <w:fldChar w:fldCharType="separate"/>
          </w:r>
          <w:r>
            <w:rPr>
              <w:rFonts w:hint="eastAsia" w:ascii="仿宋" w:hAnsi="仿宋" w:eastAsia="仿宋" w:cs="仿宋"/>
              <w:b w:val="0"/>
              <w:bCs/>
              <w:sz w:val="32"/>
              <w:szCs w:val="32"/>
              <w:lang w:val="en-US" w:eastAsia="zh-CN"/>
            </w:rPr>
            <w:t>二、部门预算单位构成</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_Toc20845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8</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20AFFB9D">
          <w:pPr>
            <w:pStyle w:val="14"/>
            <w:tabs>
              <w:tab w:val="right" w:leader="dot" w:pos="8845"/>
            </w:tabs>
            <w:rPr>
              <w:rFonts w:hint="eastAsia" w:ascii="仿宋" w:hAnsi="仿宋" w:eastAsia="仿宋" w:cs="仿宋"/>
              <w:b w:val="0"/>
              <w:bCs/>
              <w:sz w:val="32"/>
              <w:szCs w:val="32"/>
            </w:rPr>
          </w:pPr>
          <w:r>
            <w:fldChar w:fldCharType="begin"/>
          </w:r>
          <w:r>
            <w:instrText xml:space="preserve"> HYPERLINK \l "_Toc7615" </w:instrText>
          </w:r>
          <w:r>
            <w:fldChar w:fldCharType="separate"/>
          </w:r>
          <w:r>
            <w:rPr>
              <w:rFonts w:hint="eastAsia" w:ascii="仿宋" w:hAnsi="仿宋" w:eastAsia="仿宋" w:cs="仿宋"/>
              <w:b w:val="0"/>
              <w:bCs/>
              <w:sz w:val="32"/>
              <w:szCs w:val="32"/>
              <w:lang w:val="en-US" w:eastAsia="zh-CN"/>
            </w:rPr>
            <w:t>三、收支预算情况说明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_Toc7615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5FD5FDC0">
          <w:pPr>
            <w:pStyle w:val="15"/>
            <w:tabs>
              <w:tab w:val="right" w:leader="dot" w:pos="8845"/>
            </w:tabs>
            <w:rPr>
              <w:rFonts w:hint="eastAsia" w:ascii="仿宋" w:hAnsi="仿宋" w:eastAsia="仿宋" w:cs="仿宋"/>
              <w:b w:val="0"/>
              <w:bCs/>
              <w:sz w:val="32"/>
              <w:szCs w:val="32"/>
            </w:rPr>
          </w:pPr>
          <w:r>
            <w:fldChar w:fldCharType="begin"/>
          </w:r>
          <w:r>
            <w:instrText xml:space="preserve"> HYPERLINK \l "_Toc32137" </w:instrText>
          </w:r>
          <w:r>
            <w:fldChar w:fldCharType="separate"/>
          </w:r>
          <w:r>
            <w:rPr>
              <w:rFonts w:hint="eastAsia" w:ascii="仿宋" w:hAnsi="仿宋" w:eastAsia="仿宋" w:cs="仿宋"/>
              <w:b w:val="0"/>
              <w:bCs/>
              <w:sz w:val="32"/>
              <w:szCs w:val="32"/>
              <w:lang w:val="en-US" w:eastAsia="zh-CN"/>
            </w:rPr>
            <w:t>（一）收入预算情况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_Toc32137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0D0D1BD6">
          <w:pPr>
            <w:pStyle w:val="15"/>
            <w:tabs>
              <w:tab w:val="right" w:leader="dot" w:pos="8845"/>
            </w:tabs>
            <w:rPr>
              <w:rFonts w:hint="eastAsia" w:ascii="仿宋" w:hAnsi="仿宋" w:eastAsia="仿宋" w:cs="仿宋"/>
              <w:b w:val="0"/>
              <w:bCs/>
              <w:sz w:val="32"/>
              <w:szCs w:val="32"/>
            </w:rPr>
          </w:pPr>
          <w:r>
            <w:fldChar w:fldCharType="begin"/>
          </w:r>
          <w:r>
            <w:instrText xml:space="preserve"> HYPERLINK \l "_Toc730" </w:instrText>
          </w:r>
          <w:r>
            <w:fldChar w:fldCharType="separate"/>
          </w:r>
          <w:r>
            <w:rPr>
              <w:rFonts w:hint="eastAsia" w:ascii="仿宋" w:hAnsi="仿宋" w:eastAsia="仿宋" w:cs="仿宋"/>
              <w:b w:val="0"/>
              <w:bCs/>
              <w:sz w:val="32"/>
              <w:szCs w:val="32"/>
              <w:lang w:val="en-US" w:eastAsia="zh-CN"/>
            </w:rPr>
            <w:t>（二）支出预算情况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_Toc730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76830F76">
          <w:pPr>
            <w:pStyle w:val="14"/>
            <w:tabs>
              <w:tab w:val="right" w:leader="dot" w:pos="8845"/>
            </w:tabs>
            <w:rPr>
              <w:rFonts w:hint="eastAsia" w:ascii="仿宋" w:hAnsi="仿宋" w:eastAsia="仿宋" w:cs="仿宋"/>
              <w:b w:val="0"/>
              <w:bCs/>
              <w:sz w:val="32"/>
              <w:szCs w:val="32"/>
            </w:rPr>
          </w:pPr>
          <w:r>
            <w:fldChar w:fldCharType="begin"/>
          </w:r>
          <w:r>
            <w:instrText xml:space="preserve"> HYPERLINK \l "_Toc27656" </w:instrText>
          </w:r>
          <w:r>
            <w:fldChar w:fldCharType="separate"/>
          </w:r>
          <w:r>
            <w:rPr>
              <w:rFonts w:hint="eastAsia" w:ascii="仿宋" w:hAnsi="仿宋" w:eastAsia="仿宋" w:cs="仿宋"/>
              <w:b w:val="0"/>
              <w:bCs/>
              <w:sz w:val="32"/>
              <w:szCs w:val="32"/>
              <w:lang w:val="en-US" w:eastAsia="zh-CN"/>
            </w:rPr>
            <w:t>四、财政拨款收支预算情况说明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_Toc27656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2CA22522">
          <w:pPr>
            <w:pStyle w:val="14"/>
            <w:tabs>
              <w:tab w:val="right" w:leader="dot" w:pos="8845"/>
            </w:tabs>
            <w:rPr>
              <w:rFonts w:hint="eastAsia" w:ascii="仿宋" w:hAnsi="仿宋" w:eastAsia="仿宋" w:cs="仿宋"/>
              <w:b w:val="0"/>
              <w:bCs/>
              <w:sz w:val="32"/>
              <w:szCs w:val="32"/>
            </w:rPr>
          </w:pPr>
          <w:r>
            <w:fldChar w:fldCharType="begin"/>
          </w:r>
          <w:r>
            <w:instrText xml:space="preserve"> HYPERLINK \l "_Toc20367" </w:instrText>
          </w:r>
          <w:r>
            <w:fldChar w:fldCharType="separate"/>
          </w:r>
          <w:r>
            <w:rPr>
              <w:rFonts w:hint="eastAsia" w:ascii="仿宋" w:hAnsi="仿宋" w:eastAsia="仿宋" w:cs="仿宋"/>
              <w:b w:val="0"/>
              <w:bCs/>
              <w:sz w:val="32"/>
              <w:szCs w:val="32"/>
              <w:lang w:val="en-US" w:eastAsia="zh-CN"/>
            </w:rPr>
            <w:t>五、一般公共预算当年拨款情况说明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_Toc20367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5EB2A242">
          <w:pPr>
            <w:pStyle w:val="15"/>
            <w:tabs>
              <w:tab w:val="right" w:leader="dot" w:pos="8845"/>
            </w:tabs>
            <w:rPr>
              <w:rFonts w:hint="eastAsia" w:ascii="仿宋" w:hAnsi="仿宋" w:eastAsia="仿宋" w:cs="仿宋"/>
              <w:b w:val="0"/>
              <w:bCs/>
              <w:sz w:val="32"/>
              <w:szCs w:val="32"/>
            </w:rPr>
          </w:pPr>
          <w:r>
            <w:fldChar w:fldCharType="begin"/>
          </w:r>
          <w:r>
            <w:instrText xml:space="preserve"> HYPERLINK \l "_Toc26745" </w:instrText>
          </w:r>
          <w:r>
            <w:fldChar w:fldCharType="separate"/>
          </w:r>
          <w:r>
            <w:rPr>
              <w:rFonts w:hint="eastAsia" w:ascii="仿宋" w:hAnsi="仿宋" w:eastAsia="仿宋" w:cs="仿宋"/>
              <w:b w:val="0"/>
              <w:bCs/>
              <w:sz w:val="32"/>
              <w:szCs w:val="32"/>
              <w:lang w:val="en-US" w:eastAsia="zh-CN"/>
            </w:rPr>
            <w:t>（一）一般公共预算当年拨款规模变化情况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_Toc26745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9</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628C4C87">
          <w:pPr>
            <w:pStyle w:val="15"/>
            <w:tabs>
              <w:tab w:val="right" w:leader="dot" w:pos="8845"/>
            </w:tabs>
            <w:rPr>
              <w:rFonts w:hint="eastAsia" w:ascii="仿宋" w:hAnsi="仿宋" w:eastAsia="仿宋" w:cs="仿宋"/>
              <w:b w:val="0"/>
              <w:bCs/>
              <w:sz w:val="32"/>
              <w:szCs w:val="32"/>
            </w:rPr>
          </w:pPr>
          <w:r>
            <w:fldChar w:fldCharType="begin"/>
          </w:r>
          <w:r>
            <w:instrText xml:space="preserve"> HYPERLINK \l "_Toc12591" </w:instrText>
          </w:r>
          <w:r>
            <w:fldChar w:fldCharType="separate"/>
          </w:r>
          <w:r>
            <w:rPr>
              <w:rFonts w:hint="eastAsia" w:ascii="仿宋" w:hAnsi="仿宋" w:eastAsia="仿宋" w:cs="仿宋"/>
              <w:b w:val="0"/>
              <w:bCs/>
              <w:sz w:val="32"/>
              <w:szCs w:val="32"/>
              <w:lang w:val="en-US" w:eastAsia="zh-CN"/>
            </w:rPr>
            <w:t>（二）一般公共预算当年拨款结构情况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_Toc12591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10</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2A2EE659">
          <w:pPr>
            <w:pStyle w:val="15"/>
            <w:tabs>
              <w:tab w:val="right" w:leader="dot" w:pos="8845"/>
            </w:tabs>
            <w:rPr>
              <w:rFonts w:hint="eastAsia" w:ascii="仿宋" w:hAnsi="仿宋" w:eastAsia="仿宋" w:cs="仿宋"/>
              <w:b w:val="0"/>
              <w:bCs/>
              <w:sz w:val="32"/>
              <w:szCs w:val="32"/>
            </w:rPr>
          </w:pPr>
          <w:r>
            <w:fldChar w:fldCharType="begin"/>
          </w:r>
          <w:r>
            <w:instrText xml:space="preserve"> HYPERLINK \l "_Toc17121" </w:instrText>
          </w:r>
          <w:r>
            <w:fldChar w:fldCharType="separate"/>
          </w:r>
          <w:r>
            <w:rPr>
              <w:rFonts w:hint="eastAsia" w:ascii="仿宋" w:hAnsi="仿宋" w:eastAsia="仿宋" w:cs="仿宋"/>
              <w:b w:val="0"/>
              <w:bCs/>
              <w:sz w:val="32"/>
              <w:szCs w:val="32"/>
              <w:lang w:val="en-US" w:eastAsia="zh-CN"/>
            </w:rPr>
            <w:t>（三）一般公共预算当年拨款具体使用情况</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_Toc17121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10</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1EBEED15">
          <w:pPr>
            <w:pStyle w:val="14"/>
            <w:tabs>
              <w:tab w:val="right" w:leader="dot" w:pos="8845"/>
            </w:tabs>
            <w:rPr>
              <w:rFonts w:hint="eastAsia" w:ascii="仿宋" w:hAnsi="仿宋" w:eastAsia="仿宋" w:cs="仿宋"/>
              <w:b w:val="0"/>
              <w:bCs/>
              <w:sz w:val="32"/>
              <w:szCs w:val="32"/>
            </w:rPr>
          </w:pPr>
          <w:r>
            <w:fldChar w:fldCharType="begin"/>
          </w:r>
          <w:r>
            <w:instrText xml:space="preserve"> HYPERLINK \l "_Toc6078" </w:instrText>
          </w:r>
          <w:r>
            <w:fldChar w:fldCharType="separate"/>
          </w:r>
          <w:r>
            <w:rPr>
              <w:rFonts w:hint="eastAsia" w:ascii="仿宋" w:hAnsi="仿宋" w:eastAsia="仿宋" w:cs="仿宋"/>
              <w:b w:val="0"/>
              <w:bCs/>
              <w:sz w:val="32"/>
              <w:szCs w:val="32"/>
              <w:lang w:val="en-US" w:eastAsia="zh-CN"/>
            </w:rPr>
            <w:t>六、一般公共预算基本支出情况说明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_Toc6078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10</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0CB19BD5">
          <w:pPr>
            <w:pStyle w:val="14"/>
            <w:tabs>
              <w:tab w:val="right" w:leader="dot" w:pos="8845"/>
            </w:tabs>
            <w:rPr>
              <w:rFonts w:hint="eastAsia" w:ascii="仿宋" w:hAnsi="仿宋" w:eastAsia="仿宋" w:cs="仿宋"/>
              <w:b w:val="0"/>
              <w:bCs/>
              <w:sz w:val="32"/>
              <w:szCs w:val="32"/>
            </w:rPr>
          </w:pPr>
          <w:r>
            <w:fldChar w:fldCharType="begin"/>
          </w:r>
          <w:r>
            <w:instrText xml:space="preserve"> HYPERLINK \l "_Toc21247" </w:instrText>
          </w:r>
          <w:r>
            <w:fldChar w:fldCharType="separate"/>
          </w:r>
          <w:r>
            <w:rPr>
              <w:rFonts w:hint="eastAsia" w:ascii="仿宋" w:hAnsi="仿宋" w:eastAsia="仿宋" w:cs="仿宋"/>
              <w:b w:val="0"/>
              <w:bCs/>
              <w:sz w:val="32"/>
              <w:szCs w:val="32"/>
              <w:lang w:val="en-US" w:eastAsia="zh-CN"/>
            </w:rPr>
            <w:t>七、“三公”经费财政拨款预算安排情况说明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_Toc21247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10</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0B774BD1">
          <w:pPr>
            <w:pStyle w:val="14"/>
            <w:tabs>
              <w:tab w:val="right" w:leader="dot" w:pos="8845"/>
            </w:tabs>
            <w:rPr>
              <w:rFonts w:hint="eastAsia" w:ascii="仿宋" w:hAnsi="仿宋" w:eastAsia="仿宋" w:cs="仿宋"/>
              <w:b w:val="0"/>
              <w:bCs/>
              <w:sz w:val="32"/>
              <w:szCs w:val="32"/>
            </w:rPr>
          </w:pPr>
          <w:r>
            <w:fldChar w:fldCharType="begin"/>
          </w:r>
          <w:r>
            <w:instrText xml:space="preserve"> HYPERLINK \l "_Toc29067" </w:instrText>
          </w:r>
          <w:r>
            <w:fldChar w:fldCharType="separate"/>
          </w:r>
          <w:r>
            <w:rPr>
              <w:rFonts w:hint="eastAsia" w:ascii="仿宋" w:hAnsi="仿宋" w:eastAsia="仿宋" w:cs="仿宋"/>
              <w:b w:val="0"/>
              <w:bCs/>
              <w:sz w:val="32"/>
              <w:szCs w:val="32"/>
              <w:lang w:val="en-US" w:eastAsia="zh-CN"/>
            </w:rPr>
            <w:t>八、政府性基金预算支出情况说明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_Toc29067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11</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68E91B64">
          <w:pPr>
            <w:pStyle w:val="14"/>
            <w:tabs>
              <w:tab w:val="right" w:leader="dot" w:pos="8845"/>
            </w:tabs>
            <w:rPr>
              <w:rFonts w:hint="eastAsia" w:ascii="仿宋" w:hAnsi="仿宋" w:eastAsia="仿宋" w:cs="仿宋"/>
              <w:b w:val="0"/>
              <w:bCs/>
              <w:sz w:val="32"/>
              <w:szCs w:val="32"/>
            </w:rPr>
          </w:pPr>
          <w:r>
            <w:fldChar w:fldCharType="begin"/>
          </w:r>
          <w:r>
            <w:instrText xml:space="preserve"> HYPERLINK \l "_Toc24112" </w:instrText>
          </w:r>
          <w:r>
            <w:fldChar w:fldCharType="separate"/>
          </w:r>
          <w:r>
            <w:rPr>
              <w:rFonts w:hint="eastAsia" w:ascii="仿宋" w:hAnsi="仿宋" w:eastAsia="仿宋" w:cs="仿宋"/>
              <w:b w:val="0"/>
              <w:bCs/>
              <w:sz w:val="32"/>
              <w:szCs w:val="32"/>
              <w:lang w:val="en-US" w:eastAsia="zh-CN"/>
            </w:rPr>
            <w:t>九、国有资本经营预算支出情况说明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_Toc24112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11</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5BFBEEF0">
          <w:pPr>
            <w:pStyle w:val="14"/>
            <w:tabs>
              <w:tab w:val="right" w:leader="dot" w:pos="8845"/>
            </w:tabs>
            <w:rPr>
              <w:rFonts w:hint="eastAsia" w:ascii="仿宋" w:hAnsi="仿宋" w:eastAsia="仿宋" w:cs="仿宋"/>
              <w:b w:val="0"/>
              <w:bCs/>
              <w:sz w:val="32"/>
              <w:szCs w:val="32"/>
            </w:rPr>
          </w:pPr>
          <w:r>
            <w:fldChar w:fldCharType="begin"/>
          </w:r>
          <w:r>
            <w:instrText xml:space="preserve"> HYPERLINK \l "_Toc19891" </w:instrText>
          </w:r>
          <w:r>
            <w:fldChar w:fldCharType="separate"/>
          </w:r>
          <w:r>
            <w:rPr>
              <w:rFonts w:hint="eastAsia" w:ascii="仿宋" w:hAnsi="仿宋" w:eastAsia="仿宋" w:cs="仿宋"/>
              <w:b w:val="0"/>
              <w:bCs/>
              <w:sz w:val="32"/>
              <w:szCs w:val="32"/>
              <w:lang w:val="en-US" w:eastAsia="zh-CN"/>
            </w:rPr>
            <w:t>十、其他重要事项的情况说明</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_Toc19891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11</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4F6ACEB1">
          <w:pPr>
            <w:pStyle w:val="14"/>
            <w:tabs>
              <w:tab w:val="right" w:leader="dot" w:pos="8845"/>
            </w:tabs>
            <w:rPr>
              <w:rFonts w:hint="eastAsia" w:ascii="仿宋" w:hAnsi="仿宋" w:eastAsia="仿宋" w:cs="仿宋"/>
              <w:b w:val="0"/>
              <w:bCs/>
              <w:sz w:val="32"/>
              <w:szCs w:val="32"/>
            </w:rPr>
          </w:pPr>
          <w:r>
            <w:fldChar w:fldCharType="begin"/>
          </w:r>
          <w:r>
            <w:instrText xml:space="preserve"> HYPERLINK \l "_Toc14903" </w:instrText>
          </w:r>
          <w:r>
            <w:fldChar w:fldCharType="separate"/>
          </w:r>
          <w:r>
            <w:rPr>
              <w:rFonts w:hint="eastAsia" w:ascii="仿宋" w:hAnsi="仿宋" w:eastAsia="仿宋" w:cs="仿宋"/>
              <w:b w:val="0"/>
              <w:bCs/>
              <w:sz w:val="32"/>
              <w:szCs w:val="32"/>
              <w:lang w:val="en-US" w:eastAsia="zh-CN"/>
            </w:rPr>
            <w:t>十一、名词解释</w:t>
          </w:r>
          <w:r>
            <w:rPr>
              <w:rFonts w:hint="eastAsia" w:ascii="仿宋" w:hAnsi="仿宋" w:eastAsia="仿宋" w:cs="仿宋"/>
              <w:b w:val="0"/>
              <w:bCs/>
              <w:sz w:val="32"/>
              <w:szCs w:val="32"/>
            </w:rPr>
            <w:tab/>
          </w:r>
          <w:r>
            <w:rPr>
              <w:rFonts w:hint="eastAsia" w:ascii="仿宋" w:hAnsi="仿宋" w:eastAsia="仿宋" w:cs="仿宋"/>
              <w:b w:val="0"/>
              <w:bCs/>
              <w:sz w:val="32"/>
              <w:szCs w:val="32"/>
            </w:rPr>
            <w:fldChar w:fldCharType="begin"/>
          </w:r>
          <w:r>
            <w:rPr>
              <w:rFonts w:hint="eastAsia" w:ascii="仿宋" w:hAnsi="仿宋" w:eastAsia="仿宋" w:cs="仿宋"/>
              <w:b w:val="0"/>
              <w:bCs/>
              <w:sz w:val="32"/>
              <w:szCs w:val="32"/>
            </w:rPr>
            <w:instrText xml:space="preserve"> PAGEREF _Toc14903 \h </w:instrText>
          </w:r>
          <w:r>
            <w:rPr>
              <w:rFonts w:hint="eastAsia" w:ascii="仿宋" w:hAnsi="仿宋" w:eastAsia="仿宋" w:cs="仿宋"/>
              <w:b w:val="0"/>
              <w:bCs/>
              <w:sz w:val="32"/>
              <w:szCs w:val="32"/>
            </w:rPr>
            <w:fldChar w:fldCharType="separate"/>
          </w:r>
          <w:r>
            <w:rPr>
              <w:rFonts w:hint="eastAsia" w:ascii="仿宋" w:hAnsi="仿宋" w:eastAsia="仿宋" w:cs="仿宋"/>
              <w:b w:val="0"/>
              <w:bCs/>
              <w:sz w:val="32"/>
              <w:szCs w:val="32"/>
            </w:rPr>
            <w:t>12</w:t>
          </w:r>
          <w:r>
            <w:rPr>
              <w:rFonts w:hint="eastAsia" w:ascii="仿宋" w:hAnsi="仿宋" w:eastAsia="仿宋" w:cs="仿宋"/>
              <w:b w:val="0"/>
              <w:bCs/>
              <w:sz w:val="32"/>
              <w:szCs w:val="32"/>
            </w:rPr>
            <w:fldChar w:fldCharType="end"/>
          </w:r>
          <w:r>
            <w:rPr>
              <w:rFonts w:hint="eastAsia" w:ascii="仿宋" w:hAnsi="仿宋" w:eastAsia="仿宋" w:cs="仿宋"/>
              <w:b w:val="0"/>
              <w:bCs/>
              <w:sz w:val="32"/>
              <w:szCs w:val="32"/>
            </w:rPr>
            <w:fldChar w:fldCharType="end"/>
          </w:r>
        </w:p>
        <w:p w14:paraId="6AABA85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sdtContent>
    </w:sdt>
    <w:p w14:paraId="125A54C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p>
    <w:p w14:paraId="3C9C358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9AFC3E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3DDCD7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E87BA9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A0AED02">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60FB49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9F88FD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35DB57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8FB8274">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118C11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0546DF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B1BC1D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55D604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BACBA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5488"/>
      <w:r>
        <w:rPr>
          <w:rFonts w:hint="eastAsia" w:ascii="黑体" w:hAnsi="黑体" w:eastAsia="黑体" w:cs="黑体"/>
          <w:sz w:val="32"/>
          <w:szCs w:val="32"/>
          <w:lang w:val="en-US" w:eastAsia="zh-CN"/>
        </w:rPr>
        <w:t>一、基本职能及主要工作</w:t>
      </w:r>
      <w:bookmarkEnd w:id="1"/>
    </w:p>
    <w:p w14:paraId="5A711D8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338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561B2E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4E4B4A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38C1F0B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581268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31EC35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1C4543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73FD06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151F1E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5A9008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45EFB0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68D665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54806D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1837EE0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21301"/>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3CB6D0E4">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1.以党建工作为</w:t>
      </w:r>
      <w:r>
        <w:rPr>
          <w:rFonts w:hint="eastAsia" w:ascii="仿宋_GB2312" w:eastAsia="仿宋_GB2312" w:cs="Arial"/>
          <w:color w:val="auto"/>
          <w:kern w:val="2"/>
          <w:sz w:val="32"/>
          <w:szCs w:val="32"/>
          <w:lang w:val="en-US" w:eastAsia="zh-CN" w:bidi="ar-SA"/>
        </w:rPr>
        <w:t>导向</w:t>
      </w:r>
      <w:r>
        <w:rPr>
          <w:rFonts w:hint="eastAsia" w:ascii="仿宋_GB2312" w:hAnsi="Calibri" w:eastAsia="仿宋_GB2312" w:cs="Arial"/>
          <w:color w:val="auto"/>
          <w:kern w:val="2"/>
          <w:sz w:val="32"/>
          <w:szCs w:val="32"/>
          <w:lang w:val="en-US" w:eastAsia="zh-CN" w:bidi="ar-SA"/>
        </w:rPr>
        <w:t>加强思想建设</w:t>
      </w:r>
    </w:p>
    <w:p w14:paraId="30A05014">
      <w:pPr>
        <w:spacing w:line="580" w:lineRule="exact"/>
        <w:ind w:firstLine="640" w:firstLineChars="200"/>
        <w:rPr>
          <w:rFonts w:hint="default" w:ascii="仿宋_GB2312" w:hAnsi="Calibri" w:eastAsia="仿宋_GB2312" w:cs="Arial"/>
          <w:color w:val="auto"/>
          <w:kern w:val="2"/>
          <w:sz w:val="32"/>
          <w:szCs w:val="32"/>
          <w:lang w:val="en-US" w:eastAsia="zh-CN" w:bidi="ar-SA"/>
        </w:rPr>
      </w:pPr>
      <w:r>
        <w:rPr>
          <w:rFonts w:hint="eastAsia" w:ascii="仿宋_GB2312" w:eastAsia="仿宋_GB2312" w:cs="Arial"/>
          <w:color w:val="auto"/>
          <w:kern w:val="2"/>
          <w:sz w:val="32"/>
          <w:szCs w:val="32"/>
          <w:lang w:val="en-US" w:eastAsia="zh-CN" w:bidi="ar-SA"/>
        </w:rPr>
        <w:t>（1）</w:t>
      </w:r>
      <w:r>
        <w:rPr>
          <w:rFonts w:hint="eastAsia" w:ascii="仿宋_GB2312" w:hAnsi="Calibri" w:eastAsia="仿宋_GB2312" w:cs="Arial"/>
          <w:color w:val="auto"/>
          <w:kern w:val="2"/>
          <w:sz w:val="32"/>
          <w:szCs w:val="32"/>
          <w:lang w:val="en-US" w:eastAsia="zh-CN" w:bidi="ar-SA"/>
        </w:rPr>
        <w:t>依托学习载体，加强思想建设，提升理论素养</w:t>
      </w:r>
      <w:r>
        <w:rPr>
          <w:rFonts w:hint="eastAsia" w:ascii="仿宋_GB2312" w:eastAsia="仿宋_GB2312" w:cs="Arial"/>
          <w:color w:val="auto"/>
          <w:kern w:val="2"/>
          <w:sz w:val="32"/>
          <w:szCs w:val="32"/>
          <w:lang w:val="en-US" w:eastAsia="zh-CN" w:bidi="ar-SA"/>
        </w:rPr>
        <w:t>。</w:t>
      </w:r>
    </w:p>
    <w:p w14:paraId="7EC8F373">
      <w:pPr>
        <w:spacing w:line="580"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eastAsia="仿宋_GB2312" w:cs="Arial"/>
          <w:color w:val="auto"/>
          <w:kern w:val="2"/>
          <w:sz w:val="32"/>
          <w:szCs w:val="32"/>
          <w:lang w:val="en-US" w:eastAsia="zh-CN" w:bidi="ar-SA"/>
        </w:rPr>
        <w:t>（2）</w:t>
      </w:r>
      <w:r>
        <w:rPr>
          <w:rFonts w:hint="eastAsia" w:ascii="仿宋_GB2312" w:hAnsi="Calibri" w:eastAsia="仿宋_GB2312" w:cs="Arial"/>
          <w:color w:val="auto"/>
          <w:kern w:val="2"/>
          <w:sz w:val="32"/>
          <w:szCs w:val="32"/>
          <w:lang w:val="en-US" w:eastAsia="zh-CN" w:bidi="ar-SA"/>
        </w:rPr>
        <w:t>抓好党建促行风</w:t>
      </w:r>
      <w:r>
        <w:rPr>
          <w:rFonts w:hint="eastAsia" w:ascii="仿宋_GB2312" w:eastAsia="仿宋_GB2312" w:cs="Arial"/>
          <w:color w:val="auto"/>
          <w:kern w:val="2"/>
          <w:sz w:val="32"/>
          <w:szCs w:val="32"/>
          <w:lang w:val="en-US" w:eastAsia="zh-CN" w:bidi="ar-SA"/>
        </w:rPr>
        <w:t>。</w:t>
      </w:r>
    </w:p>
    <w:p w14:paraId="0EC385E1">
      <w:pPr>
        <w:spacing w:line="580"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eastAsia="仿宋_GB2312" w:cs="Arial"/>
          <w:color w:val="auto"/>
          <w:kern w:val="2"/>
          <w:sz w:val="32"/>
          <w:szCs w:val="32"/>
          <w:lang w:val="en-US" w:eastAsia="zh-CN" w:bidi="ar-SA"/>
        </w:rPr>
        <w:t>（3）</w:t>
      </w:r>
      <w:r>
        <w:rPr>
          <w:rFonts w:hint="eastAsia" w:ascii="仿宋_GB2312" w:hAnsi="Calibri" w:eastAsia="仿宋_GB2312" w:cs="Arial"/>
          <w:color w:val="auto"/>
          <w:kern w:val="2"/>
          <w:sz w:val="32"/>
          <w:szCs w:val="32"/>
          <w:lang w:val="en-US" w:eastAsia="zh-CN" w:bidi="ar-SA"/>
        </w:rPr>
        <w:t>加强教育管理，促进组织建设，提高组织能力</w:t>
      </w:r>
    </w:p>
    <w:p w14:paraId="76086D6A">
      <w:pPr>
        <w:spacing w:line="580" w:lineRule="exact"/>
        <w:ind w:firstLine="640" w:firstLineChars="200"/>
        <w:rPr>
          <w:rFonts w:hint="default" w:ascii="仿宋_GB2312" w:hAnsi="Calibri" w:eastAsia="仿宋_GB2312" w:cs="Arial"/>
          <w:color w:val="auto"/>
          <w:kern w:val="2"/>
          <w:sz w:val="32"/>
          <w:szCs w:val="32"/>
          <w:lang w:val="en-US" w:eastAsia="zh-CN" w:bidi="ar-SA"/>
        </w:rPr>
      </w:pPr>
      <w:r>
        <w:rPr>
          <w:rFonts w:hint="eastAsia" w:ascii="仿宋_GB2312" w:eastAsia="仿宋_GB2312" w:cs="Arial"/>
          <w:color w:val="auto"/>
          <w:kern w:val="2"/>
          <w:sz w:val="32"/>
          <w:szCs w:val="32"/>
          <w:lang w:val="en-US" w:eastAsia="zh-CN" w:bidi="ar-SA"/>
        </w:rPr>
        <w:t>（4）</w:t>
      </w:r>
      <w:r>
        <w:rPr>
          <w:rFonts w:hint="eastAsia" w:ascii="仿宋_GB2312" w:hAnsi="Calibri" w:eastAsia="仿宋_GB2312" w:cs="Arial"/>
          <w:color w:val="auto"/>
          <w:kern w:val="2"/>
          <w:sz w:val="32"/>
          <w:szCs w:val="32"/>
          <w:lang w:val="en-US" w:eastAsia="zh-CN" w:bidi="ar-SA"/>
        </w:rPr>
        <w:t>围绕中心促发</w:t>
      </w:r>
      <w:r>
        <w:rPr>
          <w:rFonts w:hint="eastAsia" w:ascii="仿宋_GB2312" w:eastAsia="仿宋_GB2312" w:cs="Arial"/>
          <w:color w:val="auto"/>
          <w:kern w:val="2"/>
          <w:sz w:val="32"/>
          <w:szCs w:val="32"/>
          <w:lang w:val="en-US" w:eastAsia="zh-CN" w:bidi="ar-SA"/>
        </w:rPr>
        <w:t>展。</w:t>
      </w:r>
    </w:p>
    <w:p w14:paraId="4CC13B87">
      <w:pPr>
        <w:spacing w:line="580"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eastAsia="仿宋_GB2312" w:cs="Arial"/>
          <w:color w:val="auto"/>
          <w:kern w:val="2"/>
          <w:sz w:val="32"/>
          <w:szCs w:val="32"/>
          <w:lang w:val="en-US" w:eastAsia="zh-CN" w:bidi="ar-SA"/>
        </w:rPr>
        <w:t>（5）</w:t>
      </w:r>
      <w:r>
        <w:rPr>
          <w:rFonts w:hint="eastAsia" w:ascii="仿宋_GB2312" w:hAnsi="Calibri" w:eastAsia="仿宋_GB2312" w:cs="Arial"/>
          <w:color w:val="auto"/>
          <w:kern w:val="2"/>
          <w:sz w:val="32"/>
          <w:szCs w:val="32"/>
          <w:lang w:val="en-US" w:eastAsia="zh-CN" w:bidi="ar-SA"/>
        </w:rPr>
        <w:t>健全监督机制，加强作风建设，促进健康发展</w:t>
      </w:r>
    </w:p>
    <w:p w14:paraId="0426D8F6">
      <w:pPr>
        <w:spacing w:line="580"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eastAsia="仿宋_GB2312" w:cs="Arial"/>
          <w:color w:val="auto"/>
          <w:kern w:val="2"/>
          <w:sz w:val="32"/>
          <w:szCs w:val="32"/>
          <w:lang w:val="en-US" w:eastAsia="zh-CN" w:bidi="ar-SA"/>
        </w:rPr>
        <w:t>（6）</w:t>
      </w:r>
      <w:r>
        <w:rPr>
          <w:rFonts w:hint="eastAsia" w:ascii="仿宋_GB2312" w:hAnsi="Calibri" w:eastAsia="仿宋_GB2312" w:cs="Arial"/>
          <w:color w:val="auto"/>
          <w:kern w:val="2"/>
          <w:sz w:val="32"/>
          <w:szCs w:val="32"/>
          <w:lang w:val="en-US" w:eastAsia="zh-CN" w:bidi="ar-SA"/>
        </w:rPr>
        <w:t>加强民主管理，落实制度建设，推进依法治校</w:t>
      </w:r>
    </w:p>
    <w:p w14:paraId="232AB87C">
      <w:pPr>
        <w:spacing w:line="580"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eastAsia="仿宋_GB2312" w:cs="Arial"/>
          <w:color w:val="auto"/>
          <w:kern w:val="2"/>
          <w:sz w:val="32"/>
          <w:szCs w:val="32"/>
          <w:lang w:val="en-US" w:eastAsia="zh-CN" w:bidi="ar-SA"/>
        </w:rPr>
        <w:t>（7）</w:t>
      </w:r>
      <w:r>
        <w:rPr>
          <w:rFonts w:hint="eastAsia" w:ascii="仿宋_GB2312" w:hAnsi="Calibri" w:eastAsia="仿宋_GB2312" w:cs="Arial"/>
          <w:color w:val="auto"/>
          <w:kern w:val="2"/>
          <w:sz w:val="32"/>
          <w:szCs w:val="32"/>
          <w:lang w:val="en-US" w:eastAsia="zh-CN" w:bidi="ar-SA"/>
        </w:rPr>
        <w:t>丰富活动</w:t>
      </w:r>
      <w:r>
        <w:rPr>
          <w:rFonts w:hint="eastAsia" w:ascii="仿宋_GB2312" w:eastAsia="仿宋_GB2312" w:cs="Arial"/>
          <w:color w:val="auto"/>
          <w:kern w:val="2"/>
          <w:sz w:val="32"/>
          <w:szCs w:val="32"/>
          <w:lang w:val="en-US" w:eastAsia="zh-CN" w:bidi="ar-SA"/>
        </w:rPr>
        <w:t>带动群</w:t>
      </w:r>
      <w:r>
        <w:rPr>
          <w:rFonts w:hint="eastAsia" w:ascii="仿宋_GB2312" w:hAnsi="Calibri" w:eastAsia="仿宋_GB2312" w:cs="Arial"/>
          <w:color w:val="auto"/>
          <w:kern w:val="2"/>
          <w:sz w:val="32"/>
          <w:szCs w:val="32"/>
          <w:lang w:val="en-US" w:eastAsia="zh-CN" w:bidi="ar-SA"/>
        </w:rPr>
        <w:t>体</w:t>
      </w:r>
      <w:r>
        <w:rPr>
          <w:rFonts w:hint="eastAsia" w:ascii="仿宋_GB2312" w:eastAsia="仿宋_GB2312" w:cs="Arial"/>
          <w:color w:val="auto"/>
          <w:kern w:val="2"/>
          <w:sz w:val="32"/>
          <w:szCs w:val="32"/>
          <w:lang w:val="en-US" w:eastAsia="zh-CN" w:bidi="ar-SA"/>
        </w:rPr>
        <w:t>。</w:t>
      </w:r>
    </w:p>
    <w:p w14:paraId="7AE608D7">
      <w:pPr>
        <w:pStyle w:val="16"/>
        <w:spacing w:line="576" w:lineRule="exact"/>
        <w:ind w:firstLine="64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2</w:t>
      </w:r>
      <w:r>
        <w:rPr>
          <w:rFonts w:hint="eastAsia" w:ascii="仿宋_GB2312" w:eastAsia="仿宋_GB2312" w:cs="Arial"/>
          <w:color w:val="auto"/>
          <w:kern w:val="2"/>
          <w:sz w:val="32"/>
          <w:szCs w:val="32"/>
          <w:lang w:val="en-US" w:eastAsia="zh-CN" w:bidi="ar-SA"/>
        </w:rPr>
        <w:t>.</w:t>
      </w:r>
      <w:r>
        <w:rPr>
          <w:rFonts w:hint="eastAsia" w:ascii="仿宋_GB2312" w:hAnsi="Calibri" w:eastAsia="仿宋_GB2312" w:cs="Arial"/>
          <w:color w:val="auto"/>
          <w:kern w:val="2"/>
          <w:sz w:val="32"/>
          <w:szCs w:val="32"/>
          <w:lang w:val="en-US" w:eastAsia="zh-CN" w:bidi="ar-SA"/>
        </w:rPr>
        <w:t>以安全教育为常态，维护校园稳定</w:t>
      </w:r>
    </w:p>
    <w:p w14:paraId="48A2B163">
      <w:pPr>
        <w:pStyle w:val="16"/>
        <w:spacing w:line="576" w:lineRule="exact"/>
        <w:ind w:firstLine="64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抓好安全常规教育，每位教师要明确自己的安全责任，强化安全管理意识，增强师生的安全防范意识和能力。利用校会、班会、国旗下讲话、班级文化墙等，根据季节的不同有针对性地对师生进行安全教</w:t>
      </w:r>
      <w:r>
        <w:rPr>
          <w:rFonts w:hint="eastAsia" w:ascii="仿宋_GB2312" w:eastAsia="仿宋_GB2312" w:cs="Arial"/>
          <w:color w:val="auto"/>
          <w:kern w:val="2"/>
          <w:sz w:val="32"/>
          <w:szCs w:val="32"/>
          <w:lang w:val="en-US" w:eastAsia="zh-CN" w:bidi="ar-SA"/>
        </w:rPr>
        <w:t>育。如交通安全</w:t>
      </w:r>
      <w:r>
        <w:rPr>
          <w:rFonts w:hint="eastAsia" w:ascii="仿宋_GB2312" w:hAnsi="Calibri" w:eastAsia="仿宋_GB2312" w:cs="Arial"/>
          <w:color w:val="auto"/>
          <w:kern w:val="2"/>
          <w:sz w:val="32"/>
          <w:szCs w:val="32"/>
          <w:lang w:val="en-US" w:eastAsia="zh-CN" w:bidi="ar-SA"/>
        </w:rPr>
        <w:t>、用电安全、防火、防食物中毒、各种传染病的预防、校内外活动安全等。</w:t>
      </w:r>
    </w:p>
    <w:p w14:paraId="39CA7AEF">
      <w:pPr>
        <w:snapToGrid w:val="0"/>
        <w:spacing w:line="576" w:lineRule="exact"/>
        <w:ind w:firstLine="640" w:firstLineChars="200"/>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（1）加强学校的安全教育工作，学校统一拟写《安全工作计划</w:t>
      </w:r>
      <w:r>
        <w:rPr>
          <w:rFonts w:hint="eastAsia" w:ascii="仿宋_GB2312" w:eastAsia="仿宋_GB2312" w:cs="Arial"/>
          <w:color w:val="auto"/>
          <w:kern w:val="2"/>
          <w:sz w:val="32"/>
          <w:szCs w:val="32"/>
          <w:lang w:val="en-US" w:eastAsia="zh-CN" w:bidi="ar-SA"/>
        </w:rPr>
        <w:t>，制定</w:t>
      </w:r>
      <w:r>
        <w:rPr>
          <w:rFonts w:hint="eastAsia" w:ascii="仿宋_GB2312" w:hAnsi="Calibri" w:eastAsia="仿宋_GB2312" w:cs="Arial"/>
          <w:color w:val="auto"/>
          <w:kern w:val="2"/>
          <w:sz w:val="32"/>
          <w:szCs w:val="32"/>
          <w:lang w:val="en-US" w:eastAsia="zh-CN" w:bidi="ar-SA"/>
        </w:rPr>
        <w:t>各类人员安全责任书，组织层层</w:t>
      </w:r>
      <w:r>
        <w:rPr>
          <w:rFonts w:hint="eastAsia" w:ascii="仿宋_GB2312" w:eastAsia="仿宋_GB2312" w:cs="Arial"/>
          <w:color w:val="auto"/>
          <w:kern w:val="2"/>
          <w:sz w:val="32"/>
          <w:szCs w:val="32"/>
          <w:lang w:val="en-US" w:eastAsia="zh-CN" w:bidi="ar-SA"/>
        </w:rPr>
        <w:t>签订安</w:t>
      </w:r>
      <w:r>
        <w:rPr>
          <w:rFonts w:hint="eastAsia" w:ascii="仿宋_GB2312" w:hAnsi="Calibri" w:eastAsia="仿宋_GB2312" w:cs="Arial"/>
          <w:color w:val="auto"/>
          <w:kern w:val="2"/>
          <w:sz w:val="32"/>
          <w:szCs w:val="32"/>
          <w:lang w:val="en-US" w:eastAsia="zh-CN" w:bidi="ar-SA"/>
        </w:rPr>
        <w:t>全责任书。明确各部门、各类人员的职责，确保学校安全工作有人管，有人抓，有人落实，做到安全工作无小事。事事讲、时时讲的良好安全工作局面。</w:t>
      </w:r>
    </w:p>
    <w:p w14:paraId="4054991B">
      <w:pPr>
        <w:snapToGrid w:val="0"/>
        <w:spacing w:line="576" w:lineRule="exact"/>
        <w:ind w:firstLine="640" w:firstLineChars="200"/>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学校每周工作安排，必须将安全工作放在首位。每周工作小结，首先总结本周工作中的安全工作是否做到了位。利用黑板报、学校红领巾广播站等媒体对学生进行安全强化教育。安全和纪律是相辅相成的。少先队组织要将安全教育、纪律教育统一考虑，在对学生进行日常行为</w:t>
      </w:r>
      <w:r>
        <w:rPr>
          <w:rFonts w:hint="eastAsia" w:ascii="仿宋_GB2312" w:eastAsia="仿宋_GB2312" w:cs="Arial"/>
          <w:color w:val="auto"/>
          <w:kern w:val="2"/>
          <w:sz w:val="32"/>
          <w:szCs w:val="32"/>
          <w:lang w:val="en-US" w:eastAsia="zh-CN" w:bidi="ar-SA"/>
        </w:rPr>
        <w:t>规范教育，</w:t>
      </w:r>
      <w:r>
        <w:rPr>
          <w:rFonts w:hint="eastAsia" w:ascii="仿宋_GB2312" w:hAnsi="Calibri" w:eastAsia="仿宋_GB2312" w:cs="Arial"/>
          <w:color w:val="auto"/>
          <w:kern w:val="2"/>
          <w:sz w:val="32"/>
          <w:szCs w:val="32"/>
          <w:lang w:val="en-US" w:eastAsia="zh-CN" w:bidi="ar-SA"/>
        </w:rPr>
        <w:t>纪律教育的同时，也要对学生进行安全教育。针对学生中的具有代表性的问题，进行安全知识讲座，适时请派出所公安干警，对学生进行</w:t>
      </w:r>
      <w:r>
        <w:rPr>
          <w:rFonts w:hint="eastAsia" w:ascii="仿宋_GB2312" w:eastAsia="仿宋_GB2312" w:cs="Arial"/>
          <w:color w:val="auto"/>
          <w:kern w:val="2"/>
          <w:sz w:val="32"/>
          <w:szCs w:val="32"/>
          <w:lang w:val="en-US" w:eastAsia="zh-CN" w:bidi="ar-SA"/>
        </w:rPr>
        <w:t>法治教育和</w:t>
      </w:r>
      <w:r>
        <w:rPr>
          <w:rFonts w:hint="eastAsia" w:ascii="仿宋_GB2312" w:hAnsi="Calibri" w:eastAsia="仿宋_GB2312" w:cs="Arial"/>
          <w:color w:val="auto"/>
          <w:kern w:val="2"/>
          <w:sz w:val="32"/>
          <w:szCs w:val="32"/>
          <w:lang w:val="en-US" w:eastAsia="zh-CN" w:bidi="ar-SA"/>
        </w:rPr>
        <w:t>道路安全知识教育。</w:t>
      </w:r>
    </w:p>
    <w:p w14:paraId="394394B0">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2）加强教师安全防范的责任主体意识，教育学生增强自我保护意识和自我保护能力。让班主任和任课教师认识到自己是班级、课堂教育教学过程中安全工作的第一责任人。加强学生安全教育，加强对学生的安全知识教育。学校利用校园广播及宣传橱窗和黑板报等设施设备，对学生进行安全知识宣传和专题讲座，提高学生的安全意识和自我保护意识，防患于未然。组织各种活动教育学生。</w:t>
      </w:r>
    </w:p>
    <w:p w14:paraId="0EF99E3A">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3）对校舍进行定期、全面的检查。在雨季、大风天来临之际对校舍进行全面彻底的检查。平时时刻留心校舍安全，如发现问题及时上报，进行修理。学校的危险建筑，聘请质监人员负责监督质量，学校行政派专人负责检查、监督工作。</w:t>
      </w:r>
    </w:p>
    <w:p w14:paraId="5AABA8DA">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（4）加强学生交通</w:t>
      </w:r>
      <w:r>
        <w:rPr>
          <w:rFonts w:hint="eastAsia" w:ascii="仿宋_GB2312" w:eastAsia="仿宋_GB2312" w:cs="Arial"/>
          <w:color w:val="auto"/>
          <w:kern w:val="2"/>
          <w:sz w:val="32"/>
          <w:szCs w:val="32"/>
          <w:lang w:val="en-US" w:eastAsia="zh-CN" w:bidi="ar-SA"/>
        </w:rPr>
        <w:t>安全教育</w:t>
      </w:r>
      <w:r>
        <w:rPr>
          <w:rFonts w:hint="eastAsia" w:ascii="仿宋_GB2312" w:hAnsi="Calibri" w:eastAsia="仿宋_GB2312" w:cs="Arial"/>
          <w:color w:val="auto"/>
          <w:kern w:val="2"/>
          <w:sz w:val="32"/>
          <w:szCs w:val="32"/>
          <w:lang w:val="en-US" w:eastAsia="zh-CN" w:bidi="ar-SA"/>
        </w:rPr>
        <w:t>。规定十二周岁以下学生不准骑自行车来校。“三无”车不得进校。要利用</w:t>
      </w:r>
      <w:r>
        <w:rPr>
          <w:rFonts w:hint="eastAsia" w:ascii="仿宋_GB2312" w:eastAsia="仿宋_GB2312" w:cs="Arial"/>
          <w:color w:val="auto"/>
          <w:kern w:val="2"/>
          <w:sz w:val="32"/>
          <w:szCs w:val="32"/>
          <w:lang w:val="en-US" w:eastAsia="zh-CN" w:bidi="ar-SA"/>
        </w:rPr>
        <w:t>早操课，</w:t>
      </w:r>
      <w:r>
        <w:rPr>
          <w:rFonts w:hint="eastAsia" w:ascii="仿宋_GB2312" w:hAnsi="Calibri" w:eastAsia="仿宋_GB2312" w:cs="Arial"/>
          <w:color w:val="auto"/>
          <w:kern w:val="2"/>
          <w:sz w:val="32"/>
          <w:szCs w:val="32"/>
          <w:lang w:val="en-US" w:eastAsia="zh-CN" w:bidi="ar-SA"/>
        </w:rPr>
        <w:t>班会课对学生进行交通安全教育。每学期至少3次</w:t>
      </w:r>
      <w:r>
        <w:commentReference w:id="0"/>
      </w:r>
      <w:r>
        <w:rPr>
          <w:rFonts w:hint="eastAsia" w:ascii="仿宋_GB2312" w:eastAsia="仿宋_GB2312" w:cs="Arial"/>
          <w:color w:val="auto"/>
          <w:kern w:val="2"/>
          <w:sz w:val="32"/>
          <w:szCs w:val="32"/>
          <w:lang w:val="en-US" w:eastAsia="zh-CN" w:bidi="ar-SA"/>
        </w:rPr>
        <w:t>安全</w:t>
      </w:r>
      <w:r>
        <w:rPr>
          <w:rFonts w:hint="eastAsia" w:ascii="仿宋_GB2312" w:hAnsi="Calibri" w:eastAsia="仿宋_GB2312" w:cs="Arial"/>
          <w:color w:val="auto"/>
          <w:kern w:val="2"/>
          <w:sz w:val="32"/>
          <w:szCs w:val="32"/>
          <w:lang w:val="en-US" w:eastAsia="zh-CN" w:bidi="ar-SA"/>
        </w:rPr>
        <w:t>教育。</w:t>
      </w:r>
    </w:p>
    <w:p w14:paraId="25857B53">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5）切实加强学校消防工作。对实验室、易燃、易爆物品进行专人专锁。加强对厨房、仓库、图书室的防火意识。每月检查设备设施，排除隐患。加强对公共场所消防安全管理。实验室、电脑室等重要部位和场所除按规定配备灭火器材外，还要经常检查用电线路是否完好，电器设施设备安装是否符合规范要求，凡有安全隐患立即更换或纠正。</w:t>
      </w:r>
    </w:p>
    <w:p w14:paraId="3B06EA87">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（6）加强防盗工作。落实节假日24小时值班制度，对电脑、实验室、多媒体教室等教室加强防盗门措施，对贵重设施设备落实保管负责人，节假日安排教师值日，确保学校的安全。</w:t>
      </w:r>
    </w:p>
    <w:p w14:paraId="69B54AB0">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7）学校后勤坚持走服务育人，管理育人之路，认真贯彻“健康第一，预防为主”的方针，教育学生不吃腐烂变质食物。开学初，召开食堂职工会议，认真组织学习《学校食堂与学生集体用餐卫生管理规定》，重申分工规定，责任到人，严格采购、贮存、保管和消毒制度，严格实行生熟分开，检查各项设施的完好程度。组织炊事人员进行体检，严格禁止传染病源携带者从事食堂服务工作。禁止采购“三无”食品，严防破坏事件发生。食堂经常进行冲洗，搞好内部环境工作，做好防鼠、防毒</w:t>
      </w:r>
      <w:r>
        <w:rPr>
          <w:rFonts w:hint="eastAsia" w:ascii="仿宋_GB2312" w:eastAsia="仿宋_GB2312" w:cs="Arial"/>
          <w:color w:val="auto"/>
          <w:kern w:val="2"/>
          <w:sz w:val="32"/>
          <w:szCs w:val="32"/>
          <w:lang w:val="en-US" w:eastAsia="zh-CN" w:bidi="ar-SA"/>
        </w:rPr>
        <w:t>等工作</w:t>
      </w:r>
      <w:r>
        <w:commentReference w:id="1"/>
      </w:r>
      <w:r>
        <w:rPr>
          <w:rFonts w:hint="eastAsia" w:ascii="仿宋_GB2312" w:hAnsi="Calibri" w:eastAsia="仿宋_GB2312" w:cs="Arial"/>
          <w:color w:val="auto"/>
          <w:kern w:val="2"/>
          <w:sz w:val="32"/>
          <w:szCs w:val="32"/>
          <w:lang w:val="en-US" w:eastAsia="zh-CN" w:bidi="ar-SA"/>
        </w:rPr>
        <w:t>。</w:t>
      </w:r>
    </w:p>
    <w:p w14:paraId="0789846D">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8）加强校内学生活动的安全工作，要求教师对学生进行安全教育，不做危险性游戏。体育课上，教师要工作到位，思想集中，严格督促学生的动作规范，方法科学。开展一系列大型活动前，必须上报批准后再落实活动，认真组织，确保安全，不管是教师还是学生，都要把安全放在第一位，不得离群，不得上危险地段，不得做危险举动，保证活动安全顺利地进行。对学校体育器械及场地</w:t>
      </w:r>
      <w:r>
        <w:rPr>
          <w:rFonts w:hint="eastAsia" w:ascii="仿宋_GB2312" w:eastAsia="仿宋_GB2312" w:cs="Arial"/>
          <w:color w:val="auto"/>
          <w:kern w:val="2"/>
          <w:sz w:val="32"/>
          <w:szCs w:val="32"/>
          <w:lang w:val="en-US" w:eastAsia="zh-CN" w:bidi="ar-SA"/>
        </w:rPr>
        <w:t>进行定期检</w:t>
      </w:r>
      <w:r>
        <w:rPr>
          <w:rFonts w:hint="eastAsia" w:ascii="仿宋_GB2312" w:hAnsi="Calibri" w:eastAsia="仿宋_GB2312" w:cs="Arial"/>
          <w:color w:val="auto"/>
          <w:kern w:val="2"/>
          <w:sz w:val="32"/>
          <w:szCs w:val="32"/>
          <w:lang w:val="en-US" w:eastAsia="zh-CN" w:bidi="ar-SA"/>
        </w:rPr>
        <w:t>查。对不合格</w:t>
      </w:r>
      <w:r>
        <w:rPr>
          <w:rFonts w:hint="eastAsia" w:ascii="仿宋_GB2312" w:eastAsia="仿宋_GB2312" w:cs="Arial"/>
          <w:color w:val="auto"/>
          <w:kern w:val="2"/>
          <w:sz w:val="32"/>
          <w:szCs w:val="32"/>
          <w:lang w:val="en-US" w:eastAsia="zh-CN" w:bidi="ar-SA"/>
        </w:rPr>
        <w:t>、有</w:t>
      </w:r>
      <w:r>
        <w:rPr>
          <w:rFonts w:hint="eastAsia" w:ascii="仿宋_GB2312" w:hAnsi="Calibri" w:eastAsia="仿宋_GB2312" w:cs="Arial"/>
          <w:color w:val="auto"/>
          <w:kern w:val="2"/>
          <w:sz w:val="32"/>
          <w:szCs w:val="32"/>
          <w:lang w:val="en-US" w:eastAsia="zh-CN" w:bidi="ar-SA"/>
        </w:rPr>
        <w:t>危险的器械立即拆除，对损坏的一经发现立即加固、修理，篮球架软包，防止学生运动受伤。</w:t>
      </w:r>
    </w:p>
    <w:p w14:paraId="30A5F99C">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9）加强门卫管理制度的落实，对外来人员、车辆、物资进行登记、核对，时刻提高责任心及警惕心。学生不得在陌生人带领下进出校门，确保学生人身安全。在晚上和假期中多巡逻、多留心、多检查，防止外来人员进入学校，对学校造成不必要的损害。</w:t>
      </w:r>
    </w:p>
    <w:p w14:paraId="53165F77">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（10</w:t>
      </w:r>
      <w:r>
        <w:rPr>
          <w:rFonts w:hint="eastAsia" w:ascii="仿宋_GB2312" w:eastAsia="仿宋_GB2312" w:cs="Arial"/>
          <w:color w:val="auto"/>
          <w:kern w:val="2"/>
          <w:sz w:val="32"/>
          <w:szCs w:val="32"/>
          <w:lang w:val="en-US" w:eastAsia="zh-CN" w:bidi="ar-SA"/>
        </w:rPr>
        <w:t>）学校聘</w:t>
      </w:r>
      <w:r>
        <w:rPr>
          <w:rFonts w:hint="eastAsia" w:ascii="仿宋_GB2312" w:hAnsi="Calibri" w:eastAsia="仿宋_GB2312" w:cs="Arial"/>
          <w:color w:val="auto"/>
          <w:kern w:val="2"/>
          <w:sz w:val="32"/>
          <w:szCs w:val="32"/>
          <w:lang w:val="en-US" w:eastAsia="zh-CN" w:bidi="ar-SA"/>
        </w:rPr>
        <w:t>请法</w:t>
      </w:r>
      <w:r>
        <w:rPr>
          <w:rFonts w:hint="eastAsia" w:ascii="仿宋_GB2312" w:eastAsia="仿宋_GB2312" w:cs="Arial"/>
          <w:color w:val="auto"/>
          <w:kern w:val="2"/>
          <w:sz w:val="32"/>
          <w:szCs w:val="32"/>
          <w:lang w:val="en-US" w:eastAsia="zh-CN" w:bidi="ar-SA"/>
        </w:rPr>
        <w:t>治副校长</w:t>
      </w:r>
      <w:r>
        <w:rPr>
          <w:rFonts w:hint="eastAsia" w:ascii="仿宋_GB2312" w:hAnsi="Calibri" w:eastAsia="仿宋_GB2312" w:cs="Arial"/>
          <w:color w:val="auto"/>
          <w:kern w:val="2"/>
          <w:sz w:val="32"/>
          <w:szCs w:val="32"/>
          <w:lang w:val="en-US" w:eastAsia="zh-CN" w:bidi="ar-SA"/>
        </w:rPr>
        <w:t>定期来校作报告</w:t>
      </w:r>
      <w:r>
        <w:rPr>
          <w:rFonts w:hint="eastAsia" w:ascii="仿宋_GB2312" w:eastAsia="仿宋_GB2312" w:cs="Arial"/>
          <w:color w:val="auto"/>
          <w:kern w:val="2"/>
          <w:sz w:val="32"/>
          <w:szCs w:val="32"/>
          <w:lang w:val="en-US" w:eastAsia="zh-CN" w:bidi="ar-SA"/>
        </w:rPr>
        <w:t>。教</w:t>
      </w:r>
      <w:r>
        <w:rPr>
          <w:rFonts w:hint="eastAsia" w:ascii="仿宋_GB2312" w:hAnsi="Calibri" w:eastAsia="仿宋_GB2312" w:cs="Arial"/>
          <w:color w:val="auto"/>
          <w:kern w:val="2"/>
          <w:sz w:val="32"/>
          <w:szCs w:val="32"/>
          <w:lang w:val="en-US" w:eastAsia="zh-CN" w:bidi="ar-SA"/>
        </w:rPr>
        <w:t>育学生注意交通安全，不犯法、不犯罪。多种形式召开家长会，与家长沟通，让家长明确责任，加强对学生的安全教育。</w:t>
      </w:r>
    </w:p>
    <w:p w14:paraId="0DF4A148">
      <w:pPr>
        <w:snapToGrid w:val="0"/>
        <w:spacing w:line="576" w:lineRule="exact"/>
        <w:ind w:firstLine="555"/>
        <w:textAlignment w:val="baseline"/>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（11</w:t>
      </w:r>
      <w:r>
        <w:rPr>
          <w:rFonts w:hint="eastAsia" w:ascii="仿宋_GB2312" w:eastAsia="仿宋_GB2312" w:cs="Arial"/>
          <w:color w:val="auto"/>
          <w:kern w:val="2"/>
          <w:sz w:val="32"/>
          <w:szCs w:val="32"/>
          <w:lang w:val="en-US" w:eastAsia="zh-CN" w:bidi="ar-SA"/>
        </w:rPr>
        <w:t>）学生</w:t>
      </w:r>
      <w:r>
        <w:rPr>
          <w:rFonts w:hint="eastAsia" w:ascii="仿宋_GB2312" w:hAnsi="Calibri" w:eastAsia="仿宋_GB2312" w:cs="Arial"/>
          <w:color w:val="auto"/>
          <w:kern w:val="2"/>
          <w:sz w:val="32"/>
          <w:szCs w:val="32"/>
          <w:lang w:val="en-US" w:eastAsia="zh-CN" w:bidi="ar-SA"/>
        </w:rPr>
        <w:t>外出参加校外活动的安全工作。凡带领学生外出开展活动，如公益活动、社会实践以及研学等活动，必须先做好安全应急预案，报学校主要负责人审批后方可实施。在实施过程中必须确保学生安全，参加的教师是安全第一责任人，必须全程陪同</w:t>
      </w:r>
      <w:r>
        <w:rPr>
          <w:rFonts w:hint="eastAsia" w:ascii="仿宋_GB2312" w:eastAsia="仿宋_GB2312" w:cs="Arial"/>
          <w:color w:val="auto"/>
          <w:kern w:val="2"/>
          <w:sz w:val="32"/>
          <w:szCs w:val="32"/>
          <w:lang w:val="en-US" w:eastAsia="zh-CN" w:bidi="ar-SA"/>
        </w:rPr>
        <w:t>、管</w:t>
      </w:r>
      <w:r>
        <w:rPr>
          <w:rFonts w:hint="eastAsia" w:ascii="仿宋_GB2312" w:hAnsi="Calibri" w:eastAsia="仿宋_GB2312" w:cs="Arial"/>
          <w:color w:val="auto"/>
          <w:kern w:val="2"/>
          <w:sz w:val="32"/>
          <w:szCs w:val="32"/>
          <w:lang w:val="en-US" w:eastAsia="zh-CN" w:bidi="ar-SA"/>
        </w:rPr>
        <w:t>理学生，不得随意离开。</w:t>
      </w:r>
    </w:p>
    <w:p w14:paraId="7B5F44B2">
      <w:pPr>
        <w:pStyle w:val="16"/>
        <w:numPr>
          <w:ilvl w:val="0"/>
          <w:numId w:val="0"/>
        </w:numPr>
        <w:spacing w:line="576" w:lineRule="exact"/>
        <w:ind w:left="1360" w:leftChars="0" w:hanging="720" w:firstLineChars="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3</w:t>
      </w:r>
      <w:r>
        <w:rPr>
          <w:rFonts w:hint="eastAsia" w:ascii="仿宋_GB2312" w:eastAsia="仿宋_GB2312" w:cs="Arial"/>
          <w:color w:val="auto"/>
          <w:kern w:val="2"/>
          <w:sz w:val="32"/>
          <w:szCs w:val="32"/>
          <w:lang w:val="en-US" w:eastAsia="zh-CN" w:bidi="ar-SA"/>
        </w:rPr>
        <w:t>.</w:t>
      </w:r>
      <w:r>
        <w:rPr>
          <w:rFonts w:hint="eastAsia" w:ascii="仿宋_GB2312" w:hAnsi="Calibri" w:eastAsia="仿宋_GB2312" w:cs="Arial"/>
          <w:color w:val="auto"/>
          <w:kern w:val="2"/>
          <w:sz w:val="32"/>
          <w:szCs w:val="32"/>
          <w:lang w:val="en-US" w:eastAsia="zh-CN" w:bidi="ar-SA"/>
        </w:rPr>
        <w:t>以教育质量为中心，推进五育融合</w:t>
      </w:r>
    </w:p>
    <w:p w14:paraId="7971BBA5">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（1）加强学校常规管理，全面提高教学质量</w:t>
      </w:r>
    </w:p>
    <w:p w14:paraId="1B0CFDD8">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（2）落实校本教科研活动，提升教师素养</w:t>
      </w:r>
    </w:p>
    <w:p w14:paraId="6A302627">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（3）组织学生活动，提高学生素质</w:t>
      </w:r>
    </w:p>
    <w:p w14:paraId="5FC45033">
      <w:pPr>
        <w:pStyle w:val="16"/>
        <w:numPr>
          <w:ilvl w:val="0"/>
          <w:numId w:val="0"/>
        </w:numPr>
        <w:spacing w:line="576" w:lineRule="exact"/>
        <w:ind w:left="1360" w:leftChars="0" w:hanging="720" w:firstLineChars="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4</w:t>
      </w:r>
      <w:r>
        <w:rPr>
          <w:rFonts w:hint="eastAsia" w:ascii="仿宋_GB2312" w:eastAsia="仿宋_GB2312" w:cs="Arial"/>
          <w:color w:val="auto"/>
          <w:kern w:val="2"/>
          <w:sz w:val="32"/>
          <w:szCs w:val="32"/>
          <w:lang w:val="en-US" w:eastAsia="zh-CN" w:bidi="ar-SA"/>
        </w:rPr>
        <w:t>.</w:t>
      </w:r>
      <w:r>
        <w:rPr>
          <w:rFonts w:hint="eastAsia" w:ascii="仿宋_GB2312" w:hAnsi="Calibri" w:eastAsia="仿宋_GB2312" w:cs="Arial"/>
          <w:color w:val="auto"/>
          <w:kern w:val="2"/>
          <w:sz w:val="32"/>
          <w:szCs w:val="32"/>
          <w:lang w:val="en-US" w:eastAsia="zh-CN" w:bidi="ar-SA"/>
        </w:rPr>
        <w:t>以教育科研为动力，提升师生素养</w:t>
      </w:r>
    </w:p>
    <w:p w14:paraId="15FC6F20">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（1）进一步规范和落实教学常规管理</w:t>
      </w:r>
      <w:r>
        <w:rPr>
          <w:rFonts w:hint="eastAsia" w:ascii="仿宋_GB2312" w:eastAsia="仿宋_GB2312" w:cs="Arial"/>
          <w:color w:val="auto"/>
          <w:kern w:val="2"/>
          <w:sz w:val="32"/>
          <w:szCs w:val="32"/>
          <w:lang w:val="en-US" w:eastAsia="zh-CN" w:bidi="ar-SA"/>
        </w:rPr>
        <w:t>，提</w:t>
      </w:r>
      <w:r>
        <w:rPr>
          <w:rFonts w:hint="eastAsia" w:ascii="仿宋_GB2312" w:hAnsi="Calibri" w:eastAsia="仿宋_GB2312" w:cs="Arial"/>
          <w:color w:val="auto"/>
          <w:kern w:val="2"/>
          <w:sz w:val="32"/>
          <w:szCs w:val="32"/>
          <w:lang w:val="en-US" w:eastAsia="zh-CN" w:bidi="ar-SA"/>
        </w:rPr>
        <w:t>高教学效率。</w:t>
      </w:r>
    </w:p>
    <w:p w14:paraId="4F0E3846">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w:t>
      </w:r>
      <w:r>
        <w:rPr>
          <w:rFonts w:hint="eastAsia" w:ascii="仿宋_GB2312" w:eastAsia="仿宋_GB2312" w:cs="Arial"/>
          <w:color w:val="auto"/>
          <w:kern w:val="2"/>
          <w:sz w:val="32"/>
          <w:szCs w:val="32"/>
          <w:lang w:val="en-US" w:eastAsia="zh-CN" w:bidi="ar-SA"/>
        </w:rPr>
        <w:t>2</w:t>
      </w:r>
      <w:r>
        <w:rPr>
          <w:rFonts w:hint="eastAsia" w:ascii="仿宋_GB2312" w:hAnsi="Calibri" w:eastAsia="仿宋_GB2312" w:cs="Arial"/>
          <w:color w:val="auto"/>
          <w:kern w:val="2"/>
          <w:sz w:val="32"/>
          <w:szCs w:val="32"/>
          <w:lang w:val="en-US" w:eastAsia="zh-CN" w:bidi="ar-SA"/>
        </w:rPr>
        <w:t>）深化教学研究</w:t>
      </w:r>
      <w:r>
        <w:rPr>
          <w:rFonts w:hint="eastAsia" w:ascii="仿宋_GB2312" w:eastAsia="仿宋_GB2312" w:cs="Arial"/>
          <w:color w:val="auto"/>
          <w:kern w:val="2"/>
          <w:sz w:val="32"/>
          <w:szCs w:val="32"/>
          <w:lang w:val="en-US" w:eastAsia="zh-CN" w:bidi="ar-SA"/>
        </w:rPr>
        <w:t>，开</w:t>
      </w:r>
      <w:r>
        <w:rPr>
          <w:rFonts w:hint="eastAsia" w:ascii="仿宋_GB2312" w:hAnsi="Calibri" w:eastAsia="仿宋_GB2312" w:cs="Arial"/>
          <w:color w:val="auto"/>
          <w:kern w:val="2"/>
          <w:sz w:val="32"/>
          <w:szCs w:val="32"/>
          <w:lang w:val="en-US" w:eastAsia="zh-CN" w:bidi="ar-SA"/>
        </w:rPr>
        <w:t>展校本教研</w:t>
      </w:r>
      <w:r>
        <w:rPr>
          <w:rFonts w:hint="eastAsia" w:ascii="仿宋_GB2312" w:eastAsia="仿宋_GB2312" w:cs="Arial"/>
          <w:color w:val="auto"/>
          <w:kern w:val="2"/>
          <w:sz w:val="32"/>
          <w:szCs w:val="32"/>
          <w:lang w:val="en-US" w:eastAsia="zh-CN" w:bidi="ar-SA"/>
        </w:rPr>
        <w:t>，提</w:t>
      </w:r>
      <w:r>
        <w:rPr>
          <w:rFonts w:hint="eastAsia" w:ascii="仿宋_GB2312" w:hAnsi="Calibri" w:eastAsia="仿宋_GB2312" w:cs="Arial"/>
          <w:color w:val="auto"/>
          <w:kern w:val="2"/>
          <w:sz w:val="32"/>
          <w:szCs w:val="32"/>
          <w:lang w:val="en-US" w:eastAsia="zh-CN" w:bidi="ar-SA"/>
        </w:rPr>
        <w:t>高教学实效。</w:t>
      </w:r>
    </w:p>
    <w:p w14:paraId="09A54303">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w:t>
      </w:r>
      <w:r>
        <w:rPr>
          <w:rFonts w:hint="eastAsia" w:ascii="仿宋_GB2312" w:eastAsia="仿宋_GB2312" w:cs="Arial"/>
          <w:color w:val="auto"/>
          <w:kern w:val="2"/>
          <w:sz w:val="32"/>
          <w:szCs w:val="32"/>
          <w:lang w:val="en-US" w:eastAsia="zh-CN" w:bidi="ar-SA"/>
        </w:rPr>
        <w:t>3</w:t>
      </w:r>
      <w:r>
        <w:rPr>
          <w:rFonts w:hint="eastAsia" w:ascii="仿宋_GB2312" w:hAnsi="Calibri" w:eastAsia="仿宋_GB2312" w:cs="Arial"/>
          <w:color w:val="auto"/>
          <w:kern w:val="2"/>
          <w:sz w:val="32"/>
          <w:szCs w:val="32"/>
          <w:lang w:val="en-US" w:eastAsia="zh-CN" w:bidi="ar-SA"/>
        </w:rPr>
        <w:t>）搞好学科活动</w:t>
      </w:r>
      <w:r>
        <w:rPr>
          <w:rFonts w:hint="eastAsia" w:ascii="仿宋_GB2312" w:eastAsia="仿宋_GB2312" w:cs="Arial"/>
          <w:color w:val="auto"/>
          <w:kern w:val="2"/>
          <w:sz w:val="32"/>
          <w:szCs w:val="32"/>
          <w:lang w:val="en-US" w:eastAsia="zh-CN" w:bidi="ar-SA"/>
        </w:rPr>
        <w:t>，拓</w:t>
      </w:r>
      <w:r>
        <w:rPr>
          <w:rFonts w:hint="eastAsia" w:ascii="仿宋_GB2312" w:hAnsi="Calibri" w:eastAsia="仿宋_GB2312" w:cs="Arial"/>
          <w:color w:val="auto"/>
          <w:kern w:val="2"/>
          <w:sz w:val="32"/>
          <w:szCs w:val="32"/>
          <w:lang w:val="en-US" w:eastAsia="zh-CN" w:bidi="ar-SA"/>
        </w:rPr>
        <w:t>宽学生学习领域</w:t>
      </w:r>
      <w:r>
        <w:rPr>
          <w:rFonts w:hint="eastAsia" w:ascii="仿宋_GB2312" w:eastAsia="仿宋_GB2312" w:cs="Arial"/>
          <w:color w:val="auto"/>
          <w:kern w:val="2"/>
          <w:sz w:val="32"/>
          <w:szCs w:val="32"/>
          <w:lang w:val="en-US" w:eastAsia="zh-CN" w:bidi="ar-SA"/>
        </w:rPr>
        <w:t>，提</w:t>
      </w:r>
      <w:r>
        <w:rPr>
          <w:rFonts w:hint="eastAsia" w:ascii="仿宋_GB2312" w:hAnsi="Calibri" w:eastAsia="仿宋_GB2312" w:cs="Arial"/>
          <w:color w:val="auto"/>
          <w:kern w:val="2"/>
          <w:sz w:val="32"/>
          <w:szCs w:val="32"/>
          <w:lang w:val="en-US" w:eastAsia="zh-CN" w:bidi="ar-SA"/>
        </w:rPr>
        <w:t>高学生综合素质。</w:t>
      </w:r>
    </w:p>
    <w:p w14:paraId="68AFFE24">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w:t>
      </w:r>
      <w:r>
        <w:rPr>
          <w:rFonts w:hint="eastAsia" w:ascii="仿宋_GB2312" w:eastAsia="仿宋_GB2312" w:cs="Arial"/>
          <w:color w:val="auto"/>
          <w:kern w:val="2"/>
          <w:sz w:val="32"/>
          <w:szCs w:val="32"/>
          <w:lang w:val="en-US" w:eastAsia="zh-CN" w:bidi="ar-SA"/>
        </w:rPr>
        <w:t>4</w:t>
      </w:r>
      <w:r>
        <w:rPr>
          <w:rFonts w:hint="eastAsia" w:ascii="仿宋_GB2312" w:hAnsi="Calibri" w:eastAsia="仿宋_GB2312" w:cs="Arial"/>
          <w:color w:val="auto"/>
          <w:kern w:val="2"/>
          <w:sz w:val="32"/>
          <w:szCs w:val="32"/>
          <w:lang w:val="en-US" w:eastAsia="zh-CN" w:bidi="ar-SA"/>
        </w:rPr>
        <w:t>）各学科组认真组织教师参加“四川云教”课堂观摩活动、四川省教育科学研究办公室举办的2025-2026年网络教研活动。</w:t>
      </w:r>
    </w:p>
    <w:p w14:paraId="0A14F074">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w:t>
      </w:r>
      <w:r>
        <w:rPr>
          <w:rFonts w:hint="eastAsia" w:ascii="仿宋_GB2312" w:eastAsia="仿宋_GB2312" w:cs="Arial"/>
          <w:color w:val="auto"/>
          <w:kern w:val="2"/>
          <w:sz w:val="32"/>
          <w:szCs w:val="32"/>
          <w:lang w:val="en-US" w:eastAsia="zh-CN" w:bidi="ar-SA"/>
        </w:rPr>
        <w:t>5</w:t>
      </w:r>
      <w:r>
        <w:rPr>
          <w:rFonts w:hint="eastAsia" w:ascii="仿宋_GB2312" w:hAnsi="Calibri" w:eastAsia="仿宋_GB2312" w:cs="Arial"/>
          <w:color w:val="auto"/>
          <w:kern w:val="2"/>
          <w:sz w:val="32"/>
          <w:szCs w:val="32"/>
          <w:lang w:val="en-US" w:eastAsia="zh-CN" w:bidi="ar-SA"/>
        </w:rPr>
        <w:t>）精心组织，认真开展课题研究工作。</w:t>
      </w:r>
    </w:p>
    <w:p w14:paraId="5437D6D5">
      <w:pPr>
        <w:spacing w:line="576" w:lineRule="exact"/>
        <w:ind w:firstLine="640" w:firstLineChars="20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w:t>
      </w:r>
      <w:r>
        <w:rPr>
          <w:rFonts w:hint="eastAsia" w:ascii="仿宋_GB2312" w:eastAsia="仿宋_GB2312" w:cs="Arial"/>
          <w:color w:val="auto"/>
          <w:kern w:val="2"/>
          <w:sz w:val="32"/>
          <w:szCs w:val="32"/>
          <w:lang w:val="en-US" w:eastAsia="zh-CN" w:bidi="ar-SA"/>
        </w:rPr>
        <w:t>6</w:t>
      </w:r>
      <w:r>
        <w:rPr>
          <w:rFonts w:hint="eastAsia" w:ascii="仿宋_GB2312" w:hAnsi="Calibri" w:eastAsia="仿宋_GB2312" w:cs="Arial"/>
          <w:color w:val="auto"/>
          <w:kern w:val="2"/>
          <w:sz w:val="32"/>
          <w:szCs w:val="32"/>
          <w:lang w:val="en-US" w:eastAsia="zh-CN" w:bidi="ar-SA"/>
        </w:rPr>
        <w:t>）扎实开展教师继续教育和培训工作。</w:t>
      </w:r>
    </w:p>
    <w:p w14:paraId="7E14DA52">
      <w:pPr>
        <w:pStyle w:val="16"/>
        <w:spacing w:line="576" w:lineRule="exact"/>
        <w:ind w:firstLine="640"/>
        <w:rPr>
          <w:rFonts w:hint="eastAsia" w:ascii="仿宋_GB2312" w:hAnsi="Calibri" w:eastAsia="仿宋_GB2312" w:cs="Arial"/>
          <w:color w:val="auto"/>
          <w:kern w:val="2"/>
          <w:sz w:val="32"/>
          <w:szCs w:val="32"/>
          <w:lang w:val="en-US" w:eastAsia="zh-CN" w:bidi="ar-SA"/>
        </w:rPr>
      </w:pPr>
      <w:r>
        <w:rPr>
          <w:rFonts w:hint="eastAsia" w:ascii="仿宋_GB2312" w:hAnsi="Calibri" w:eastAsia="仿宋_GB2312" w:cs="Arial"/>
          <w:color w:val="auto"/>
          <w:kern w:val="2"/>
          <w:sz w:val="32"/>
          <w:szCs w:val="32"/>
          <w:lang w:val="en-US" w:eastAsia="zh-CN" w:bidi="ar-SA"/>
        </w:rPr>
        <w:t>5</w:t>
      </w:r>
      <w:r>
        <w:rPr>
          <w:rFonts w:hint="eastAsia" w:ascii="仿宋_GB2312" w:eastAsia="仿宋_GB2312" w:cs="Arial"/>
          <w:color w:val="auto"/>
          <w:kern w:val="2"/>
          <w:sz w:val="32"/>
          <w:szCs w:val="32"/>
          <w:lang w:val="en-US" w:eastAsia="zh-CN" w:bidi="ar-SA"/>
        </w:rPr>
        <w:t>.学校仿</w:t>
      </w:r>
      <w:r>
        <w:rPr>
          <w:rFonts w:hint="eastAsia" w:ascii="仿宋_GB2312" w:hAnsi="Calibri" w:eastAsia="仿宋_GB2312" w:cs="Arial"/>
          <w:color w:val="auto"/>
          <w:kern w:val="2"/>
          <w:sz w:val="32"/>
          <w:szCs w:val="32"/>
          <w:lang w:val="en-US" w:eastAsia="zh-CN" w:bidi="ar-SA"/>
        </w:rPr>
        <w:t>造书院格局，承袭书院文化，以启智楼、诚正楼、咏归居、知辛堂命名教学区、办公区、生活区，古朴雅致、润泽童心，在优秀传统文化教育上抓早抓小，通过潜移默化、耳濡目染，夯实传承中华优秀传统文化的根基。一是提升硬件。标准化建设美术室、书法室、图书阅览室、音乐舞蹈室等，增加传统国画、书法、乐器教学设施设备，保障日常教学使用。二是拓展传统文化大环境。学校毗邻孔庙、考棚、县衙等文物遗址，资源富集，通过组织学生定期观游学习优秀传统文化知识。三是集群建设文化体系。合理利用校园内廊、亭、墙、柱、室等，集群建设、展示诗词经典、书画艺术、贤人先哲、爱国英雄、三国历史、师道文化等，成体系、全方位为学生认识、熟悉、掌握优秀传统文化提供便利。</w:t>
      </w:r>
    </w:p>
    <w:p w14:paraId="6396C35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20845"/>
      <w:r>
        <w:rPr>
          <w:rFonts w:hint="eastAsia" w:ascii="黑体" w:hAnsi="黑体" w:eastAsia="黑体" w:cs="黑体"/>
          <w:sz w:val="32"/>
          <w:szCs w:val="32"/>
          <w:lang w:val="en-US" w:eastAsia="zh-CN"/>
        </w:rPr>
        <w:t>二、部门预算单位构成</w:t>
      </w:r>
      <w:bookmarkEnd w:id="4"/>
    </w:p>
    <w:p w14:paraId="05FC01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640A15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7615"/>
      <w:r>
        <w:rPr>
          <w:rFonts w:hint="eastAsia" w:ascii="黑体" w:hAnsi="黑体" w:eastAsia="黑体" w:cs="黑体"/>
          <w:sz w:val="32"/>
          <w:szCs w:val="32"/>
          <w:lang w:val="en-US" w:eastAsia="zh-CN"/>
        </w:rPr>
        <w:t>三、收支预算情况说明</w:t>
      </w:r>
      <w:bookmarkEnd w:id="5"/>
    </w:p>
    <w:p w14:paraId="3C4C98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昭化小学所有收入和支出均纳入部门预算管理。收入包括：一般公共预算拨款收入；支出包括：教育支出。昭化小学2025年收支预算总数836.71万元，比2024年收支预算总数增加66.62万元，主要原因是基本支出预算增加。</w:t>
      </w:r>
    </w:p>
    <w:p w14:paraId="662412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32137"/>
      <w:r>
        <w:rPr>
          <w:rFonts w:hint="eastAsia" w:ascii="楷体_GB2312" w:hAnsi="楷体_GB2312" w:eastAsia="楷体_GB2312" w:cs="楷体_GB2312"/>
          <w:sz w:val="32"/>
          <w:szCs w:val="32"/>
          <w:lang w:val="en-US" w:eastAsia="zh-CN"/>
        </w:rPr>
        <w:t>（一）收入预算情况</w:t>
      </w:r>
      <w:bookmarkEnd w:id="6"/>
    </w:p>
    <w:p w14:paraId="284ABE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昭化小学2025年收入预算836.71万元，其中：一般公共预算拨款收入836.71万元，占100%。</w:t>
      </w:r>
    </w:p>
    <w:p w14:paraId="421B1E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730"/>
      <w:r>
        <w:rPr>
          <w:rFonts w:hint="eastAsia" w:ascii="楷体_GB2312" w:hAnsi="楷体_GB2312" w:eastAsia="楷体_GB2312" w:cs="楷体_GB2312"/>
          <w:sz w:val="32"/>
          <w:szCs w:val="32"/>
          <w:lang w:val="en-US" w:eastAsia="zh-CN"/>
        </w:rPr>
        <w:t>（二）支出预算情况</w:t>
      </w:r>
      <w:bookmarkEnd w:id="7"/>
    </w:p>
    <w:p w14:paraId="5097DE8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昭化小学2025年支出预算836.71万元，其中：基本支出788.21万元，占94.20%；项目支出48.5万元，占5.80%</w:t>
      </w:r>
      <w:r>
        <w:rPr>
          <w:rFonts w:hint="eastAsia" w:ascii="仿宋_GB2312" w:hAnsi="仿宋_GB2312" w:eastAsia="仿宋_GB2312" w:cs="仿宋_GB2312"/>
          <w:b w:val="0"/>
          <w:bCs w:val="0"/>
          <w:sz w:val="32"/>
          <w:szCs w:val="32"/>
          <w:lang w:val="en-US" w:eastAsia="zh-CN"/>
        </w:rPr>
        <w:t>。</w:t>
      </w:r>
    </w:p>
    <w:p w14:paraId="26AE02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27656"/>
      <w:r>
        <w:rPr>
          <w:rFonts w:hint="eastAsia" w:ascii="黑体" w:hAnsi="黑体" w:eastAsia="黑体" w:cs="黑体"/>
          <w:sz w:val="32"/>
          <w:szCs w:val="32"/>
          <w:lang w:val="en-US" w:eastAsia="zh-CN"/>
        </w:rPr>
        <w:t>四、财政拨款收支预算情况说明</w:t>
      </w:r>
      <w:bookmarkEnd w:id="8"/>
    </w:p>
    <w:p w14:paraId="21C436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昭化小学2025年财政拨款收支预算总数836.71万元，比2024年财政拨款收支预算总数增加66.62万元，主要原因是基本支出预算增加。</w:t>
      </w:r>
    </w:p>
    <w:p w14:paraId="7A6C07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收入包括：本年一般公共预算拨款收入836.71万元；支出包括：教育支出836.71万元。</w:t>
      </w:r>
    </w:p>
    <w:p w14:paraId="24A2B6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20367"/>
      <w:r>
        <w:rPr>
          <w:rFonts w:hint="eastAsia" w:ascii="黑体" w:hAnsi="黑体" w:eastAsia="黑体" w:cs="黑体"/>
          <w:sz w:val="32"/>
          <w:szCs w:val="32"/>
          <w:lang w:val="en-US" w:eastAsia="zh-CN"/>
        </w:rPr>
        <w:t>五、一般公共预算当年拨款情况说明</w:t>
      </w:r>
      <w:bookmarkEnd w:id="9"/>
    </w:p>
    <w:p w14:paraId="4C353B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6745"/>
      <w:r>
        <w:rPr>
          <w:rFonts w:hint="eastAsia" w:ascii="楷体_GB2312" w:hAnsi="楷体_GB2312" w:eastAsia="楷体_GB2312" w:cs="楷体_GB2312"/>
          <w:sz w:val="32"/>
          <w:szCs w:val="32"/>
          <w:lang w:val="en-US" w:eastAsia="zh-CN"/>
        </w:rPr>
        <w:t>（一）一般公共预算当年拨款规模变化情况</w:t>
      </w:r>
      <w:bookmarkEnd w:id="10"/>
    </w:p>
    <w:p w14:paraId="25FD2D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昭化小学2025年一般公共预算当年拨款836.71万元，比2024年财政拨款收支预算总数增加66.62万元，主要原因是基本支出预算增加。</w:t>
      </w:r>
    </w:p>
    <w:p w14:paraId="20B6A5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2591"/>
      <w:r>
        <w:rPr>
          <w:rFonts w:hint="eastAsia" w:ascii="楷体_GB2312" w:hAnsi="楷体_GB2312" w:eastAsia="楷体_GB2312" w:cs="楷体_GB2312"/>
          <w:sz w:val="32"/>
          <w:szCs w:val="32"/>
          <w:lang w:val="en-US" w:eastAsia="zh-CN"/>
        </w:rPr>
        <w:t>（二）一般公共预算当年拨款结构情况</w:t>
      </w:r>
      <w:bookmarkEnd w:id="11"/>
    </w:p>
    <w:p w14:paraId="4E22B7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教育支出836.71万元，占100%。</w:t>
      </w:r>
    </w:p>
    <w:p w14:paraId="5EEA3E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7121"/>
      <w:r>
        <w:rPr>
          <w:rFonts w:hint="eastAsia" w:ascii="楷体_GB2312" w:hAnsi="楷体_GB2312" w:eastAsia="楷体_GB2312" w:cs="楷体_GB2312"/>
          <w:sz w:val="32"/>
          <w:szCs w:val="32"/>
          <w:lang w:val="en-US" w:eastAsia="zh-CN"/>
        </w:rPr>
        <w:t>（三）一般公共预算当年拨款具体使用情况</w:t>
      </w:r>
      <w:bookmarkEnd w:id="12"/>
    </w:p>
    <w:p w14:paraId="756CF8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类）普通教育（款）小学教育（项）2025年预算数为836.71万元，主要用于：小学教育机构的基本支出，包括基本工资、津贴补贴、基础绩效奖等人员经费以及机构运行所需的办公费、印刷费、维修（护）费、工会经费等运行补助经费。</w:t>
      </w:r>
    </w:p>
    <w:p w14:paraId="73EB38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6078"/>
      <w:r>
        <w:rPr>
          <w:rFonts w:hint="eastAsia" w:ascii="黑体" w:hAnsi="黑体" w:eastAsia="黑体" w:cs="黑体"/>
          <w:sz w:val="32"/>
          <w:szCs w:val="32"/>
          <w:lang w:val="en-US" w:eastAsia="zh-CN"/>
        </w:rPr>
        <w:t>六、一般公共预算基本支出情况说明</w:t>
      </w:r>
      <w:bookmarkEnd w:id="13"/>
    </w:p>
    <w:p w14:paraId="126AF3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昭化小学2025年一般公共预算基本支出788.21万元，其中：</w:t>
      </w:r>
    </w:p>
    <w:p w14:paraId="65FC1C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人员经费788.21万元，主要包括：基本工资、津贴补贴、奖金、绩效工资、社会保险缴费、住房公积金、退休费、生活补助、奖励金等支出。</w:t>
      </w:r>
    </w:p>
    <w:p w14:paraId="6B933FA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21247"/>
      <w:r>
        <w:rPr>
          <w:rFonts w:hint="eastAsia" w:ascii="黑体" w:hAnsi="黑体" w:eastAsia="黑体" w:cs="黑体"/>
          <w:sz w:val="32"/>
          <w:szCs w:val="32"/>
          <w:lang w:val="en-US" w:eastAsia="zh-CN"/>
        </w:rPr>
        <w:t>七、“三公”经费财政拨款预算安排情况说明</w:t>
      </w:r>
      <w:bookmarkEnd w:id="14"/>
    </w:p>
    <w:p w14:paraId="285785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昭化小学2025年“三公”经费财政拨款预算数0.37万元，其中：公务接待费0.37万元，公务用车购置及运行维护费0万元，因公出国（境）经费0万元。</w:t>
      </w:r>
    </w:p>
    <w:p w14:paraId="63191EC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11422"/>
      <w:r>
        <w:rPr>
          <w:rFonts w:hint="eastAsia" w:ascii="楷体_GB2312" w:hAnsi="楷体_GB2312" w:eastAsia="楷体_GB2312" w:cs="楷体_GB2312"/>
          <w:sz w:val="32"/>
          <w:szCs w:val="32"/>
          <w:lang w:val="en-US" w:eastAsia="zh-CN"/>
        </w:rPr>
        <w:t>（一）公务接待费</w:t>
      </w:r>
      <w:bookmarkEnd w:id="15"/>
    </w:p>
    <w:p w14:paraId="535D9A5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0DAA739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5844CAC2">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4807"/>
      <w:r>
        <w:rPr>
          <w:rFonts w:hint="eastAsia" w:ascii="楷体_GB2312" w:hAnsi="楷体_GB2312" w:eastAsia="楷体_GB2312" w:cs="楷体_GB2312"/>
          <w:sz w:val="32"/>
          <w:szCs w:val="32"/>
          <w:lang w:val="en-US" w:eastAsia="zh-CN"/>
        </w:rPr>
        <w:t>公务用车购置及运行维护费</w:t>
      </w:r>
      <w:bookmarkEnd w:id="16"/>
    </w:p>
    <w:p w14:paraId="4664BA2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147B34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5A03CF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4FAEF6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12B60232">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96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14:paraId="55F84E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5442FA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29067"/>
      <w:r>
        <w:rPr>
          <w:rFonts w:hint="eastAsia" w:ascii="黑体" w:hAnsi="黑体" w:eastAsia="黑体" w:cs="黑体"/>
          <w:sz w:val="32"/>
          <w:szCs w:val="32"/>
          <w:lang w:val="en-US" w:eastAsia="zh-CN"/>
        </w:rPr>
        <w:t>八、政府性基金预算支出情况说明</w:t>
      </w:r>
      <w:bookmarkEnd w:id="18"/>
    </w:p>
    <w:p w14:paraId="7E8E40E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昭化小学2025年无政府性基金预算拨款安排的支出。</w:t>
      </w:r>
    </w:p>
    <w:p w14:paraId="17B129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24112"/>
      <w:r>
        <w:rPr>
          <w:rFonts w:hint="eastAsia" w:ascii="黑体" w:hAnsi="黑体" w:eastAsia="黑体" w:cs="黑体"/>
          <w:sz w:val="32"/>
          <w:szCs w:val="32"/>
          <w:lang w:val="en-US" w:eastAsia="zh-CN"/>
        </w:rPr>
        <w:t>九、国有资本经营预算支出情况说明</w:t>
      </w:r>
      <w:bookmarkEnd w:id="19"/>
    </w:p>
    <w:p w14:paraId="76FBFB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昭化小学2025年无国有资本经营预算拨款安排的支出。</w:t>
      </w:r>
    </w:p>
    <w:p w14:paraId="684B66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19891"/>
      <w:r>
        <w:rPr>
          <w:rFonts w:hint="eastAsia" w:ascii="黑体" w:hAnsi="黑体" w:eastAsia="黑体" w:cs="黑体"/>
          <w:sz w:val="32"/>
          <w:szCs w:val="32"/>
          <w:lang w:val="en-US" w:eastAsia="zh-CN"/>
        </w:rPr>
        <w:t>十、其他重要事项的情况说明</w:t>
      </w:r>
      <w:bookmarkEnd w:id="20"/>
    </w:p>
    <w:p w14:paraId="58EDB2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580"/>
      <w:r>
        <w:rPr>
          <w:rFonts w:hint="eastAsia" w:ascii="楷体_GB2312" w:hAnsi="楷体_GB2312" w:eastAsia="楷体_GB2312" w:cs="楷体_GB2312"/>
          <w:sz w:val="32"/>
          <w:szCs w:val="32"/>
          <w:lang w:val="en-US" w:eastAsia="zh-CN"/>
        </w:rPr>
        <w:t>（一）机关运行经费</w:t>
      </w:r>
      <w:bookmarkEnd w:id="21"/>
    </w:p>
    <w:p w14:paraId="385E94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2D0FD3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2531"/>
      <w:r>
        <w:rPr>
          <w:rFonts w:hint="eastAsia" w:ascii="楷体_GB2312" w:hAnsi="楷体_GB2312" w:eastAsia="楷体_GB2312" w:cs="楷体_GB2312"/>
          <w:sz w:val="32"/>
          <w:szCs w:val="32"/>
          <w:lang w:val="en-US" w:eastAsia="zh-CN"/>
        </w:rPr>
        <w:t>（二）政府采购情况</w:t>
      </w:r>
      <w:bookmarkEnd w:id="22"/>
    </w:p>
    <w:p w14:paraId="36DC69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2025年，昭化小学安排政府采购预算0万元。</w:t>
      </w:r>
    </w:p>
    <w:p w14:paraId="2FF205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32430"/>
      <w:r>
        <w:rPr>
          <w:rFonts w:hint="eastAsia" w:ascii="楷体_GB2312" w:hAnsi="楷体_GB2312" w:eastAsia="楷体_GB2312" w:cs="楷体_GB2312"/>
          <w:sz w:val="32"/>
          <w:szCs w:val="32"/>
          <w:lang w:val="en-US" w:eastAsia="zh-CN"/>
        </w:rPr>
        <w:t>（三）国有资产占有使用情况</w:t>
      </w:r>
      <w:bookmarkEnd w:id="23"/>
    </w:p>
    <w:p w14:paraId="3369D6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截至2024年底，昭化小学共有车辆0辆。单位无价值200万元以上的大型设备。</w:t>
      </w:r>
    </w:p>
    <w:p w14:paraId="3CABAA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74F2F29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2905"/>
      <w:r>
        <w:rPr>
          <w:rFonts w:hint="eastAsia" w:ascii="楷体_GB2312" w:hAnsi="楷体_GB2312" w:eastAsia="楷体_GB2312" w:cs="楷体_GB2312"/>
          <w:sz w:val="32"/>
          <w:szCs w:val="32"/>
          <w:lang w:val="en-US" w:eastAsia="zh-CN"/>
        </w:rPr>
        <w:t>（四）绩效目标设置情况</w:t>
      </w:r>
      <w:bookmarkEnd w:id="24"/>
    </w:p>
    <w:p w14:paraId="6EFCB3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昭化小学开展绩效目标管理的项目13个，涉及预算836.71万元。其中：人员类项目10个，涉及预算788.21万元；运转类项目3个，涉及预算48.5万元；特定目标类项目0个，涉及预算0万元。因部分项目内容涉密，不予公开。</w:t>
      </w:r>
    </w:p>
    <w:p w14:paraId="02220E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4903"/>
      <w:r>
        <w:rPr>
          <w:rFonts w:hint="eastAsia" w:ascii="黑体" w:hAnsi="黑体" w:eastAsia="黑体" w:cs="黑体"/>
          <w:sz w:val="32"/>
          <w:szCs w:val="32"/>
          <w:lang w:val="en-US" w:eastAsia="zh-CN"/>
        </w:rPr>
        <w:t>十一、名词解释</w:t>
      </w:r>
      <w:bookmarkEnd w:id="25"/>
    </w:p>
    <w:p w14:paraId="7F3895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6D34B6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73BCE1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51323B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仿宋_GB2312" w:eastAsia="仿宋_GB2312" w:cs="仿宋_GB2312"/>
          <w:sz w:val="32"/>
          <w:szCs w:val="32"/>
          <w:lang w:val="en-US" w:eastAsia="zh-CN"/>
        </w:rPr>
        <w:t>指小学教育发展的基本支出，包括基本工资、津贴补贴等人员经费以及办公费、印刷费、水电费等日常公用经费。</w:t>
      </w:r>
    </w:p>
    <w:p w14:paraId="2069BA6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指部门实施养老保险制度由单位缴纳的养老保险费支出。</w:t>
      </w:r>
    </w:p>
    <w:p w14:paraId="628E94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6B42DF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373245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4FBF93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4273DE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4EE46B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p>
    <w:p w14:paraId="3CF5400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5004311A">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26" w:name="_Toc19373"/>
      <w:r>
        <w:rPr>
          <w:rFonts w:hint="eastAsia" w:ascii="仿宋_GB2312" w:hAnsi="仿宋_GB2312" w:eastAsia="仿宋_GB2312" w:cs="仿宋_GB2312"/>
          <w:sz w:val="32"/>
          <w:szCs w:val="32"/>
          <w:lang w:val="en-US" w:eastAsia="zh-CN"/>
        </w:rPr>
        <w:t>单位预算项目绩效目标表</w:t>
      </w:r>
      <w:bookmarkEnd w:id="26"/>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错敏词信息检测" w:date="2025-02-14T17:57:55Z" w:initials="UC">
    <w:p w14:paraId="00989682">
      <w:r>
        <w:rPr>
          <w:color w:val="FF0000"/>
        </w:rPr>
        <w:t>错敏词:</w:t>
      </w:r>
      <w:r>
        <w:t>安全安全</w:t>
      </w:r>
    </w:p>
    <w:p w14:paraId="00989683">
      <w:r>
        <w:rPr>
          <w:color w:val="FF0000"/>
        </w:rPr>
        <w:t>推荐修改:</w:t>
      </w:r>
      <w:r>
        <w:t>安全</w:t>
      </w:r>
    </w:p>
    <w:p w14:paraId="00989684">
      <w:r>
        <w:rPr>
          <w:color w:val="FF0000"/>
        </w:rPr>
        <w:t>问题类型:</w:t>
      </w:r>
      <w:r>
        <w:t>常见错误</w:t>
      </w:r>
    </w:p>
    <w:p w14:paraId="00989685">
      <w:r>
        <w:rPr>
          <w:color w:val="FF0000"/>
        </w:rPr>
        <w:t>严重程度:</w:t>
      </w:r>
      <w:r>
        <w:t>一般</w:t>
      </w:r>
    </w:p>
  </w:comment>
  <w:comment w:id="1" w:author="错敏词信息检测" w:date="2025-02-14T17:57:55Z" w:initials="UC">
    <w:p w14:paraId="00989692">
      <w:r>
        <w:rPr>
          <w:color w:val="FF0000"/>
        </w:rPr>
        <w:t>错敏词:</w:t>
      </w:r>
      <w:r>
        <w:t>防霉工作</w:t>
      </w:r>
    </w:p>
    <w:p w14:paraId="00989693">
      <w:r>
        <w:rPr>
          <w:color w:val="FF0000"/>
        </w:rPr>
        <w:t>推荐修改:</w:t>
      </w:r>
      <w:r>
        <w:t>防疫工作</w:t>
      </w:r>
    </w:p>
    <w:p w14:paraId="00989694">
      <w:r>
        <w:rPr>
          <w:color w:val="FF0000"/>
        </w:rPr>
        <w:t>问题类型:</w:t>
      </w:r>
      <w:r>
        <w:t>专用表述错误</w:t>
      </w:r>
    </w:p>
    <w:p w14:paraId="00989695">
      <w:r>
        <w:rPr>
          <w:color w:val="FF0000"/>
        </w:rPr>
        <w:t>严重程度:</w:t>
      </w:r>
      <w:r>
        <w:t>一般</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989685" w15:done="0"/>
  <w15:commentEx w15:paraId="0098969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81E6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0656AD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wiVNG/gEAAAAEAAAOAAAAAAAAAAEAIAAAAB8BAABkcnMvZTJvRG9jLnht&#10;bFBLBQYAAAAABgAGAFkBAACPBQAAAAA=&#10;">
              <v:fill on="f" focussize="0,0"/>
              <v:stroke on="f"/>
              <v:imagedata o:title=""/>
              <o:lock v:ext="edit" aspectratio="f"/>
              <v:textbox inset="0mm,0mm,0mm,0mm" style="mso-fit-shape-to-text:t;">
                <w:txbxContent>
                  <w:p w14:paraId="20656AD6">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DBE557"/>
    <w:multiLevelType w:val="singleLevel"/>
    <w:tmpl w:val="CCDBE557"/>
    <w:lvl w:ilvl="0" w:tentative="0">
      <w:start w:val="2"/>
      <w:numFmt w:val="decimal"/>
      <w:lvlText w:val="%1."/>
      <w:lvlJc w:val="left"/>
      <w:pPr>
        <w:tabs>
          <w:tab w:val="left" w:pos="312"/>
        </w:tabs>
        <w:ind w:left="1600" w:leftChars="0" w:firstLine="0" w:firstLineChars="0"/>
      </w:pPr>
    </w:lvl>
  </w:abstractNum>
  <w:abstractNum w:abstractNumId="1">
    <w:nsid w:val="1A8F7F7B"/>
    <w:multiLevelType w:val="singleLevel"/>
    <w:tmpl w:val="1A8F7F7B"/>
    <w:lvl w:ilvl="0" w:tentative="0">
      <w:start w:val="2"/>
      <w:numFmt w:val="chineseCounting"/>
      <w:suff w:val="nothing"/>
      <w:lvlText w:val="（%1）"/>
      <w:lvlJc w:val="left"/>
      <w:rPr>
        <w:rFonts w:hint="eastAsia"/>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错敏词信息检测">
    <w15:presenceInfo w15:providerId="None" w15:userId="错敏词信息检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0DFE41E8"/>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styleId="16">
    <w:name w:val="List Paragraph"/>
    <w:basedOn w:val="1"/>
    <w:qFormat/>
    <w:uiPriority w:val="34"/>
    <w:pPr>
      <w:ind w:firstLine="420" w:firstLineChars="200"/>
    </w:pPr>
    <w:rPr>
      <w:rFonts w:ascii="Calibri" w:hAnsi="Calibri" w:eastAsia="宋体" w:cs="Arial"/>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5404</Words>
  <Characters>5643</Characters>
  <TotalTime>8</TotalTime>
  <ScaleCrop>false</ScaleCrop>
  <LinksUpToDate>false</LinksUpToDate>
  <CharactersWithSpaces>5707</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2025-02-15T05:40:42Z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