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5FF5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136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广元市昭化区虎跳镇陈江小学</w:t>
      </w:r>
      <w:bookmarkEnd w:id="0"/>
    </w:p>
    <w:p w14:paraId="2F1714E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CC0FFC6">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513"/>
        <w:docPartObj>
          <w:docPartGallery w:val="Table of Contents"/>
          <w:docPartUnique/>
        </w:docPartObj>
      </w:sdtPr>
      <w:sdtEndPr>
        <w:rPr>
          <w:rFonts w:hint="default" w:ascii="宋体" w:hAnsi="宋体" w:eastAsia="宋体" w:cs="宋体"/>
          <w:b/>
          <w:i w:val="0"/>
          <w:caps w:val="0"/>
          <w:color w:val="000000" w:themeColor="text1"/>
          <w:spacing w:val="0"/>
          <w:kern w:val="2"/>
          <w:sz w:val="24"/>
          <w:szCs w:val="28"/>
          <w:highlight w:val="none"/>
          <w:shd w:val="clear" w:color="auto" w:fill="FFFFFF"/>
          <w:lang w:val="en-US" w:eastAsia="zh-CN" w:bidi="ar-SA"/>
          <w14:textFill>
            <w14:solidFill>
              <w14:schemeClr w14:val="tx1"/>
            </w14:solidFill>
          </w14:textFill>
        </w:rPr>
      </w:sdtEndPr>
      <w:sdtContent>
        <w:p w14:paraId="3CC858C5">
          <w:pPr>
            <w:spacing w:before="0" w:beforeLines="0" w:after="0" w:afterLines="0" w:line="240" w:lineRule="auto"/>
            <w:ind w:left="0" w:leftChars="0" w:right="0" w:rightChars="0" w:firstLine="0" w:firstLineChars="0"/>
            <w:jc w:val="center"/>
          </w:pPr>
        </w:p>
        <w:p w14:paraId="54426C26">
          <w:pPr>
            <w:pStyle w:val="15"/>
            <w:tabs>
              <w:tab w:val="right" w:leader="dot" w:pos="8845"/>
            </w:tabs>
            <w:rPr>
              <w:rFonts w:hint="eastAsia" w:ascii="仿宋" w:hAnsi="仿宋" w:eastAsia="仿宋" w:cs="仿宋"/>
              <w:b/>
              <w:sz w:val="32"/>
              <w:szCs w:val="32"/>
            </w:rPr>
          </w:pPr>
          <w:r>
            <w:rPr>
              <w:rFonts w:hint="default" w:ascii="宋体" w:hAnsi="宋体" w:cs="宋体"/>
              <w:b/>
              <w:i w:val="0"/>
              <w:caps w:val="0"/>
              <w:color w:val="000000" w:themeColor="text1"/>
              <w:spacing w:val="0"/>
              <w:sz w:val="28"/>
              <w:szCs w:val="28"/>
              <w:highlight w:val="none"/>
              <w:lang w:val="en-US" w:eastAsia="zh-CN"/>
              <w14:textFill>
                <w14:solidFill>
                  <w14:schemeClr w14:val="tx1"/>
                </w14:solidFill>
              </w14:textFill>
            </w:rPr>
            <w:fldChar w:fldCharType="begin"/>
          </w:r>
          <w:r>
            <w:rPr>
              <w:rFonts w:hint="default" w:ascii="宋体" w:hAnsi="宋体" w:cs="宋体"/>
              <w:b/>
              <w:i w:val="0"/>
              <w:caps w:val="0"/>
              <w:color w:val="000000" w:themeColor="text1"/>
              <w:spacing w:val="0"/>
              <w:sz w:val="28"/>
              <w:szCs w:val="28"/>
              <w:highlight w:val="none"/>
              <w:lang w:val="en-US" w:eastAsia="zh-CN"/>
              <w14:textFill>
                <w14:solidFill>
                  <w14:schemeClr w14:val="tx1"/>
                </w14:solidFill>
              </w14:textFill>
            </w:rPr>
            <w:instrText xml:space="preserve">TOC \o "1-2" \h \u</w:instrText>
          </w:r>
          <w:r>
            <w:rPr>
              <w:rFonts w:hint="default"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"_Toc7910" </w:instrText>
          </w:r>
          <w: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_Toc7910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20223CB">
          <w:pPr>
            <w:pStyle w:val="16"/>
            <w:tabs>
              <w:tab w:val="right" w:leader="dot" w:pos="8845"/>
            </w:tabs>
            <w:rPr>
              <w:rFonts w:hint="eastAsia" w:ascii="仿宋" w:hAnsi="仿宋" w:eastAsia="仿宋" w:cs="仿宋"/>
              <w:sz w:val="32"/>
              <w:szCs w:val="32"/>
            </w:rPr>
          </w:pPr>
          <w:r>
            <w:fldChar w:fldCharType="begin"/>
          </w:r>
          <w:r>
            <w:instrText xml:space="preserve"> HYPERLINK \l "_Toc22102"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_Toc22102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A530B4A">
          <w:pPr>
            <w:pStyle w:val="16"/>
            <w:tabs>
              <w:tab w:val="right" w:leader="dot" w:pos="8845"/>
            </w:tabs>
            <w:rPr>
              <w:rFonts w:hint="eastAsia" w:ascii="仿宋" w:hAnsi="仿宋" w:eastAsia="仿宋" w:cs="仿宋"/>
              <w:sz w:val="32"/>
              <w:szCs w:val="32"/>
            </w:rPr>
          </w:pPr>
          <w:r>
            <w:fldChar w:fldCharType="begin"/>
          </w:r>
          <w:r>
            <w:instrText xml:space="preserve"> HYPERLINK \l "_Toc11505" </w:instrText>
          </w:r>
          <w: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_Toc11505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B6F70FE">
          <w:pPr>
            <w:pStyle w:val="15"/>
            <w:tabs>
              <w:tab w:val="right" w:leader="dot" w:pos="8845"/>
            </w:tabs>
            <w:rPr>
              <w:rFonts w:hint="eastAsia" w:ascii="仿宋" w:hAnsi="仿宋" w:eastAsia="仿宋" w:cs="仿宋"/>
              <w:b/>
              <w:sz w:val="32"/>
              <w:szCs w:val="32"/>
            </w:rPr>
          </w:pPr>
          <w:r>
            <w:fldChar w:fldCharType="begin"/>
          </w:r>
          <w:r>
            <w:instrText xml:space="preserve"> HYPERLINK \l "_Toc29838" </w:instrText>
          </w:r>
          <w: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_Toc29838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4F69473">
          <w:pPr>
            <w:pStyle w:val="15"/>
            <w:tabs>
              <w:tab w:val="right" w:leader="dot" w:pos="8845"/>
            </w:tabs>
            <w:rPr>
              <w:rFonts w:hint="eastAsia" w:ascii="仿宋" w:hAnsi="仿宋" w:eastAsia="仿宋" w:cs="仿宋"/>
              <w:b/>
              <w:sz w:val="32"/>
              <w:szCs w:val="32"/>
            </w:rPr>
          </w:pPr>
          <w:r>
            <w:fldChar w:fldCharType="begin"/>
          </w:r>
          <w:r>
            <w:instrText xml:space="preserve"> HYPERLINK \l "_Toc13528" </w:instrText>
          </w:r>
          <w: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_Toc13528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37D3C22">
          <w:pPr>
            <w:pStyle w:val="16"/>
            <w:tabs>
              <w:tab w:val="right" w:leader="dot" w:pos="8845"/>
            </w:tabs>
            <w:rPr>
              <w:rFonts w:hint="eastAsia" w:ascii="仿宋" w:hAnsi="仿宋" w:eastAsia="仿宋" w:cs="仿宋"/>
              <w:sz w:val="32"/>
              <w:szCs w:val="32"/>
            </w:rPr>
          </w:pPr>
          <w:r>
            <w:fldChar w:fldCharType="begin"/>
          </w:r>
          <w:r>
            <w:instrText xml:space="preserve"> HYPERLINK \l "_Toc583" </w:instrText>
          </w:r>
          <w: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_Toc583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1C0AD94">
          <w:pPr>
            <w:pStyle w:val="16"/>
            <w:tabs>
              <w:tab w:val="right" w:leader="dot" w:pos="8845"/>
            </w:tabs>
            <w:rPr>
              <w:rFonts w:hint="eastAsia" w:ascii="仿宋" w:hAnsi="仿宋" w:eastAsia="仿宋" w:cs="仿宋"/>
              <w:sz w:val="32"/>
              <w:szCs w:val="32"/>
            </w:rPr>
          </w:pPr>
          <w:r>
            <w:fldChar w:fldCharType="begin"/>
          </w:r>
          <w:r>
            <w:instrText xml:space="preserve"> HYPERLINK \l "_Toc13317" </w:instrText>
          </w:r>
          <w: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_Toc13317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37B054E">
          <w:pPr>
            <w:pStyle w:val="15"/>
            <w:tabs>
              <w:tab w:val="right" w:leader="dot" w:pos="8845"/>
            </w:tabs>
            <w:rPr>
              <w:rFonts w:hint="eastAsia" w:ascii="仿宋" w:hAnsi="仿宋" w:eastAsia="仿宋" w:cs="仿宋"/>
              <w:b/>
              <w:sz w:val="32"/>
              <w:szCs w:val="32"/>
            </w:rPr>
          </w:pPr>
          <w:r>
            <w:fldChar w:fldCharType="begin"/>
          </w:r>
          <w:r>
            <w:instrText xml:space="preserve"> HYPERLINK \l "_Toc16861" </w:instrText>
          </w:r>
          <w: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_Toc16861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2A84ACC">
          <w:pPr>
            <w:pStyle w:val="15"/>
            <w:tabs>
              <w:tab w:val="right" w:leader="dot" w:pos="8845"/>
            </w:tabs>
            <w:rPr>
              <w:rFonts w:hint="eastAsia" w:ascii="仿宋" w:hAnsi="仿宋" w:eastAsia="仿宋" w:cs="仿宋"/>
              <w:b/>
              <w:sz w:val="32"/>
              <w:szCs w:val="32"/>
            </w:rPr>
          </w:pPr>
          <w:r>
            <w:fldChar w:fldCharType="begin"/>
          </w:r>
          <w:r>
            <w:instrText xml:space="preserve"> HYPERLINK \l "_Toc7059" </w:instrText>
          </w:r>
          <w: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_Toc7059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76F474B">
          <w:pPr>
            <w:pStyle w:val="16"/>
            <w:tabs>
              <w:tab w:val="right" w:leader="dot" w:pos="8845"/>
            </w:tabs>
            <w:rPr>
              <w:rFonts w:hint="eastAsia" w:ascii="仿宋" w:hAnsi="仿宋" w:eastAsia="仿宋" w:cs="仿宋"/>
              <w:sz w:val="32"/>
              <w:szCs w:val="32"/>
            </w:rPr>
          </w:pPr>
          <w:r>
            <w:fldChar w:fldCharType="begin"/>
          </w:r>
          <w:r>
            <w:instrText xml:space="preserve"> HYPERLINK \l "_Toc32610" </w:instrText>
          </w:r>
          <w: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_Toc32610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E2A8570">
          <w:pPr>
            <w:pStyle w:val="16"/>
            <w:tabs>
              <w:tab w:val="right" w:leader="dot" w:pos="8845"/>
            </w:tabs>
            <w:rPr>
              <w:rFonts w:hint="eastAsia" w:ascii="仿宋" w:hAnsi="仿宋" w:eastAsia="仿宋" w:cs="仿宋"/>
              <w:sz w:val="32"/>
              <w:szCs w:val="32"/>
            </w:rPr>
          </w:pPr>
          <w:r>
            <w:fldChar w:fldCharType="begin"/>
          </w:r>
          <w:r>
            <w:instrText xml:space="preserve"> HYPERLINK \l "_Toc20748" </w:instrText>
          </w:r>
          <w: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_Toc20748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1DF70B8">
          <w:pPr>
            <w:pStyle w:val="16"/>
            <w:tabs>
              <w:tab w:val="right" w:leader="dot" w:pos="8845"/>
            </w:tabs>
            <w:rPr>
              <w:rFonts w:hint="eastAsia" w:ascii="仿宋" w:hAnsi="仿宋" w:eastAsia="仿宋" w:cs="仿宋"/>
              <w:sz w:val="32"/>
              <w:szCs w:val="32"/>
            </w:rPr>
          </w:pPr>
          <w:r>
            <w:fldChar w:fldCharType="begin"/>
          </w:r>
          <w:r>
            <w:instrText xml:space="preserve"> HYPERLINK \l "_Toc13564" </w:instrText>
          </w:r>
          <w: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_Toc13564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34F69CB">
          <w:pPr>
            <w:pStyle w:val="15"/>
            <w:tabs>
              <w:tab w:val="right" w:leader="dot" w:pos="8845"/>
            </w:tabs>
            <w:rPr>
              <w:rFonts w:hint="eastAsia" w:ascii="仿宋" w:hAnsi="仿宋" w:eastAsia="仿宋" w:cs="仿宋"/>
              <w:b/>
              <w:sz w:val="32"/>
              <w:szCs w:val="32"/>
            </w:rPr>
          </w:pPr>
          <w:r>
            <w:fldChar w:fldCharType="begin"/>
          </w:r>
          <w:r>
            <w:instrText xml:space="preserve"> HYPERLINK \l "_Toc19925" </w:instrText>
          </w:r>
          <w: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_Toc19925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672E199">
          <w:pPr>
            <w:pStyle w:val="15"/>
            <w:tabs>
              <w:tab w:val="right" w:leader="dot" w:pos="8845"/>
            </w:tabs>
            <w:rPr>
              <w:rFonts w:hint="eastAsia" w:ascii="仿宋" w:hAnsi="仿宋" w:eastAsia="仿宋" w:cs="仿宋"/>
              <w:sz w:val="32"/>
              <w:szCs w:val="32"/>
            </w:rPr>
          </w:pPr>
          <w:r>
            <w:fldChar w:fldCharType="begin"/>
          </w:r>
          <w:r>
            <w:instrText xml:space="preserve"> HYPERLINK \l "_Toc1792" </w:instrText>
          </w:r>
          <w: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_Toc1792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C6A7AC1">
          <w:pPr>
            <w:pStyle w:val="15"/>
            <w:tabs>
              <w:tab w:val="right" w:leader="dot" w:pos="8845"/>
            </w:tabs>
            <w:rPr>
              <w:rFonts w:hint="eastAsia" w:ascii="仿宋" w:hAnsi="仿宋" w:eastAsia="仿宋" w:cs="仿宋"/>
              <w:b/>
              <w:sz w:val="32"/>
              <w:szCs w:val="32"/>
            </w:rPr>
          </w:pPr>
          <w:r>
            <w:fldChar w:fldCharType="begin"/>
          </w:r>
          <w:r>
            <w:instrText xml:space="preserve"> HYPERLINK \l "_Toc22630" </w:instrText>
          </w:r>
          <w: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_Toc22630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22AB1C9">
          <w:pPr>
            <w:pStyle w:val="15"/>
            <w:tabs>
              <w:tab w:val="right" w:leader="dot" w:pos="8845"/>
            </w:tabs>
            <w:rPr>
              <w:rFonts w:hint="eastAsia" w:ascii="仿宋" w:hAnsi="仿宋" w:eastAsia="仿宋" w:cs="仿宋"/>
              <w:b/>
              <w:sz w:val="32"/>
              <w:szCs w:val="32"/>
            </w:rPr>
          </w:pPr>
          <w:r>
            <w:fldChar w:fldCharType="begin"/>
          </w:r>
          <w:r>
            <w:instrText xml:space="preserve"> HYPERLINK \l "_Toc8517" </w:instrText>
          </w:r>
          <w: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_Toc8517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3070FC4">
          <w:pPr>
            <w:pStyle w:val="15"/>
            <w:tabs>
              <w:tab w:val="right" w:leader="dot" w:pos="8845"/>
            </w:tabs>
            <w:rPr>
              <w:rFonts w:hint="eastAsia" w:ascii="仿宋" w:hAnsi="仿宋" w:eastAsia="仿宋" w:cs="仿宋"/>
              <w:sz w:val="32"/>
              <w:szCs w:val="32"/>
            </w:rPr>
          </w:pPr>
          <w:r>
            <w:fldChar w:fldCharType="begin"/>
          </w:r>
          <w:r>
            <w:instrText xml:space="preserve"> HYPERLINK \l "_Toc19714" </w:instrText>
          </w:r>
          <w: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_Toc19714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AF82138">
          <w:pPr>
            <w:pStyle w:val="15"/>
            <w:tabs>
              <w:tab w:val="right" w:leader="dot" w:pos="8845"/>
            </w:tabs>
            <w:rPr>
              <w:b/>
            </w:rPr>
          </w:pPr>
          <w:r>
            <w:fldChar w:fldCharType="begin"/>
          </w:r>
          <w:r>
            <w:instrText xml:space="preserve"> HYPERLINK \l "_Toc13523" </w:instrText>
          </w:r>
          <w: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_Toc13523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455A61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default" w:ascii="宋体" w:hAnsi="宋体" w:cs="宋体"/>
              <w:b/>
              <w:i w:val="0"/>
              <w:caps w:val="0"/>
              <w:color w:val="000000" w:themeColor="text1"/>
              <w:spacing w:val="0"/>
              <w:szCs w:val="28"/>
              <w:highlight w:val="none"/>
              <w:shd w:val="clear" w:color="auto" w:fill="FFFFFF"/>
              <w:lang w:val="en-US" w:eastAsia="zh-CN"/>
              <w14:textFill>
                <w14:solidFill>
                  <w14:schemeClr w14:val="tx1"/>
                </w14:solidFill>
              </w14:textFill>
            </w:rPr>
            <w:fldChar w:fldCharType="end"/>
          </w:r>
        </w:p>
      </w:sdtContent>
    </w:sdt>
    <w:p w14:paraId="30238EB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BAC5CB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E4C4EA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D15221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8ED9FC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182BA6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0DDD47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36A33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258A26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132FCB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BC6401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9E302E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BD020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57B044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A71029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1918F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7910"/>
      <w:r>
        <w:rPr>
          <w:rFonts w:hint="eastAsia" w:ascii="黑体" w:hAnsi="黑体" w:eastAsia="黑体" w:cs="黑体"/>
          <w:sz w:val="32"/>
          <w:szCs w:val="32"/>
          <w:lang w:val="en-US" w:eastAsia="zh-CN"/>
        </w:rPr>
        <w:t>一、基本职能及主要工作</w:t>
      </w:r>
      <w:bookmarkEnd w:id="1"/>
    </w:p>
    <w:p w14:paraId="2FA946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210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7D0FE8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0CBB7C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3080C7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0D3C84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042F01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15E39A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E415F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23C8D9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0E2C3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5C0046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478D47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65FA4D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EC619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150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0806281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w:t>
      </w:r>
      <w:r>
        <w:rPr>
          <w:rFonts w:hint="eastAsia" w:ascii="仿宋" w:hAnsi="仿宋" w:eastAsia="仿宋"/>
          <w:sz w:val="32"/>
          <w:szCs w:val="32"/>
          <w:highlight w:val="none"/>
          <w:lang w:eastAsia="zh-CN"/>
        </w:rPr>
        <w:t>.</w:t>
      </w:r>
      <w:r>
        <w:rPr>
          <w:rFonts w:ascii="仿宋" w:hAnsi="仿宋" w:eastAsia="仿宋"/>
          <w:sz w:val="32"/>
          <w:szCs w:val="32"/>
          <w:highlight w:val="none"/>
        </w:rPr>
        <w:t>认真落实免费义务教育政策</w:t>
      </w:r>
      <w:r>
        <w:rPr>
          <w:rFonts w:hint="eastAsia" w:ascii="仿宋" w:hAnsi="仿宋" w:eastAsia="仿宋"/>
          <w:sz w:val="32"/>
          <w:szCs w:val="32"/>
          <w:highlight w:val="none"/>
          <w:lang w:eastAsia="zh-CN"/>
        </w:rPr>
        <w:t>，</w:t>
      </w:r>
      <w:r>
        <w:rPr>
          <w:rFonts w:ascii="仿宋" w:hAnsi="仿宋" w:eastAsia="仿宋"/>
          <w:sz w:val="32"/>
          <w:szCs w:val="32"/>
          <w:highlight w:val="none"/>
        </w:rPr>
        <w:t>确保家庭经济困难学生享受到资助。</w:t>
      </w:r>
    </w:p>
    <w:p w14:paraId="639F6162">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val="en-US" w:eastAsia="zh-CN"/>
        </w:rPr>
        <w:t>2.</w:t>
      </w:r>
      <w:r>
        <w:rPr>
          <w:rFonts w:ascii="仿宋" w:hAnsi="仿宋" w:eastAsia="仿宋"/>
          <w:sz w:val="32"/>
          <w:szCs w:val="32"/>
          <w:highlight w:val="none"/>
        </w:rPr>
        <w:t>深化“惜时增效、轻负高效”改革</w:t>
      </w:r>
      <w:r>
        <w:rPr>
          <w:rFonts w:hint="eastAsia" w:ascii="仿宋" w:hAnsi="仿宋" w:eastAsia="仿宋"/>
          <w:sz w:val="32"/>
          <w:szCs w:val="32"/>
          <w:highlight w:val="none"/>
          <w:lang w:eastAsia="zh-CN"/>
        </w:rPr>
        <w:t>，</w:t>
      </w:r>
      <w:r>
        <w:rPr>
          <w:rFonts w:ascii="仿宋" w:hAnsi="仿宋" w:eastAsia="仿宋"/>
          <w:sz w:val="32"/>
          <w:szCs w:val="32"/>
          <w:highlight w:val="none"/>
        </w:rPr>
        <w:t>深入开展打造高效课堂活动</w:t>
      </w:r>
      <w:r>
        <w:rPr>
          <w:rFonts w:hint="eastAsia" w:ascii="仿宋" w:hAnsi="仿宋" w:eastAsia="仿宋"/>
          <w:sz w:val="32"/>
          <w:szCs w:val="32"/>
          <w:highlight w:val="none"/>
          <w:lang w:eastAsia="zh-CN"/>
        </w:rPr>
        <w:t>，不断提高</w:t>
      </w:r>
      <w:r>
        <w:rPr>
          <w:rFonts w:ascii="仿宋" w:hAnsi="仿宋" w:eastAsia="仿宋"/>
          <w:sz w:val="32"/>
          <w:szCs w:val="32"/>
          <w:highlight w:val="none"/>
        </w:rPr>
        <w:t>我校教育教学质量，组织</w:t>
      </w:r>
      <w:r>
        <w:rPr>
          <w:rFonts w:hint="eastAsia" w:ascii="仿宋" w:hAnsi="仿宋" w:eastAsia="仿宋"/>
          <w:sz w:val="32"/>
          <w:szCs w:val="32"/>
          <w:highlight w:val="none"/>
          <w:lang w:val="en-US" w:eastAsia="zh-CN"/>
        </w:rPr>
        <w:t>教师</w:t>
      </w:r>
      <w:r>
        <w:rPr>
          <w:rFonts w:ascii="仿宋" w:hAnsi="仿宋" w:eastAsia="仿宋"/>
          <w:sz w:val="32"/>
          <w:szCs w:val="32"/>
          <w:highlight w:val="none"/>
        </w:rPr>
        <w:t>参加高效课堂达标活动</w:t>
      </w:r>
      <w:r>
        <w:rPr>
          <w:rFonts w:hint="eastAsia" w:ascii="仿宋" w:hAnsi="仿宋" w:eastAsia="仿宋"/>
          <w:sz w:val="32"/>
          <w:szCs w:val="32"/>
          <w:highlight w:val="none"/>
          <w:lang w:eastAsia="zh-CN"/>
        </w:rPr>
        <w:t>，</w:t>
      </w:r>
      <w:r>
        <w:rPr>
          <w:rFonts w:ascii="仿宋" w:hAnsi="仿宋" w:eastAsia="仿宋"/>
          <w:sz w:val="32"/>
          <w:szCs w:val="32"/>
          <w:highlight w:val="none"/>
        </w:rPr>
        <w:t>通过活动提高教师教学水平。</w:t>
      </w:r>
    </w:p>
    <w:p w14:paraId="3050BC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w:t>
      </w:r>
      <w:r>
        <w:rPr>
          <w:rFonts w:ascii="仿宋" w:hAnsi="仿宋" w:eastAsia="仿宋"/>
          <w:sz w:val="32"/>
          <w:szCs w:val="32"/>
          <w:highlight w:val="none"/>
        </w:rPr>
        <w:t>规范办学行为</w:t>
      </w:r>
      <w:r>
        <w:rPr>
          <w:rFonts w:hint="eastAsia" w:ascii="仿宋" w:hAnsi="仿宋" w:eastAsia="仿宋"/>
          <w:sz w:val="32"/>
          <w:szCs w:val="32"/>
          <w:highlight w:val="none"/>
          <w:lang w:eastAsia="zh-CN"/>
        </w:rPr>
        <w:t>，</w:t>
      </w:r>
      <w:r>
        <w:rPr>
          <w:rFonts w:ascii="仿宋" w:hAnsi="仿宋" w:eastAsia="仿宋"/>
          <w:sz w:val="32"/>
          <w:szCs w:val="32"/>
          <w:highlight w:val="none"/>
        </w:rPr>
        <w:t>开齐开足课程</w:t>
      </w:r>
      <w:r>
        <w:rPr>
          <w:rFonts w:hint="eastAsia" w:ascii="仿宋" w:hAnsi="仿宋" w:eastAsia="仿宋"/>
          <w:sz w:val="32"/>
          <w:szCs w:val="32"/>
          <w:highlight w:val="none"/>
          <w:lang w:eastAsia="zh-CN"/>
        </w:rPr>
        <w:t>，</w:t>
      </w:r>
      <w:r>
        <w:rPr>
          <w:rFonts w:ascii="仿宋" w:hAnsi="仿宋" w:eastAsia="仿宋"/>
          <w:sz w:val="32"/>
          <w:szCs w:val="32"/>
          <w:highlight w:val="none"/>
        </w:rPr>
        <w:t>深入推进素质教育</w:t>
      </w:r>
      <w:r>
        <w:rPr>
          <w:rFonts w:hint="eastAsia" w:ascii="仿宋" w:hAnsi="仿宋" w:eastAsia="仿宋"/>
          <w:sz w:val="32"/>
          <w:szCs w:val="32"/>
          <w:highlight w:val="none"/>
          <w:lang w:val="en-US" w:eastAsia="zh-CN"/>
        </w:rPr>
        <w:t>。</w:t>
      </w:r>
    </w:p>
    <w:p w14:paraId="1E226D1A">
      <w:pPr>
        <w:ind w:firstLine="640" w:firstLineChars="200"/>
        <w:rPr>
          <w:rFonts w:hint="eastAsia" w:ascii="楷体_GB2312" w:hAnsi="楷体_GB2312" w:eastAsia="楷体_GB2312" w:cs="楷体_GB2312"/>
          <w:sz w:val="32"/>
          <w:szCs w:val="32"/>
        </w:rPr>
      </w:pPr>
      <w:r>
        <w:rPr>
          <w:rFonts w:hint="eastAsia" w:ascii="仿宋" w:hAnsi="仿宋" w:eastAsia="仿宋"/>
          <w:sz w:val="32"/>
          <w:szCs w:val="32"/>
          <w:highlight w:val="none"/>
          <w:lang w:val="en-US" w:eastAsia="zh-CN"/>
        </w:rPr>
        <w:t>4.</w:t>
      </w:r>
      <w:r>
        <w:rPr>
          <w:rFonts w:ascii="仿宋" w:hAnsi="仿宋" w:eastAsia="仿宋"/>
          <w:sz w:val="32"/>
          <w:szCs w:val="32"/>
          <w:highlight w:val="none"/>
        </w:rPr>
        <w:t>加强教师队伍建设</w:t>
      </w:r>
      <w:r>
        <w:rPr>
          <w:rFonts w:hint="eastAsia" w:ascii="仿宋" w:hAnsi="仿宋" w:eastAsia="仿宋"/>
          <w:sz w:val="32"/>
          <w:szCs w:val="32"/>
          <w:highlight w:val="none"/>
          <w:lang w:eastAsia="zh-CN"/>
        </w:rPr>
        <w:t>，</w:t>
      </w:r>
      <w:r>
        <w:rPr>
          <w:rFonts w:hint="eastAsia" w:ascii="仿宋" w:hAnsi="仿宋" w:eastAsia="仿宋"/>
          <w:sz w:val="32"/>
          <w:szCs w:val="32"/>
          <w:highlight w:val="none"/>
        </w:rPr>
        <w:t>让</w:t>
      </w:r>
      <w:r>
        <w:rPr>
          <w:rFonts w:ascii="仿宋" w:hAnsi="仿宋" w:eastAsia="仿宋"/>
          <w:sz w:val="32"/>
          <w:szCs w:val="32"/>
          <w:highlight w:val="none"/>
        </w:rPr>
        <w:t>教师</w:t>
      </w:r>
      <w:r>
        <w:rPr>
          <w:rFonts w:hint="eastAsia" w:ascii="仿宋" w:hAnsi="仿宋" w:eastAsia="仿宋"/>
          <w:sz w:val="32"/>
          <w:szCs w:val="32"/>
          <w:highlight w:val="none"/>
        </w:rPr>
        <w:t>积极参加</w:t>
      </w:r>
      <w:r>
        <w:rPr>
          <w:rFonts w:hint="eastAsia" w:ascii="仿宋" w:hAnsi="仿宋" w:eastAsia="仿宋"/>
          <w:sz w:val="32"/>
          <w:szCs w:val="32"/>
          <w:highlight w:val="none"/>
          <w:lang w:eastAsia="zh-CN"/>
        </w:rPr>
        <w:t>各级各类</w:t>
      </w:r>
      <w:r>
        <w:rPr>
          <w:rFonts w:ascii="仿宋" w:hAnsi="仿宋" w:eastAsia="仿宋"/>
          <w:sz w:val="32"/>
          <w:szCs w:val="32"/>
          <w:highlight w:val="none"/>
        </w:rPr>
        <w:t>培训。</w:t>
      </w:r>
    </w:p>
    <w:p w14:paraId="1009A2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9838"/>
      <w:r>
        <w:rPr>
          <w:rFonts w:hint="eastAsia" w:ascii="黑体" w:hAnsi="黑体" w:eastAsia="黑体" w:cs="黑体"/>
          <w:sz w:val="32"/>
          <w:szCs w:val="32"/>
          <w:lang w:val="en-US" w:eastAsia="zh-CN"/>
        </w:rPr>
        <w:t>二、部门预算单位构成</w:t>
      </w:r>
      <w:bookmarkEnd w:id="4"/>
    </w:p>
    <w:p w14:paraId="18DF5A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5DCC92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3528"/>
      <w:r>
        <w:rPr>
          <w:rFonts w:hint="eastAsia" w:ascii="黑体" w:hAnsi="黑体" w:eastAsia="黑体" w:cs="黑体"/>
          <w:sz w:val="32"/>
          <w:szCs w:val="32"/>
          <w:lang w:val="en-US" w:eastAsia="zh-CN"/>
        </w:rPr>
        <w:t>三、收支预算情况说明</w:t>
      </w:r>
      <w:bookmarkEnd w:id="5"/>
    </w:p>
    <w:p w14:paraId="6B7B47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陈江小学所有收入和支出均纳入部门预算管理。收入包括：一般公共预算拨款收入；支出包括：教育支出。陈江小学2025年收支预算总数281.82万元，比2024年收支预算总数增加0.61万元，主要原因是基本支出预算增加。</w:t>
      </w:r>
    </w:p>
    <w:p w14:paraId="3C3216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583"/>
      <w:r>
        <w:rPr>
          <w:rFonts w:hint="eastAsia" w:ascii="楷体_GB2312" w:hAnsi="楷体_GB2312" w:eastAsia="楷体_GB2312" w:cs="楷体_GB2312"/>
          <w:sz w:val="32"/>
          <w:szCs w:val="32"/>
          <w:lang w:val="en-US" w:eastAsia="zh-CN"/>
        </w:rPr>
        <w:t>（一）收入预算情况</w:t>
      </w:r>
      <w:bookmarkEnd w:id="6"/>
    </w:p>
    <w:p w14:paraId="0BDEF8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陈江小学2025年收入预算281.82万元，其中：一般公共预算拨款收入281.82万元，占100%。</w:t>
      </w:r>
    </w:p>
    <w:p w14:paraId="4028E1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3317"/>
      <w:r>
        <w:rPr>
          <w:rFonts w:hint="eastAsia" w:ascii="楷体_GB2312" w:hAnsi="楷体_GB2312" w:eastAsia="楷体_GB2312" w:cs="楷体_GB2312"/>
          <w:sz w:val="32"/>
          <w:szCs w:val="32"/>
          <w:lang w:val="en-US" w:eastAsia="zh-CN"/>
        </w:rPr>
        <w:t>（二）支出预算情况</w:t>
      </w:r>
      <w:bookmarkEnd w:id="7"/>
    </w:p>
    <w:p w14:paraId="54A225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陈江小学2025年支出预算281.82万元，其中：基本支出258.72万元，占91.80%；项目支出23.1万元，占8.20%</w:t>
      </w:r>
      <w:r>
        <w:rPr>
          <w:rFonts w:hint="eastAsia" w:ascii="仿宋_GB2312" w:hAnsi="仿宋_GB2312" w:eastAsia="仿宋_GB2312" w:cs="仿宋_GB2312"/>
          <w:b w:val="0"/>
          <w:bCs w:val="0"/>
          <w:sz w:val="32"/>
          <w:szCs w:val="32"/>
          <w:lang w:val="en-US" w:eastAsia="zh-CN"/>
        </w:rPr>
        <w:t>。</w:t>
      </w:r>
    </w:p>
    <w:p w14:paraId="49AE4D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6861"/>
      <w:r>
        <w:rPr>
          <w:rFonts w:hint="eastAsia" w:ascii="黑体" w:hAnsi="黑体" w:eastAsia="黑体" w:cs="黑体"/>
          <w:sz w:val="32"/>
          <w:szCs w:val="32"/>
          <w:lang w:val="en-US" w:eastAsia="zh-CN"/>
        </w:rPr>
        <w:t>四、财政拨款收支预算情况说明</w:t>
      </w:r>
      <w:bookmarkEnd w:id="8"/>
    </w:p>
    <w:p w14:paraId="71AE30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陈江小学2025年财政拨款收支预算总数281.82万元，比2024年财政拨款收支预算总数增加0.61万元，主要原因是基本支出预算增加。</w:t>
      </w:r>
    </w:p>
    <w:p w14:paraId="3B1D8F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收入包括：本年一般公共预算拨款收入281.82万元；支出包括：教育支出281.82万元。</w:t>
      </w:r>
    </w:p>
    <w:p w14:paraId="03275F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7059"/>
      <w:r>
        <w:rPr>
          <w:rFonts w:hint="eastAsia" w:ascii="黑体" w:hAnsi="黑体" w:eastAsia="黑体" w:cs="黑体"/>
          <w:sz w:val="32"/>
          <w:szCs w:val="32"/>
          <w:lang w:val="en-US" w:eastAsia="zh-CN"/>
        </w:rPr>
        <w:t>五、一般公共预算当年拨款情况说明</w:t>
      </w:r>
      <w:bookmarkEnd w:id="9"/>
    </w:p>
    <w:p w14:paraId="5A7AB5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32610"/>
      <w:r>
        <w:rPr>
          <w:rFonts w:hint="eastAsia" w:ascii="楷体_GB2312" w:hAnsi="楷体_GB2312" w:eastAsia="楷体_GB2312" w:cs="楷体_GB2312"/>
          <w:sz w:val="32"/>
          <w:szCs w:val="32"/>
          <w:lang w:val="en-US" w:eastAsia="zh-CN"/>
        </w:rPr>
        <w:t>（一）一般公共预算当年拨款规模变化情况</w:t>
      </w:r>
      <w:bookmarkEnd w:id="10"/>
    </w:p>
    <w:p w14:paraId="380D22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陈江小学2025年一般公共预算当年拨款281.82万元，比2024年预算数增加0.61万元，主要原因是基本支出预算增加。</w:t>
      </w:r>
    </w:p>
    <w:p w14:paraId="567E83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0748"/>
      <w:r>
        <w:rPr>
          <w:rFonts w:hint="eastAsia" w:ascii="楷体_GB2312" w:hAnsi="楷体_GB2312" w:eastAsia="楷体_GB2312" w:cs="楷体_GB2312"/>
          <w:sz w:val="32"/>
          <w:szCs w:val="32"/>
          <w:lang w:val="en-US" w:eastAsia="zh-CN"/>
        </w:rPr>
        <w:t>（二）一般公共预算当年拨款结构情况</w:t>
      </w:r>
      <w:bookmarkEnd w:id="11"/>
    </w:p>
    <w:p w14:paraId="3E4562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教育支出281.82万元，占100%。</w:t>
      </w:r>
    </w:p>
    <w:p w14:paraId="657D19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3564"/>
      <w:r>
        <w:rPr>
          <w:rFonts w:hint="eastAsia" w:ascii="楷体_GB2312" w:hAnsi="楷体_GB2312" w:eastAsia="楷体_GB2312" w:cs="楷体_GB2312"/>
          <w:sz w:val="32"/>
          <w:szCs w:val="32"/>
          <w:lang w:val="en-US" w:eastAsia="zh-CN"/>
        </w:rPr>
        <w:t>（三）一般公共预算当年拨款具体使用情况</w:t>
      </w:r>
      <w:bookmarkEnd w:id="12"/>
    </w:p>
    <w:p w14:paraId="56EE26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281.82</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78B712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9925"/>
      <w:r>
        <w:rPr>
          <w:rFonts w:hint="eastAsia" w:ascii="黑体" w:hAnsi="黑体" w:eastAsia="黑体" w:cs="黑体"/>
          <w:sz w:val="32"/>
          <w:szCs w:val="32"/>
          <w:lang w:val="en-US" w:eastAsia="zh-CN"/>
        </w:rPr>
        <w:t>六、一般公共预算基本支出情况说明</w:t>
      </w:r>
      <w:bookmarkEnd w:id="13"/>
    </w:p>
    <w:p w14:paraId="0EFFF9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陈江小学2025年一般公共预算基本支出258.72万元，其中：</w:t>
      </w:r>
    </w:p>
    <w:p w14:paraId="48656F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人员经费258.72万元，主要包括：基本工资、津贴补贴、奖金、绩效工资、社会保险缴费、住房公积金、其他工资福利支出、生活补助、奖励金等支出。</w:t>
      </w:r>
    </w:p>
    <w:p w14:paraId="7F110C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74607F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792"/>
      <w:r>
        <w:rPr>
          <w:rFonts w:hint="eastAsia" w:ascii="黑体" w:hAnsi="黑体" w:eastAsia="黑体" w:cs="黑体"/>
          <w:sz w:val="32"/>
          <w:szCs w:val="32"/>
          <w:lang w:val="en-US" w:eastAsia="zh-CN"/>
        </w:rPr>
        <w:t>七、“三公”经费财政拨款预算安排情况说明</w:t>
      </w:r>
      <w:bookmarkEnd w:id="14"/>
    </w:p>
    <w:p w14:paraId="33CC1C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陈江小学2025年“三公”经费财政拨款预算数0万元，其中：公务接待费0万元，公务用车购置及运行维护费0万元，因公出国（境）经费0万元。</w:t>
      </w:r>
    </w:p>
    <w:p w14:paraId="235728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6990"/>
      <w:r>
        <w:rPr>
          <w:rFonts w:hint="eastAsia" w:ascii="楷体_GB2312" w:hAnsi="楷体_GB2312" w:eastAsia="楷体_GB2312" w:cs="楷体_GB2312"/>
          <w:sz w:val="32"/>
          <w:szCs w:val="32"/>
          <w:lang w:val="en-US" w:eastAsia="zh-CN"/>
        </w:rPr>
        <w:t>（一）公务接待费</w:t>
      </w:r>
      <w:bookmarkEnd w:id="15"/>
    </w:p>
    <w:p w14:paraId="724247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58698F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6D6C1BE">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2297"/>
      <w:r>
        <w:rPr>
          <w:rFonts w:hint="eastAsia" w:ascii="楷体_GB2312" w:hAnsi="楷体_GB2312" w:eastAsia="楷体_GB2312" w:cs="楷体_GB2312"/>
          <w:sz w:val="32"/>
          <w:szCs w:val="32"/>
          <w:lang w:val="en-US" w:eastAsia="zh-CN"/>
        </w:rPr>
        <w:t>公务用车购置及运行维护费</w:t>
      </w:r>
      <w:bookmarkEnd w:id="16"/>
    </w:p>
    <w:p w14:paraId="1AAB5D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673C07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A4009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218B490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02EFE280">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632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6DAB8F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0C4F8A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2630"/>
      <w:r>
        <w:rPr>
          <w:rFonts w:hint="eastAsia" w:ascii="黑体" w:hAnsi="黑体" w:eastAsia="黑体" w:cs="黑体"/>
          <w:sz w:val="32"/>
          <w:szCs w:val="32"/>
          <w:lang w:val="en-US" w:eastAsia="zh-CN"/>
        </w:rPr>
        <w:t>八、政府性基金预算支出情况说明</w:t>
      </w:r>
      <w:bookmarkEnd w:id="18"/>
    </w:p>
    <w:p w14:paraId="0C6650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陈江小学2025年无政府性基金预算拨款安排的支出。</w:t>
      </w:r>
    </w:p>
    <w:p w14:paraId="44A2F2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8517"/>
      <w:r>
        <w:rPr>
          <w:rFonts w:hint="eastAsia" w:ascii="黑体" w:hAnsi="黑体" w:eastAsia="黑体" w:cs="黑体"/>
          <w:sz w:val="32"/>
          <w:szCs w:val="32"/>
          <w:lang w:val="en-US" w:eastAsia="zh-CN"/>
        </w:rPr>
        <w:t>九、国有资本经营预算支出情况说明</w:t>
      </w:r>
      <w:bookmarkEnd w:id="19"/>
    </w:p>
    <w:p w14:paraId="1A7156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陈江小学2025年无国有资本经营预算拨款安排的支出。</w:t>
      </w:r>
    </w:p>
    <w:p w14:paraId="45224F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9714"/>
      <w:r>
        <w:rPr>
          <w:rFonts w:hint="eastAsia" w:ascii="黑体" w:hAnsi="黑体" w:eastAsia="黑体" w:cs="黑体"/>
          <w:sz w:val="32"/>
          <w:szCs w:val="32"/>
          <w:lang w:val="en-US" w:eastAsia="zh-CN"/>
        </w:rPr>
        <w:t>十、其他重要事项的情况说明</w:t>
      </w:r>
      <w:bookmarkEnd w:id="20"/>
    </w:p>
    <w:p w14:paraId="693065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7212"/>
      <w:r>
        <w:rPr>
          <w:rFonts w:hint="eastAsia" w:ascii="楷体_GB2312" w:hAnsi="楷体_GB2312" w:eastAsia="楷体_GB2312" w:cs="楷体_GB2312"/>
          <w:sz w:val="32"/>
          <w:szCs w:val="32"/>
          <w:lang w:val="en-US" w:eastAsia="zh-CN"/>
        </w:rPr>
        <w:t>（一）机关运行经费</w:t>
      </w:r>
      <w:bookmarkEnd w:id="21"/>
    </w:p>
    <w:p w14:paraId="74AF4D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2025年，本单位属于公益一类事业单位，无机关运行经费。</w:t>
      </w:r>
    </w:p>
    <w:p w14:paraId="62FA41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8239"/>
      <w:r>
        <w:rPr>
          <w:rFonts w:hint="eastAsia" w:ascii="楷体_GB2312" w:hAnsi="楷体_GB2312" w:eastAsia="楷体_GB2312" w:cs="楷体_GB2312"/>
          <w:sz w:val="32"/>
          <w:szCs w:val="32"/>
          <w:lang w:val="en-US" w:eastAsia="zh-CN"/>
        </w:rPr>
        <w:t>（二）政府采购情况</w:t>
      </w:r>
      <w:bookmarkEnd w:id="22"/>
    </w:p>
    <w:p w14:paraId="2F7264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2025年，陈江小学安排政府采购预算0万元。</w:t>
      </w:r>
    </w:p>
    <w:p w14:paraId="6B2AAA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3399"/>
      <w:r>
        <w:rPr>
          <w:rFonts w:hint="eastAsia" w:ascii="楷体_GB2312" w:hAnsi="楷体_GB2312" w:eastAsia="楷体_GB2312" w:cs="楷体_GB2312"/>
          <w:sz w:val="32"/>
          <w:szCs w:val="32"/>
          <w:lang w:val="en-US" w:eastAsia="zh-CN"/>
        </w:rPr>
        <w:t>（三）国有资产占有使用情况</w:t>
      </w:r>
      <w:bookmarkEnd w:id="23"/>
    </w:p>
    <w:p w14:paraId="42E9E4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截至2024年底，陈江小学共有车辆0辆。单位无价值200万元以上的大型设备。</w:t>
      </w:r>
    </w:p>
    <w:p w14:paraId="706C74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0AC866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9336"/>
      <w:r>
        <w:rPr>
          <w:rFonts w:hint="eastAsia" w:ascii="楷体_GB2312" w:hAnsi="楷体_GB2312" w:eastAsia="楷体_GB2312" w:cs="楷体_GB2312"/>
          <w:sz w:val="32"/>
          <w:szCs w:val="32"/>
          <w:lang w:val="en-US" w:eastAsia="zh-CN"/>
        </w:rPr>
        <w:t>（四）绩效目标设置情况</w:t>
      </w:r>
      <w:bookmarkEnd w:id="24"/>
    </w:p>
    <w:p w14:paraId="567789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陈江小学开展绩效目标管理的项目14个，涉及预算281.82万元。其中：人员类项目11个，涉及预算258.72万元；运转类项目3个，涉及预算23.1万元；特定目标类项目0个，涉及预算0万元。因部分项目内容涉密，不予公开。</w:t>
      </w:r>
    </w:p>
    <w:p w14:paraId="21967E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3523"/>
      <w:r>
        <w:rPr>
          <w:rFonts w:hint="eastAsia" w:ascii="黑体" w:hAnsi="黑体" w:eastAsia="黑体" w:cs="黑体"/>
          <w:sz w:val="32"/>
          <w:szCs w:val="32"/>
          <w:lang w:val="en-US" w:eastAsia="zh-CN"/>
        </w:rPr>
        <w:t>十一、名词解释</w:t>
      </w:r>
      <w:bookmarkEnd w:id="25"/>
    </w:p>
    <w:p w14:paraId="197AF7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2B190D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A4379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7AF9F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　　　　</w:t>
      </w:r>
    </w:p>
    <w:p w14:paraId="30913C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1F9B5A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5BC2F3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4B9AAA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405293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341D21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552DD1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26" w:name="_GoBack"/>
      <w:bookmarkEnd w:id="26"/>
      <w:r>
        <w:rPr>
          <w:rFonts w:hint="eastAsia" w:ascii="仿宋_GB2312" w:hAnsi="仿宋_GB2312" w:eastAsia="仿宋_GB2312" w:cs="仿宋_GB2312"/>
          <w:sz w:val="32"/>
          <w:szCs w:val="32"/>
          <w:lang w:val="en-US" w:eastAsia="zh-CN"/>
        </w:rPr>
        <w:t>（含外宾接待）支出。</w:t>
      </w:r>
    </w:p>
    <w:p w14:paraId="19E489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57F6B6C">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587B2D46">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27A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5"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D3BCF7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MtSpb+AQAAAAQAAA4AAABkcnMvZTJvRG9jLnhtbK1TwY7TMBC9I/EP&#10;lu80SRGoipquEFUR0oqttPABruM0lmyPNXablA+AP+DEhTvf1e9gnKRdWDjsgYszM568mfdmvLzp&#10;rWFHhUGDq3gxyzlTTkKt3b7inz5uXiw4C1G4WhhwquInFfjN6vmzZedLNYcWTK2QEYgLZecr3sbo&#10;yywLslVWhBl45eiyAbQikov7rEbREbo12TzPX2cdYO0RpAqBouvxkk+I+BRAaBot1RrkwSoXR1RU&#10;RkSiFFrtA18N3TaNkvGuaYKKzFScmMbhpCJk79KZrZai3KPwrZZTC+IpLTziZIV2VPQKtRZRsAPq&#10;v6CslggBmjiTYLORyKAIsSjyR9rct8KrgQtJHfxV9PD/YOWH4xaZriv+snjFmROWRn7+9vX8/ef5&#10;xxdWJIE6H0rKu/dbnLxAZmLbN2jTl3iwfhD1dBVV9ZFJChaL+WKRk96S7i4O4WQPv3sM8Z0Cy5JR&#10;caSpDWKK422IY+olJVVzsNHGUFyUxv0RIMwUyVLHY4/Jiv2unxrfQX0ivgjjIgQvN5pq3ooQtwJp&#10;8tQnvY14R0djoKs4TBZnLeDnf8VTPg2EbjnraJMq7ujhcGbeOxpUWrqLgRdjdzHcwb4FWs2CM+Ek&#10;YVQ8cnbwqPft0GKiF/ybQyTOgxSJ0Mhi4kmLMYg5LXHavN/9Ievh4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jLUqW/gEAAAAEAAAOAAAAAAAAAAEAIAAAAB8BAABkcnMvZTJvRG9jLnht&#10;bFBLBQYAAAAABgAGAFkBAACPBQAAAAA=&#10;">
              <v:fill on="f" focussize="0,0"/>
              <v:stroke on="f"/>
              <v:imagedata o:title=""/>
              <o:lock v:ext="edit" aspectratio="f"/>
              <v:textbox inset="0mm,0mm,0mm,0mm" style="mso-fit-shape-to-text:t;">
                <w:txbxContent>
                  <w:p w14:paraId="5D3BCF7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EE91F"/>
    <w:multiLevelType w:val="singleLevel"/>
    <w:tmpl w:val="01DEE91F"/>
    <w:lvl w:ilvl="0" w:tentative="0">
      <w:start w:val="2"/>
      <w:numFmt w:val="decimal"/>
      <w:lvlText w:val="%1."/>
      <w:lvlJc w:val="left"/>
      <w:pPr>
        <w:tabs>
          <w:tab w:val="left" w:pos="312"/>
        </w:tabs>
        <w:ind w:left="1600" w:leftChars="0" w:firstLine="0" w:firstLineChars="0"/>
      </w:pPr>
    </w:lvl>
  </w:abstractNum>
  <w:abstractNum w:abstractNumId="1">
    <w:nsid w:val="15BD821A"/>
    <w:multiLevelType w:val="singleLevel"/>
    <w:tmpl w:val="15BD821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DJkNjA3ZGMwYTE5MzgxMTU2OTY3MjU1ZDhmN2IifQ=="/>
    <w:docVar w:name="KSO_WPS_MARK_KEY" w:val="0f5822b8-8fe9-4bb5-9488-a93762234b0b"/>
  </w:docVars>
  <w:rsids>
    <w:rsidRoot w:val="00000000"/>
    <w:rsid w:val="5D7415A0"/>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table" w:styleId="10">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3002</Words>
  <Characters>3212</Characters>
  <TotalTime>0</TotalTime>
  <ScaleCrop>false</ScaleCrop>
  <LinksUpToDate>false</LinksUpToDate>
  <CharactersWithSpaces>3280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