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A565C2">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000000" w:themeColor="text1"/>
          <w:spacing w:val="0"/>
          <w:sz w:val="44"/>
          <w:szCs w:val="44"/>
          <w:highlight w:val="none"/>
          <w:lang w:val="en-US"/>
          <w14:textFill>
            <w14:solidFill>
              <w14:schemeClr w14:val="tx1"/>
            </w14:solidFill>
          </w14:textFill>
        </w:rPr>
      </w:pPr>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14:textFill>
            <w14:solidFill>
              <w14:schemeClr w14:val="tx1"/>
            </w14:solidFill>
          </w14:textFill>
        </w:rPr>
        <w:t>广元市昭化区虎跳镇小学</w:t>
      </w:r>
    </w:p>
    <w:p w14:paraId="08B7CDE8">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14:textFill>
            <w14:solidFill>
              <w14:schemeClr w14:val="tx1"/>
            </w14:solidFill>
          </w14:textFill>
        </w:rPr>
      </w:pPr>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14:textFill>
            <w14:solidFill>
              <w14:schemeClr w14:val="tx1"/>
            </w14:solidFill>
          </w14:textFill>
        </w:rPr>
        <w:t>2025年部门预算编制说明</w:t>
      </w:r>
    </w:p>
    <w:p w14:paraId="2556D908">
      <w:pPr>
        <w:jc w:val="center"/>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目   录</w:t>
      </w:r>
    </w:p>
    <w:sdt>
      <w:sdtPr>
        <w:rPr>
          <w:rFonts w:ascii="宋体" w:hAnsi="宋体" w:eastAsia="宋体"/>
          <w:sz w:val="21"/>
        </w:rPr>
        <w:id w:val="147465496"/>
        <w:docPartObj>
          <w:docPartGallery w:val="Table of Contents"/>
          <w:docPartUnique/>
        </w:docPartObj>
      </w:sdtPr>
      <w:sdtEndPr>
        <w:rPr>
          <w:rFonts w:ascii="宋体" w:hAnsi="宋体" w:eastAsia="宋体"/>
          <w:b/>
          <w:bCs/>
          <w:sz w:val="20"/>
          <w:szCs w:val="20"/>
        </w:rPr>
      </w:sdtEndPr>
      <w:sdtContent>
        <w:p w14:paraId="231B83D8">
          <w:pPr>
            <w:jc w:val="center"/>
          </w:pPr>
        </w:p>
        <w:p w14:paraId="12EDE999">
          <w:pPr>
            <w:pStyle w:val="14"/>
            <w:tabs>
              <w:tab w:val="right" w:leader="dot" w:pos="8845"/>
            </w:tabs>
            <w:rPr>
              <w:rFonts w:hint="eastAsia" w:ascii="仿宋_GB2312" w:hAnsi="仿宋_GB2312" w:eastAsia="仿宋_GB2312" w:cs="仿宋_GB2312"/>
              <w:color w:val="auto"/>
              <w:kern w:val="2"/>
              <w:sz w:val="32"/>
              <w:szCs w:val="32"/>
              <w:lang w:val="en-US" w:eastAsia="zh-CN" w:bidi="ar-SA"/>
            </w:rPr>
          </w:pPr>
          <w:r>
            <w:fldChar w:fldCharType="begin"/>
          </w:r>
          <w:r>
            <w:instrText xml:space="preserve"> HYPERLINK \l "_Toc22162" </w:instrText>
          </w:r>
          <w:r>
            <w:fldChar w:fldCharType="separate"/>
          </w:r>
          <w:sdt>
            <w:sdtPr>
              <w:rPr>
                <w:rFonts w:hint="eastAsia" w:ascii="仿宋_GB2312" w:hAnsi="仿宋_GB2312" w:eastAsia="仿宋_GB2312" w:cs="仿宋_GB2312"/>
                <w:color w:val="auto"/>
                <w:kern w:val="2"/>
                <w:sz w:val="32"/>
                <w:szCs w:val="32"/>
                <w:lang w:val="en-US" w:eastAsia="zh-CN" w:bidi="ar-SA"/>
              </w:rPr>
              <w:id w:val="147466178"/>
              <w:placeholder>
                <w:docPart w:val="{4a18f479-58d8-42df-b78a-d1da01e6c193}"/>
              </w:placeholder>
            </w:sdtPr>
            <w:sdtEndPr>
              <w:rPr>
                <w:rFonts w:hint="eastAsia" w:ascii="仿宋_GB2312" w:hAnsi="仿宋_GB2312" w:eastAsia="仿宋_GB2312" w:cs="仿宋_GB2312"/>
                <w:color w:val="auto"/>
                <w:kern w:val="2"/>
                <w:sz w:val="32"/>
                <w:szCs w:val="32"/>
                <w:lang w:val="en-US" w:eastAsia="zh-CN" w:bidi="ar-SA"/>
              </w:rPr>
            </w:sdtEndPr>
            <w:sdtContent>
              <w:r>
                <w:rPr>
                  <w:rFonts w:hint="eastAsia" w:ascii="仿宋_GB2312" w:hAnsi="仿宋_GB2312" w:eastAsia="仿宋_GB2312" w:cs="仿宋_GB2312"/>
                  <w:color w:val="auto"/>
                  <w:kern w:val="2"/>
                  <w:sz w:val="32"/>
                  <w:szCs w:val="32"/>
                  <w:lang w:val="en-US" w:eastAsia="zh-CN" w:bidi="ar-SA"/>
                </w:rPr>
                <w:t>一、基本职能及主要工作</w:t>
              </w:r>
            </w:sdtContent>
          </w:sdt>
          <w:r>
            <w:rPr>
              <w:rFonts w:hint="eastAsia" w:ascii="仿宋_GB2312" w:hAnsi="仿宋_GB2312" w:eastAsia="仿宋_GB2312" w:cs="仿宋_GB2312"/>
              <w:color w:val="auto"/>
              <w:kern w:val="2"/>
              <w:sz w:val="32"/>
              <w:szCs w:val="32"/>
              <w:lang w:val="en-US" w:eastAsia="zh-CN" w:bidi="ar-SA"/>
            </w:rPr>
            <w:tab/>
          </w:r>
          <w:r>
            <w:rPr>
              <w:rFonts w:hint="eastAsia" w:ascii="仿宋_GB2312" w:hAnsi="仿宋_GB2312" w:eastAsia="仿宋_GB2312" w:cs="仿宋_GB2312"/>
              <w:color w:val="auto"/>
              <w:kern w:val="2"/>
              <w:sz w:val="32"/>
              <w:szCs w:val="32"/>
              <w:lang w:val="en-US" w:eastAsia="zh-CN" w:bidi="ar-SA"/>
            </w:rPr>
            <w:t>3</w:t>
          </w:r>
          <w:r>
            <w:rPr>
              <w:rFonts w:hint="eastAsia" w:ascii="仿宋_GB2312" w:hAnsi="仿宋_GB2312" w:eastAsia="仿宋_GB2312" w:cs="仿宋_GB2312"/>
              <w:color w:val="auto"/>
              <w:kern w:val="2"/>
              <w:sz w:val="32"/>
              <w:szCs w:val="32"/>
              <w:lang w:val="en-US" w:eastAsia="zh-CN" w:bidi="ar-SA"/>
            </w:rPr>
            <w:fldChar w:fldCharType="end"/>
          </w:r>
        </w:p>
        <w:p w14:paraId="24D2F858">
          <w:pPr>
            <w:pStyle w:val="15"/>
            <w:tabs>
              <w:tab w:val="right" w:leader="dot" w:pos="8845"/>
            </w:tabs>
            <w:rPr>
              <w:rFonts w:hint="eastAsia" w:ascii="仿宋_GB2312" w:hAnsi="仿宋_GB2312" w:eastAsia="仿宋_GB2312" w:cs="仿宋_GB2312"/>
              <w:color w:val="auto"/>
              <w:kern w:val="2"/>
              <w:sz w:val="32"/>
              <w:szCs w:val="32"/>
              <w:lang w:val="en-US" w:eastAsia="zh-CN" w:bidi="ar-SA"/>
            </w:rPr>
          </w:pPr>
          <w:r>
            <w:fldChar w:fldCharType="begin"/>
          </w:r>
          <w:r>
            <w:instrText xml:space="preserve"> HYPERLINK \l "_Toc26103" </w:instrText>
          </w:r>
          <w:r>
            <w:fldChar w:fldCharType="separate"/>
          </w:r>
          <w:sdt>
            <w:sdtPr>
              <w:rPr>
                <w:rFonts w:hint="eastAsia" w:ascii="仿宋_GB2312" w:hAnsi="仿宋_GB2312" w:eastAsia="仿宋_GB2312" w:cs="仿宋_GB2312"/>
                <w:color w:val="auto"/>
                <w:kern w:val="2"/>
                <w:sz w:val="32"/>
                <w:szCs w:val="32"/>
                <w:lang w:val="en-US" w:eastAsia="zh-CN" w:bidi="ar-SA"/>
              </w:rPr>
              <w:id w:val="147481211"/>
              <w:placeholder>
                <w:docPart w:val="{c69bc29a-82b7-4a2c-95ec-a1d4f2bfd746}"/>
              </w:placeholder>
            </w:sdtPr>
            <w:sdtEndPr>
              <w:rPr>
                <w:rFonts w:hint="eastAsia" w:ascii="仿宋_GB2312" w:hAnsi="仿宋_GB2312" w:eastAsia="仿宋_GB2312" w:cs="仿宋_GB2312"/>
                <w:color w:val="auto"/>
                <w:kern w:val="2"/>
                <w:sz w:val="32"/>
                <w:szCs w:val="32"/>
                <w:lang w:val="en-US" w:eastAsia="zh-CN" w:bidi="ar-SA"/>
              </w:rPr>
            </w:sdtEndPr>
            <w:sdtContent>
              <w:r>
                <w:rPr>
                  <w:rFonts w:hint="eastAsia" w:ascii="仿宋_GB2312" w:hAnsi="仿宋_GB2312" w:eastAsia="仿宋_GB2312" w:cs="仿宋_GB2312"/>
                  <w:color w:val="auto"/>
                  <w:kern w:val="2"/>
                  <w:sz w:val="32"/>
                  <w:szCs w:val="32"/>
                  <w:lang w:val="en-US" w:eastAsia="zh-CN" w:bidi="ar-SA"/>
                </w:rPr>
                <w:t>（一）单位职能简介</w:t>
              </w:r>
            </w:sdtContent>
          </w:sdt>
          <w:r>
            <w:rPr>
              <w:rFonts w:hint="eastAsia" w:ascii="仿宋_GB2312" w:hAnsi="仿宋_GB2312" w:eastAsia="仿宋_GB2312" w:cs="仿宋_GB2312"/>
              <w:color w:val="auto"/>
              <w:kern w:val="2"/>
              <w:sz w:val="32"/>
              <w:szCs w:val="32"/>
              <w:lang w:val="en-US" w:eastAsia="zh-CN" w:bidi="ar-SA"/>
            </w:rPr>
            <w:tab/>
          </w:r>
          <w:r>
            <w:rPr>
              <w:rFonts w:hint="eastAsia" w:ascii="仿宋_GB2312" w:hAnsi="仿宋_GB2312" w:eastAsia="仿宋_GB2312" w:cs="仿宋_GB2312"/>
              <w:color w:val="auto"/>
              <w:kern w:val="2"/>
              <w:sz w:val="32"/>
              <w:szCs w:val="32"/>
              <w:lang w:val="en-US" w:eastAsia="zh-CN" w:bidi="ar-SA"/>
            </w:rPr>
            <w:t>3</w:t>
          </w:r>
          <w:r>
            <w:rPr>
              <w:rFonts w:hint="eastAsia" w:ascii="仿宋_GB2312" w:hAnsi="仿宋_GB2312" w:eastAsia="仿宋_GB2312" w:cs="仿宋_GB2312"/>
              <w:color w:val="auto"/>
              <w:kern w:val="2"/>
              <w:sz w:val="32"/>
              <w:szCs w:val="32"/>
              <w:lang w:val="en-US" w:eastAsia="zh-CN" w:bidi="ar-SA"/>
            </w:rPr>
            <w:fldChar w:fldCharType="end"/>
          </w:r>
        </w:p>
        <w:p w14:paraId="61A7F59A">
          <w:pPr>
            <w:pStyle w:val="15"/>
            <w:tabs>
              <w:tab w:val="right" w:leader="dot" w:pos="8845"/>
            </w:tabs>
            <w:rPr>
              <w:rFonts w:hint="eastAsia" w:ascii="仿宋_GB2312" w:hAnsi="仿宋_GB2312" w:eastAsia="仿宋_GB2312" w:cs="仿宋_GB2312"/>
              <w:color w:val="auto"/>
              <w:kern w:val="2"/>
              <w:sz w:val="32"/>
              <w:szCs w:val="32"/>
              <w:lang w:val="en-US" w:eastAsia="zh-CN" w:bidi="ar-SA"/>
            </w:rPr>
          </w:pPr>
          <w:r>
            <w:fldChar w:fldCharType="begin"/>
          </w:r>
          <w:r>
            <w:instrText xml:space="preserve"> HYPERLINK \l "_Toc11972" </w:instrText>
          </w:r>
          <w:r>
            <w:fldChar w:fldCharType="separate"/>
          </w:r>
          <w:sdt>
            <w:sdtPr>
              <w:rPr>
                <w:rFonts w:hint="eastAsia" w:ascii="仿宋_GB2312" w:hAnsi="仿宋_GB2312" w:eastAsia="仿宋_GB2312" w:cs="仿宋_GB2312"/>
                <w:color w:val="auto"/>
                <w:kern w:val="2"/>
                <w:sz w:val="32"/>
                <w:szCs w:val="32"/>
                <w:lang w:val="en-US" w:eastAsia="zh-CN" w:bidi="ar-SA"/>
              </w:rPr>
              <w:id w:val="147451388"/>
              <w:placeholder>
                <w:docPart w:val="{299c54d3-2f4c-4b2f-9530-735fc75ab0e4}"/>
              </w:placeholder>
            </w:sdtPr>
            <w:sdtEndPr>
              <w:rPr>
                <w:rFonts w:hint="eastAsia" w:ascii="仿宋_GB2312" w:hAnsi="仿宋_GB2312" w:eastAsia="仿宋_GB2312" w:cs="仿宋_GB2312"/>
                <w:color w:val="auto"/>
                <w:kern w:val="2"/>
                <w:sz w:val="32"/>
                <w:szCs w:val="32"/>
                <w:lang w:val="en-US" w:eastAsia="zh-CN" w:bidi="ar-SA"/>
              </w:rPr>
            </w:sdtEndPr>
            <w:sdtContent>
              <w:r>
                <w:rPr>
                  <w:rFonts w:hint="eastAsia" w:ascii="仿宋_GB2312" w:hAnsi="仿宋_GB2312" w:eastAsia="仿宋_GB2312" w:cs="仿宋_GB2312"/>
                  <w:color w:val="auto"/>
                  <w:kern w:val="2"/>
                  <w:sz w:val="32"/>
                  <w:szCs w:val="32"/>
                  <w:lang w:val="en-US" w:eastAsia="zh-CN" w:bidi="ar-SA"/>
                </w:rPr>
                <w:t>（二）2025年重点工作</w:t>
              </w:r>
            </w:sdtContent>
          </w:sdt>
          <w:r>
            <w:rPr>
              <w:rFonts w:hint="eastAsia" w:ascii="仿宋_GB2312" w:hAnsi="仿宋_GB2312" w:eastAsia="仿宋_GB2312" w:cs="仿宋_GB2312"/>
              <w:color w:val="auto"/>
              <w:kern w:val="2"/>
              <w:sz w:val="32"/>
              <w:szCs w:val="32"/>
              <w:lang w:val="en-US" w:eastAsia="zh-CN" w:bidi="ar-SA"/>
            </w:rPr>
            <w:tab/>
          </w:r>
          <w:r>
            <w:rPr>
              <w:rFonts w:hint="eastAsia" w:ascii="仿宋_GB2312" w:hAnsi="仿宋_GB2312" w:eastAsia="仿宋_GB2312" w:cs="仿宋_GB2312"/>
              <w:color w:val="auto"/>
              <w:kern w:val="2"/>
              <w:sz w:val="32"/>
              <w:szCs w:val="32"/>
              <w:lang w:val="en-US" w:eastAsia="zh-CN" w:bidi="ar-SA"/>
            </w:rPr>
            <w:t>4</w:t>
          </w:r>
          <w:r>
            <w:rPr>
              <w:rFonts w:hint="eastAsia" w:ascii="仿宋_GB2312" w:hAnsi="仿宋_GB2312" w:eastAsia="仿宋_GB2312" w:cs="仿宋_GB2312"/>
              <w:color w:val="auto"/>
              <w:kern w:val="2"/>
              <w:sz w:val="32"/>
              <w:szCs w:val="32"/>
              <w:lang w:val="en-US" w:eastAsia="zh-CN" w:bidi="ar-SA"/>
            </w:rPr>
            <w:fldChar w:fldCharType="end"/>
          </w:r>
        </w:p>
        <w:p w14:paraId="7A7B4AFD">
          <w:pPr>
            <w:pStyle w:val="14"/>
            <w:tabs>
              <w:tab w:val="right" w:leader="dot" w:pos="8845"/>
            </w:tabs>
            <w:rPr>
              <w:rFonts w:hint="eastAsia" w:ascii="仿宋_GB2312" w:hAnsi="仿宋_GB2312" w:eastAsia="仿宋_GB2312" w:cs="仿宋_GB2312"/>
              <w:color w:val="auto"/>
              <w:kern w:val="2"/>
              <w:sz w:val="32"/>
              <w:szCs w:val="32"/>
              <w:lang w:val="en-US" w:eastAsia="zh-CN" w:bidi="ar-SA"/>
            </w:rPr>
          </w:pPr>
          <w:r>
            <w:fldChar w:fldCharType="begin"/>
          </w:r>
          <w:r>
            <w:instrText xml:space="preserve"> HYPERLINK \l "_Toc3550" </w:instrText>
          </w:r>
          <w:r>
            <w:fldChar w:fldCharType="separate"/>
          </w:r>
          <w:sdt>
            <w:sdtPr>
              <w:rPr>
                <w:rFonts w:hint="eastAsia" w:ascii="仿宋_GB2312" w:hAnsi="仿宋_GB2312" w:eastAsia="仿宋_GB2312" w:cs="仿宋_GB2312"/>
                <w:color w:val="auto"/>
                <w:kern w:val="2"/>
                <w:sz w:val="32"/>
                <w:szCs w:val="32"/>
                <w:lang w:val="en-US" w:eastAsia="zh-CN" w:bidi="ar-SA"/>
              </w:rPr>
              <w:id w:val="147481659"/>
              <w:placeholder>
                <w:docPart w:val="{2456a93e-fd53-4d14-b918-f5075c3afedf}"/>
              </w:placeholder>
            </w:sdtPr>
            <w:sdtEndPr>
              <w:rPr>
                <w:rFonts w:hint="eastAsia" w:ascii="仿宋_GB2312" w:hAnsi="仿宋_GB2312" w:eastAsia="仿宋_GB2312" w:cs="仿宋_GB2312"/>
                <w:color w:val="auto"/>
                <w:kern w:val="2"/>
                <w:sz w:val="32"/>
                <w:szCs w:val="32"/>
                <w:lang w:val="en-US" w:eastAsia="zh-CN" w:bidi="ar-SA"/>
              </w:rPr>
            </w:sdtEndPr>
            <w:sdtContent>
              <w:r>
                <w:rPr>
                  <w:rFonts w:hint="eastAsia" w:ascii="仿宋_GB2312" w:hAnsi="仿宋_GB2312" w:eastAsia="仿宋_GB2312" w:cs="仿宋_GB2312"/>
                  <w:color w:val="auto"/>
                  <w:kern w:val="2"/>
                  <w:sz w:val="32"/>
                  <w:szCs w:val="32"/>
                  <w:lang w:val="en-US" w:eastAsia="zh-CN" w:bidi="ar-SA"/>
                </w:rPr>
                <w:t>二、部门预算单位构成</w:t>
              </w:r>
            </w:sdtContent>
          </w:sdt>
          <w:r>
            <w:rPr>
              <w:rFonts w:hint="eastAsia" w:ascii="仿宋_GB2312" w:hAnsi="仿宋_GB2312" w:eastAsia="仿宋_GB2312" w:cs="仿宋_GB2312"/>
              <w:color w:val="auto"/>
              <w:kern w:val="2"/>
              <w:sz w:val="32"/>
              <w:szCs w:val="32"/>
              <w:lang w:val="en-US" w:eastAsia="zh-CN" w:bidi="ar-SA"/>
            </w:rPr>
            <w:tab/>
          </w:r>
          <w:r>
            <w:rPr>
              <w:rFonts w:hint="eastAsia" w:ascii="仿宋_GB2312" w:hAnsi="仿宋_GB2312" w:eastAsia="仿宋_GB2312" w:cs="仿宋_GB2312"/>
              <w:color w:val="auto"/>
              <w:kern w:val="2"/>
              <w:sz w:val="32"/>
              <w:szCs w:val="32"/>
              <w:lang w:val="en-US" w:eastAsia="zh-CN" w:bidi="ar-SA"/>
            </w:rPr>
            <w:t>6</w:t>
          </w:r>
          <w:r>
            <w:rPr>
              <w:rFonts w:hint="eastAsia" w:ascii="仿宋_GB2312" w:hAnsi="仿宋_GB2312" w:eastAsia="仿宋_GB2312" w:cs="仿宋_GB2312"/>
              <w:color w:val="auto"/>
              <w:kern w:val="2"/>
              <w:sz w:val="32"/>
              <w:szCs w:val="32"/>
              <w:lang w:val="en-US" w:eastAsia="zh-CN" w:bidi="ar-SA"/>
            </w:rPr>
            <w:fldChar w:fldCharType="end"/>
          </w:r>
        </w:p>
        <w:p w14:paraId="19D94C3A">
          <w:pPr>
            <w:pStyle w:val="14"/>
            <w:tabs>
              <w:tab w:val="right" w:leader="dot" w:pos="8845"/>
            </w:tabs>
            <w:rPr>
              <w:rFonts w:hint="eastAsia" w:ascii="仿宋_GB2312" w:hAnsi="仿宋_GB2312" w:eastAsia="仿宋_GB2312" w:cs="仿宋_GB2312"/>
              <w:color w:val="auto"/>
              <w:kern w:val="2"/>
              <w:sz w:val="32"/>
              <w:szCs w:val="32"/>
              <w:lang w:val="en-US" w:eastAsia="zh-CN" w:bidi="ar-SA"/>
            </w:rPr>
          </w:pPr>
          <w:r>
            <w:fldChar w:fldCharType="begin"/>
          </w:r>
          <w:r>
            <w:instrText xml:space="preserve"> HYPERLINK \l "_Toc14779" </w:instrText>
          </w:r>
          <w:r>
            <w:fldChar w:fldCharType="separate"/>
          </w:r>
          <w:sdt>
            <w:sdtPr>
              <w:rPr>
                <w:rFonts w:hint="eastAsia" w:ascii="仿宋_GB2312" w:hAnsi="仿宋_GB2312" w:eastAsia="仿宋_GB2312" w:cs="仿宋_GB2312"/>
                <w:color w:val="auto"/>
                <w:kern w:val="2"/>
                <w:sz w:val="32"/>
                <w:szCs w:val="32"/>
                <w:lang w:val="en-US" w:eastAsia="zh-CN" w:bidi="ar-SA"/>
              </w:rPr>
              <w:id w:val="147478216"/>
              <w:placeholder>
                <w:docPart w:val="{9e70e2d5-8a94-4c7c-8faf-3e3b03bb5a1d}"/>
              </w:placeholder>
            </w:sdtPr>
            <w:sdtEndPr>
              <w:rPr>
                <w:rFonts w:hint="eastAsia" w:ascii="仿宋_GB2312" w:hAnsi="仿宋_GB2312" w:eastAsia="仿宋_GB2312" w:cs="仿宋_GB2312"/>
                <w:color w:val="auto"/>
                <w:kern w:val="2"/>
                <w:sz w:val="32"/>
                <w:szCs w:val="32"/>
                <w:lang w:val="en-US" w:eastAsia="zh-CN" w:bidi="ar-SA"/>
              </w:rPr>
            </w:sdtEndPr>
            <w:sdtContent>
              <w:r>
                <w:rPr>
                  <w:rFonts w:hint="eastAsia" w:ascii="仿宋_GB2312" w:hAnsi="仿宋_GB2312" w:eastAsia="仿宋_GB2312" w:cs="仿宋_GB2312"/>
                  <w:color w:val="auto"/>
                  <w:kern w:val="2"/>
                  <w:sz w:val="32"/>
                  <w:szCs w:val="32"/>
                  <w:lang w:val="en-US" w:eastAsia="zh-CN" w:bidi="ar-SA"/>
                </w:rPr>
                <w:t>三、收支预算情况说明</w:t>
              </w:r>
            </w:sdtContent>
          </w:sdt>
          <w:r>
            <w:rPr>
              <w:rFonts w:hint="eastAsia" w:ascii="仿宋_GB2312" w:hAnsi="仿宋_GB2312" w:eastAsia="仿宋_GB2312" w:cs="仿宋_GB2312"/>
              <w:color w:val="auto"/>
              <w:kern w:val="2"/>
              <w:sz w:val="32"/>
              <w:szCs w:val="32"/>
              <w:lang w:val="en-US" w:eastAsia="zh-CN" w:bidi="ar-SA"/>
            </w:rPr>
            <w:tab/>
          </w:r>
          <w:r>
            <w:rPr>
              <w:rFonts w:hint="eastAsia" w:ascii="仿宋_GB2312" w:hAnsi="仿宋_GB2312" w:eastAsia="仿宋_GB2312" w:cs="仿宋_GB2312"/>
              <w:color w:val="auto"/>
              <w:kern w:val="2"/>
              <w:sz w:val="32"/>
              <w:szCs w:val="32"/>
              <w:lang w:val="en-US" w:eastAsia="zh-CN" w:bidi="ar-SA"/>
            </w:rPr>
            <w:t>6</w:t>
          </w:r>
          <w:r>
            <w:rPr>
              <w:rFonts w:hint="eastAsia" w:ascii="仿宋_GB2312" w:hAnsi="仿宋_GB2312" w:eastAsia="仿宋_GB2312" w:cs="仿宋_GB2312"/>
              <w:color w:val="auto"/>
              <w:kern w:val="2"/>
              <w:sz w:val="32"/>
              <w:szCs w:val="32"/>
              <w:lang w:val="en-US" w:eastAsia="zh-CN" w:bidi="ar-SA"/>
            </w:rPr>
            <w:fldChar w:fldCharType="end"/>
          </w:r>
        </w:p>
        <w:p w14:paraId="0C015AA6">
          <w:pPr>
            <w:pStyle w:val="15"/>
            <w:tabs>
              <w:tab w:val="right" w:leader="dot" w:pos="8845"/>
            </w:tabs>
            <w:rPr>
              <w:rFonts w:hint="eastAsia" w:ascii="仿宋_GB2312" w:hAnsi="仿宋_GB2312" w:eastAsia="仿宋_GB2312" w:cs="仿宋_GB2312"/>
              <w:color w:val="auto"/>
              <w:kern w:val="2"/>
              <w:sz w:val="32"/>
              <w:szCs w:val="32"/>
              <w:lang w:val="en-US" w:eastAsia="zh-CN" w:bidi="ar-SA"/>
            </w:rPr>
          </w:pPr>
          <w:r>
            <w:fldChar w:fldCharType="begin"/>
          </w:r>
          <w:r>
            <w:instrText xml:space="preserve"> HYPERLINK \l "_Toc14739" </w:instrText>
          </w:r>
          <w:r>
            <w:fldChar w:fldCharType="separate"/>
          </w:r>
          <w:sdt>
            <w:sdtPr>
              <w:rPr>
                <w:rFonts w:hint="eastAsia" w:ascii="仿宋_GB2312" w:hAnsi="仿宋_GB2312" w:eastAsia="仿宋_GB2312" w:cs="仿宋_GB2312"/>
                <w:color w:val="auto"/>
                <w:kern w:val="2"/>
                <w:sz w:val="32"/>
                <w:szCs w:val="32"/>
                <w:lang w:val="en-US" w:eastAsia="zh-CN" w:bidi="ar-SA"/>
              </w:rPr>
              <w:id w:val="147480729"/>
              <w:placeholder>
                <w:docPart w:val="{01e9f80f-0eb2-48e3-8da7-a9801d4b67a8}"/>
              </w:placeholder>
            </w:sdtPr>
            <w:sdtEndPr>
              <w:rPr>
                <w:rFonts w:hint="eastAsia" w:ascii="仿宋_GB2312" w:hAnsi="仿宋_GB2312" w:eastAsia="仿宋_GB2312" w:cs="仿宋_GB2312"/>
                <w:color w:val="auto"/>
                <w:kern w:val="2"/>
                <w:sz w:val="32"/>
                <w:szCs w:val="32"/>
                <w:lang w:val="en-US" w:eastAsia="zh-CN" w:bidi="ar-SA"/>
              </w:rPr>
            </w:sdtEndPr>
            <w:sdtContent>
              <w:r>
                <w:rPr>
                  <w:rFonts w:hint="eastAsia" w:ascii="仿宋_GB2312" w:hAnsi="仿宋_GB2312" w:eastAsia="仿宋_GB2312" w:cs="仿宋_GB2312"/>
                  <w:color w:val="auto"/>
                  <w:kern w:val="2"/>
                  <w:sz w:val="32"/>
                  <w:szCs w:val="32"/>
                  <w:lang w:val="en-US" w:eastAsia="zh-CN" w:bidi="ar-SA"/>
                </w:rPr>
                <w:t>（一）收入预算情况</w:t>
              </w:r>
            </w:sdtContent>
          </w:sdt>
          <w:r>
            <w:rPr>
              <w:rFonts w:hint="eastAsia" w:ascii="仿宋_GB2312" w:hAnsi="仿宋_GB2312" w:eastAsia="仿宋_GB2312" w:cs="仿宋_GB2312"/>
              <w:color w:val="auto"/>
              <w:kern w:val="2"/>
              <w:sz w:val="32"/>
              <w:szCs w:val="32"/>
              <w:lang w:val="en-US" w:eastAsia="zh-CN" w:bidi="ar-SA"/>
            </w:rPr>
            <w:tab/>
          </w:r>
          <w:r>
            <w:rPr>
              <w:rFonts w:hint="eastAsia" w:ascii="仿宋_GB2312" w:hAnsi="仿宋_GB2312" w:eastAsia="仿宋_GB2312" w:cs="仿宋_GB2312"/>
              <w:color w:val="auto"/>
              <w:kern w:val="2"/>
              <w:sz w:val="32"/>
              <w:szCs w:val="32"/>
              <w:lang w:val="en-US" w:eastAsia="zh-CN" w:bidi="ar-SA"/>
            </w:rPr>
            <w:t>6</w:t>
          </w:r>
          <w:r>
            <w:rPr>
              <w:rFonts w:hint="eastAsia" w:ascii="仿宋_GB2312" w:hAnsi="仿宋_GB2312" w:eastAsia="仿宋_GB2312" w:cs="仿宋_GB2312"/>
              <w:color w:val="auto"/>
              <w:kern w:val="2"/>
              <w:sz w:val="32"/>
              <w:szCs w:val="32"/>
              <w:lang w:val="en-US" w:eastAsia="zh-CN" w:bidi="ar-SA"/>
            </w:rPr>
            <w:fldChar w:fldCharType="end"/>
          </w:r>
        </w:p>
        <w:p w14:paraId="23ABB447">
          <w:pPr>
            <w:pStyle w:val="15"/>
            <w:tabs>
              <w:tab w:val="right" w:leader="dot" w:pos="8845"/>
            </w:tabs>
            <w:rPr>
              <w:rFonts w:hint="eastAsia" w:ascii="仿宋_GB2312" w:hAnsi="仿宋_GB2312" w:eastAsia="仿宋_GB2312" w:cs="仿宋_GB2312"/>
              <w:color w:val="auto"/>
              <w:kern w:val="2"/>
              <w:sz w:val="32"/>
              <w:szCs w:val="32"/>
              <w:lang w:val="en-US" w:eastAsia="zh-CN" w:bidi="ar-SA"/>
            </w:rPr>
          </w:pPr>
          <w:r>
            <w:fldChar w:fldCharType="begin"/>
          </w:r>
          <w:r>
            <w:instrText xml:space="preserve"> HYPERLINK \l "_Toc21231" </w:instrText>
          </w:r>
          <w:r>
            <w:fldChar w:fldCharType="separate"/>
          </w:r>
          <w:sdt>
            <w:sdtPr>
              <w:rPr>
                <w:rFonts w:hint="eastAsia" w:ascii="仿宋_GB2312" w:hAnsi="仿宋_GB2312" w:eastAsia="仿宋_GB2312" w:cs="仿宋_GB2312"/>
                <w:color w:val="auto"/>
                <w:kern w:val="2"/>
                <w:sz w:val="32"/>
                <w:szCs w:val="32"/>
                <w:lang w:val="en-US" w:eastAsia="zh-CN" w:bidi="ar-SA"/>
              </w:rPr>
              <w:id w:val="147471054"/>
              <w:placeholder>
                <w:docPart w:val="{9cf9453e-d0d6-4477-bf15-9461de079c42}"/>
              </w:placeholder>
            </w:sdtPr>
            <w:sdtEndPr>
              <w:rPr>
                <w:rFonts w:hint="eastAsia" w:ascii="仿宋_GB2312" w:hAnsi="仿宋_GB2312" w:eastAsia="仿宋_GB2312" w:cs="仿宋_GB2312"/>
                <w:color w:val="auto"/>
                <w:kern w:val="2"/>
                <w:sz w:val="32"/>
                <w:szCs w:val="32"/>
                <w:lang w:val="en-US" w:eastAsia="zh-CN" w:bidi="ar-SA"/>
              </w:rPr>
            </w:sdtEndPr>
            <w:sdtContent>
              <w:r>
                <w:rPr>
                  <w:rFonts w:hint="eastAsia" w:ascii="仿宋_GB2312" w:hAnsi="仿宋_GB2312" w:eastAsia="仿宋_GB2312" w:cs="仿宋_GB2312"/>
                  <w:color w:val="auto"/>
                  <w:kern w:val="2"/>
                  <w:sz w:val="32"/>
                  <w:szCs w:val="32"/>
                  <w:lang w:val="en-US" w:eastAsia="zh-CN" w:bidi="ar-SA"/>
                </w:rPr>
                <w:t>（二）支出预算情况</w:t>
              </w:r>
            </w:sdtContent>
          </w:sdt>
          <w:r>
            <w:rPr>
              <w:rFonts w:hint="eastAsia" w:ascii="仿宋_GB2312" w:hAnsi="仿宋_GB2312" w:eastAsia="仿宋_GB2312" w:cs="仿宋_GB2312"/>
              <w:color w:val="auto"/>
              <w:kern w:val="2"/>
              <w:sz w:val="32"/>
              <w:szCs w:val="32"/>
              <w:lang w:val="en-US" w:eastAsia="zh-CN" w:bidi="ar-SA"/>
            </w:rPr>
            <w:tab/>
          </w:r>
          <w:r>
            <w:rPr>
              <w:rFonts w:hint="eastAsia" w:ascii="仿宋_GB2312" w:hAnsi="仿宋_GB2312" w:eastAsia="仿宋_GB2312" w:cs="仿宋_GB2312"/>
              <w:color w:val="auto"/>
              <w:kern w:val="2"/>
              <w:sz w:val="32"/>
              <w:szCs w:val="32"/>
              <w:lang w:val="en-US" w:eastAsia="zh-CN" w:bidi="ar-SA"/>
            </w:rPr>
            <w:t>6</w:t>
          </w:r>
          <w:r>
            <w:rPr>
              <w:rFonts w:hint="eastAsia" w:ascii="仿宋_GB2312" w:hAnsi="仿宋_GB2312" w:eastAsia="仿宋_GB2312" w:cs="仿宋_GB2312"/>
              <w:color w:val="auto"/>
              <w:kern w:val="2"/>
              <w:sz w:val="32"/>
              <w:szCs w:val="32"/>
              <w:lang w:val="en-US" w:eastAsia="zh-CN" w:bidi="ar-SA"/>
            </w:rPr>
            <w:fldChar w:fldCharType="end"/>
          </w:r>
        </w:p>
        <w:p w14:paraId="01D85D93">
          <w:pPr>
            <w:pStyle w:val="14"/>
            <w:tabs>
              <w:tab w:val="right" w:leader="dot" w:pos="8845"/>
            </w:tabs>
            <w:rPr>
              <w:rFonts w:hint="eastAsia" w:ascii="仿宋_GB2312" w:hAnsi="仿宋_GB2312" w:eastAsia="仿宋_GB2312" w:cs="仿宋_GB2312"/>
              <w:color w:val="auto"/>
              <w:kern w:val="2"/>
              <w:sz w:val="32"/>
              <w:szCs w:val="32"/>
              <w:lang w:val="en-US" w:eastAsia="zh-CN" w:bidi="ar-SA"/>
            </w:rPr>
          </w:pPr>
          <w:r>
            <w:fldChar w:fldCharType="begin"/>
          </w:r>
          <w:r>
            <w:instrText xml:space="preserve"> HYPERLINK \l "_Toc4771" </w:instrText>
          </w:r>
          <w:r>
            <w:fldChar w:fldCharType="separate"/>
          </w:r>
          <w:sdt>
            <w:sdtPr>
              <w:rPr>
                <w:rFonts w:hint="eastAsia" w:ascii="仿宋_GB2312" w:hAnsi="仿宋_GB2312" w:eastAsia="仿宋_GB2312" w:cs="仿宋_GB2312"/>
                <w:color w:val="auto"/>
                <w:kern w:val="2"/>
                <w:sz w:val="32"/>
                <w:szCs w:val="32"/>
                <w:lang w:val="en-US" w:eastAsia="zh-CN" w:bidi="ar-SA"/>
              </w:rPr>
              <w:id w:val="147468549"/>
              <w:placeholder>
                <w:docPart w:val="{f9ee3bf0-6dfa-4159-af70-a42a74367a77}"/>
              </w:placeholder>
            </w:sdtPr>
            <w:sdtEndPr>
              <w:rPr>
                <w:rFonts w:hint="eastAsia" w:ascii="仿宋_GB2312" w:hAnsi="仿宋_GB2312" w:eastAsia="仿宋_GB2312" w:cs="仿宋_GB2312"/>
                <w:color w:val="auto"/>
                <w:kern w:val="2"/>
                <w:sz w:val="32"/>
                <w:szCs w:val="32"/>
                <w:lang w:val="en-US" w:eastAsia="zh-CN" w:bidi="ar-SA"/>
              </w:rPr>
            </w:sdtEndPr>
            <w:sdtContent>
              <w:r>
                <w:rPr>
                  <w:rFonts w:hint="eastAsia" w:ascii="仿宋_GB2312" w:hAnsi="仿宋_GB2312" w:eastAsia="仿宋_GB2312" w:cs="仿宋_GB2312"/>
                  <w:color w:val="auto"/>
                  <w:kern w:val="2"/>
                  <w:sz w:val="32"/>
                  <w:szCs w:val="32"/>
                  <w:lang w:val="en-US" w:eastAsia="zh-CN" w:bidi="ar-SA"/>
                </w:rPr>
                <w:t>四、财政拨款收支预算情况说明</w:t>
              </w:r>
            </w:sdtContent>
          </w:sdt>
          <w:r>
            <w:rPr>
              <w:rFonts w:hint="eastAsia" w:ascii="仿宋_GB2312" w:hAnsi="仿宋_GB2312" w:eastAsia="仿宋_GB2312" w:cs="仿宋_GB2312"/>
              <w:color w:val="auto"/>
              <w:kern w:val="2"/>
              <w:sz w:val="32"/>
              <w:szCs w:val="32"/>
              <w:lang w:val="en-US" w:eastAsia="zh-CN" w:bidi="ar-SA"/>
            </w:rPr>
            <w:tab/>
          </w:r>
          <w:r>
            <w:rPr>
              <w:rFonts w:hint="eastAsia" w:ascii="仿宋_GB2312" w:hAnsi="仿宋_GB2312" w:eastAsia="仿宋_GB2312" w:cs="仿宋_GB2312"/>
              <w:color w:val="auto"/>
              <w:kern w:val="2"/>
              <w:sz w:val="32"/>
              <w:szCs w:val="32"/>
              <w:lang w:val="en-US" w:eastAsia="zh-CN" w:bidi="ar-SA"/>
            </w:rPr>
            <w:t>6</w:t>
          </w:r>
          <w:r>
            <w:rPr>
              <w:rFonts w:hint="eastAsia" w:ascii="仿宋_GB2312" w:hAnsi="仿宋_GB2312" w:eastAsia="仿宋_GB2312" w:cs="仿宋_GB2312"/>
              <w:color w:val="auto"/>
              <w:kern w:val="2"/>
              <w:sz w:val="32"/>
              <w:szCs w:val="32"/>
              <w:lang w:val="en-US" w:eastAsia="zh-CN" w:bidi="ar-SA"/>
            </w:rPr>
            <w:fldChar w:fldCharType="end"/>
          </w:r>
        </w:p>
        <w:p w14:paraId="5B3F3872">
          <w:pPr>
            <w:pStyle w:val="14"/>
            <w:tabs>
              <w:tab w:val="right" w:leader="dot" w:pos="8845"/>
            </w:tabs>
            <w:rPr>
              <w:rFonts w:hint="eastAsia" w:ascii="仿宋_GB2312" w:hAnsi="仿宋_GB2312" w:eastAsia="仿宋_GB2312" w:cs="仿宋_GB2312"/>
              <w:color w:val="auto"/>
              <w:kern w:val="2"/>
              <w:sz w:val="32"/>
              <w:szCs w:val="32"/>
              <w:lang w:val="en-US" w:eastAsia="zh-CN" w:bidi="ar-SA"/>
            </w:rPr>
          </w:pPr>
          <w:r>
            <w:fldChar w:fldCharType="begin"/>
          </w:r>
          <w:r>
            <w:instrText xml:space="preserve"> HYPERLINK \l "_Toc27871" </w:instrText>
          </w:r>
          <w:r>
            <w:fldChar w:fldCharType="separate"/>
          </w:r>
          <w:sdt>
            <w:sdtPr>
              <w:rPr>
                <w:rFonts w:hint="eastAsia" w:ascii="仿宋_GB2312" w:hAnsi="仿宋_GB2312" w:eastAsia="仿宋_GB2312" w:cs="仿宋_GB2312"/>
                <w:color w:val="auto"/>
                <w:kern w:val="2"/>
                <w:sz w:val="32"/>
                <w:szCs w:val="32"/>
                <w:lang w:val="en-US" w:eastAsia="zh-CN" w:bidi="ar-SA"/>
              </w:rPr>
              <w:id w:val="147471469"/>
              <w:placeholder>
                <w:docPart w:val="{d5540c69-71e2-4751-821c-97d6af4b077a}"/>
              </w:placeholder>
            </w:sdtPr>
            <w:sdtEndPr>
              <w:rPr>
                <w:rFonts w:hint="eastAsia" w:ascii="仿宋_GB2312" w:hAnsi="仿宋_GB2312" w:eastAsia="仿宋_GB2312" w:cs="仿宋_GB2312"/>
                <w:color w:val="auto"/>
                <w:kern w:val="2"/>
                <w:sz w:val="32"/>
                <w:szCs w:val="32"/>
                <w:lang w:val="en-US" w:eastAsia="zh-CN" w:bidi="ar-SA"/>
              </w:rPr>
            </w:sdtEndPr>
            <w:sdtContent>
              <w:r>
                <w:rPr>
                  <w:rFonts w:hint="eastAsia" w:ascii="仿宋_GB2312" w:hAnsi="仿宋_GB2312" w:eastAsia="仿宋_GB2312" w:cs="仿宋_GB2312"/>
                  <w:color w:val="auto"/>
                  <w:kern w:val="2"/>
                  <w:sz w:val="32"/>
                  <w:szCs w:val="32"/>
                  <w:lang w:val="en-US" w:eastAsia="zh-CN" w:bidi="ar-SA"/>
                </w:rPr>
                <w:t>五、一般公共预算当年拨款情况说明</w:t>
              </w:r>
            </w:sdtContent>
          </w:sdt>
          <w:r>
            <w:rPr>
              <w:rFonts w:hint="eastAsia" w:ascii="仿宋_GB2312" w:hAnsi="仿宋_GB2312" w:eastAsia="仿宋_GB2312" w:cs="仿宋_GB2312"/>
              <w:color w:val="auto"/>
              <w:kern w:val="2"/>
              <w:sz w:val="32"/>
              <w:szCs w:val="32"/>
              <w:lang w:val="en-US" w:eastAsia="zh-CN" w:bidi="ar-SA"/>
            </w:rPr>
            <w:tab/>
          </w:r>
          <w:r>
            <w:rPr>
              <w:rFonts w:hint="eastAsia" w:ascii="仿宋_GB2312" w:hAnsi="仿宋_GB2312" w:eastAsia="仿宋_GB2312" w:cs="仿宋_GB2312"/>
              <w:color w:val="auto"/>
              <w:kern w:val="2"/>
              <w:sz w:val="32"/>
              <w:szCs w:val="32"/>
              <w:lang w:val="en-US" w:eastAsia="zh-CN" w:bidi="ar-SA"/>
            </w:rPr>
            <w:t>6</w:t>
          </w:r>
          <w:r>
            <w:rPr>
              <w:rFonts w:hint="eastAsia" w:ascii="仿宋_GB2312" w:hAnsi="仿宋_GB2312" w:eastAsia="仿宋_GB2312" w:cs="仿宋_GB2312"/>
              <w:color w:val="auto"/>
              <w:kern w:val="2"/>
              <w:sz w:val="32"/>
              <w:szCs w:val="32"/>
              <w:lang w:val="en-US" w:eastAsia="zh-CN" w:bidi="ar-SA"/>
            </w:rPr>
            <w:fldChar w:fldCharType="end"/>
          </w:r>
        </w:p>
        <w:p w14:paraId="7DBE3A29">
          <w:pPr>
            <w:pStyle w:val="15"/>
            <w:tabs>
              <w:tab w:val="right" w:leader="dot" w:pos="8845"/>
            </w:tabs>
            <w:rPr>
              <w:rFonts w:hint="eastAsia" w:ascii="仿宋_GB2312" w:hAnsi="仿宋_GB2312" w:eastAsia="仿宋_GB2312" w:cs="仿宋_GB2312"/>
              <w:color w:val="auto"/>
              <w:kern w:val="2"/>
              <w:sz w:val="32"/>
              <w:szCs w:val="32"/>
              <w:lang w:val="en-US" w:eastAsia="zh-CN" w:bidi="ar-SA"/>
            </w:rPr>
          </w:pPr>
          <w:r>
            <w:fldChar w:fldCharType="begin"/>
          </w:r>
          <w:r>
            <w:instrText xml:space="preserve"> HYPERLINK \l "_Toc7183" </w:instrText>
          </w:r>
          <w:r>
            <w:fldChar w:fldCharType="separate"/>
          </w:r>
          <w:sdt>
            <w:sdtPr>
              <w:rPr>
                <w:rFonts w:hint="eastAsia" w:ascii="仿宋_GB2312" w:hAnsi="仿宋_GB2312" w:eastAsia="仿宋_GB2312" w:cs="仿宋_GB2312"/>
                <w:color w:val="auto"/>
                <w:kern w:val="2"/>
                <w:sz w:val="32"/>
                <w:szCs w:val="32"/>
                <w:lang w:val="en-US" w:eastAsia="zh-CN" w:bidi="ar-SA"/>
              </w:rPr>
              <w:id w:val="147462746"/>
              <w:placeholder>
                <w:docPart w:val="{cc5448f3-d8e4-49d6-8c11-53f8f0b01095}"/>
              </w:placeholder>
            </w:sdtPr>
            <w:sdtEndPr>
              <w:rPr>
                <w:rFonts w:hint="eastAsia" w:ascii="仿宋_GB2312" w:hAnsi="仿宋_GB2312" w:eastAsia="仿宋_GB2312" w:cs="仿宋_GB2312"/>
                <w:color w:val="auto"/>
                <w:kern w:val="2"/>
                <w:sz w:val="32"/>
                <w:szCs w:val="32"/>
                <w:lang w:val="en-US" w:eastAsia="zh-CN" w:bidi="ar-SA"/>
              </w:rPr>
            </w:sdtEndPr>
            <w:sdtContent>
              <w:r>
                <w:rPr>
                  <w:rFonts w:hint="eastAsia" w:ascii="仿宋_GB2312" w:hAnsi="仿宋_GB2312" w:eastAsia="仿宋_GB2312" w:cs="仿宋_GB2312"/>
                  <w:color w:val="auto"/>
                  <w:kern w:val="2"/>
                  <w:sz w:val="32"/>
                  <w:szCs w:val="32"/>
                  <w:lang w:val="en-US" w:eastAsia="zh-CN" w:bidi="ar-SA"/>
                </w:rPr>
                <w:t>（一）一般公共预算当年拨款规模变化情况</w:t>
              </w:r>
            </w:sdtContent>
          </w:sdt>
          <w:r>
            <w:rPr>
              <w:rFonts w:hint="eastAsia" w:ascii="仿宋_GB2312" w:hAnsi="仿宋_GB2312" w:eastAsia="仿宋_GB2312" w:cs="仿宋_GB2312"/>
              <w:color w:val="auto"/>
              <w:kern w:val="2"/>
              <w:sz w:val="32"/>
              <w:szCs w:val="32"/>
              <w:lang w:val="en-US" w:eastAsia="zh-CN" w:bidi="ar-SA"/>
            </w:rPr>
            <w:tab/>
          </w:r>
          <w:r>
            <w:rPr>
              <w:rFonts w:hint="eastAsia" w:ascii="仿宋_GB2312" w:hAnsi="仿宋_GB2312" w:eastAsia="仿宋_GB2312" w:cs="仿宋_GB2312"/>
              <w:color w:val="auto"/>
              <w:kern w:val="2"/>
              <w:sz w:val="32"/>
              <w:szCs w:val="32"/>
              <w:lang w:val="en-US" w:eastAsia="zh-CN" w:bidi="ar-SA"/>
            </w:rPr>
            <w:t>6</w:t>
          </w:r>
          <w:r>
            <w:rPr>
              <w:rFonts w:hint="eastAsia" w:ascii="仿宋_GB2312" w:hAnsi="仿宋_GB2312" w:eastAsia="仿宋_GB2312" w:cs="仿宋_GB2312"/>
              <w:color w:val="auto"/>
              <w:kern w:val="2"/>
              <w:sz w:val="32"/>
              <w:szCs w:val="32"/>
              <w:lang w:val="en-US" w:eastAsia="zh-CN" w:bidi="ar-SA"/>
            </w:rPr>
            <w:fldChar w:fldCharType="end"/>
          </w:r>
        </w:p>
        <w:p w14:paraId="28D4AB13">
          <w:pPr>
            <w:pStyle w:val="15"/>
            <w:tabs>
              <w:tab w:val="right" w:leader="dot" w:pos="8845"/>
            </w:tabs>
            <w:rPr>
              <w:rFonts w:hint="eastAsia" w:ascii="仿宋_GB2312" w:hAnsi="仿宋_GB2312" w:eastAsia="仿宋_GB2312" w:cs="仿宋_GB2312"/>
              <w:color w:val="auto"/>
              <w:kern w:val="2"/>
              <w:sz w:val="32"/>
              <w:szCs w:val="32"/>
              <w:lang w:val="en-US" w:eastAsia="zh-CN" w:bidi="ar-SA"/>
            </w:rPr>
          </w:pPr>
          <w:r>
            <w:fldChar w:fldCharType="begin"/>
          </w:r>
          <w:r>
            <w:instrText xml:space="preserve"> HYPERLINK \l "_Toc30471" </w:instrText>
          </w:r>
          <w:r>
            <w:fldChar w:fldCharType="separate"/>
          </w:r>
          <w:sdt>
            <w:sdtPr>
              <w:rPr>
                <w:rFonts w:hint="eastAsia" w:ascii="仿宋_GB2312" w:hAnsi="仿宋_GB2312" w:eastAsia="仿宋_GB2312" w:cs="仿宋_GB2312"/>
                <w:color w:val="auto"/>
                <w:kern w:val="2"/>
                <w:sz w:val="32"/>
                <w:szCs w:val="32"/>
                <w:lang w:val="en-US" w:eastAsia="zh-CN" w:bidi="ar-SA"/>
              </w:rPr>
              <w:id w:val="147480885"/>
              <w:placeholder>
                <w:docPart w:val="{23905c0f-04ef-42c1-96f6-f2cd94d957cd}"/>
              </w:placeholder>
            </w:sdtPr>
            <w:sdtEndPr>
              <w:rPr>
                <w:rFonts w:hint="eastAsia" w:ascii="仿宋_GB2312" w:hAnsi="仿宋_GB2312" w:eastAsia="仿宋_GB2312" w:cs="仿宋_GB2312"/>
                <w:color w:val="auto"/>
                <w:kern w:val="2"/>
                <w:sz w:val="32"/>
                <w:szCs w:val="32"/>
                <w:lang w:val="en-US" w:eastAsia="zh-CN" w:bidi="ar-SA"/>
              </w:rPr>
            </w:sdtEndPr>
            <w:sdtContent>
              <w:r>
                <w:rPr>
                  <w:rFonts w:hint="eastAsia" w:ascii="仿宋_GB2312" w:hAnsi="仿宋_GB2312" w:eastAsia="仿宋_GB2312" w:cs="仿宋_GB2312"/>
                  <w:color w:val="auto"/>
                  <w:kern w:val="2"/>
                  <w:sz w:val="32"/>
                  <w:szCs w:val="32"/>
                  <w:lang w:val="en-US" w:eastAsia="zh-CN" w:bidi="ar-SA"/>
                </w:rPr>
                <w:t>（二）一般公共预算当年拨款结构情况</w:t>
              </w:r>
            </w:sdtContent>
          </w:sdt>
          <w:r>
            <w:rPr>
              <w:rFonts w:hint="eastAsia" w:ascii="仿宋_GB2312" w:hAnsi="仿宋_GB2312" w:eastAsia="仿宋_GB2312" w:cs="仿宋_GB2312"/>
              <w:color w:val="auto"/>
              <w:kern w:val="2"/>
              <w:sz w:val="32"/>
              <w:szCs w:val="32"/>
              <w:lang w:val="en-US" w:eastAsia="zh-CN" w:bidi="ar-SA"/>
            </w:rPr>
            <w:tab/>
          </w:r>
          <w:r>
            <w:rPr>
              <w:rFonts w:hint="eastAsia" w:ascii="仿宋_GB2312" w:hAnsi="仿宋_GB2312" w:eastAsia="仿宋_GB2312" w:cs="仿宋_GB2312"/>
              <w:color w:val="auto"/>
              <w:kern w:val="2"/>
              <w:sz w:val="32"/>
              <w:szCs w:val="32"/>
              <w:lang w:val="en-US" w:eastAsia="zh-CN" w:bidi="ar-SA"/>
            </w:rPr>
            <w:t>7</w:t>
          </w:r>
          <w:r>
            <w:rPr>
              <w:rFonts w:hint="eastAsia" w:ascii="仿宋_GB2312" w:hAnsi="仿宋_GB2312" w:eastAsia="仿宋_GB2312" w:cs="仿宋_GB2312"/>
              <w:color w:val="auto"/>
              <w:kern w:val="2"/>
              <w:sz w:val="32"/>
              <w:szCs w:val="32"/>
              <w:lang w:val="en-US" w:eastAsia="zh-CN" w:bidi="ar-SA"/>
            </w:rPr>
            <w:fldChar w:fldCharType="end"/>
          </w:r>
        </w:p>
        <w:p w14:paraId="7282992B">
          <w:pPr>
            <w:pStyle w:val="15"/>
            <w:tabs>
              <w:tab w:val="right" w:leader="dot" w:pos="8845"/>
            </w:tabs>
            <w:rPr>
              <w:rFonts w:hint="eastAsia" w:ascii="仿宋_GB2312" w:hAnsi="仿宋_GB2312" w:eastAsia="仿宋_GB2312" w:cs="仿宋_GB2312"/>
              <w:color w:val="auto"/>
              <w:kern w:val="2"/>
              <w:sz w:val="32"/>
              <w:szCs w:val="32"/>
              <w:lang w:val="en-US" w:eastAsia="zh-CN" w:bidi="ar-SA"/>
            </w:rPr>
          </w:pPr>
          <w:r>
            <w:fldChar w:fldCharType="begin"/>
          </w:r>
          <w:r>
            <w:instrText xml:space="preserve"> HYPERLINK \l "_Toc1528" </w:instrText>
          </w:r>
          <w:r>
            <w:fldChar w:fldCharType="separate"/>
          </w:r>
          <w:sdt>
            <w:sdtPr>
              <w:rPr>
                <w:rFonts w:hint="eastAsia" w:ascii="仿宋_GB2312" w:hAnsi="仿宋_GB2312" w:eastAsia="仿宋_GB2312" w:cs="仿宋_GB2312"/>
                <w:color w:val="auto"/>
                <w:kern w:val="2"/>
                <w:sz w:val="32"/>
                <w:szCs w:val="32"/>
                <w:lang w:val="en-US" w:eastAsia="zh-CN" w:bidi="ar-SA"/>
              </w:rPr>
              <w:id w:val="147457937"/>
              <w:placeholder>
                <w:docPart w:val="{67f15a76-38db-4b22-8d8d-f2852c88bf2f}"/>
              </w:placeholder>
            </w:sdtPr>
            <w:sdtEndPr>
              <w:rPr>
                <w:rFonts w:hint="eastAsia" w:ascii="仿宋_GB2312" w:hAnsi="仿宋_GB2312" w:eastAsia="仿宋_GB2312" w:cs="仿宋_GB2312"/>
                <w:color w:val="auto"/>
                <w:kern w:val="2"/>
                <w:sz w:val="32"/>
                <w:szCs w:val="32"/>
                <w:lang w:val="en-US" w:eastAsia="zh-CN" w:bidi="ar-SA"/>
              </w:rPr>
            </w:sdtEndPr>
            <w:sdtContent>
              <w:r>
                <w:rPr>
                  <w:rFonts w:hint="eastAsia" w:ascii="仿宋_GB2312" w:hAnsi="仿宋_GB2312" w:eastAsia="仿宋_GB2312" w:cs="仿宋_GB2312"/>
                  <w:color w:val="auto"/>
                  <w:kern w:val="2"/>
                  <w:sz w:val="32"/>
                  <w:szCs w:val="32"/>
                  <w:lang w:val="en-US" w:eastAsia="zh-CN" w:bidi="ar-SA"/>
                </w:rPr>
                <w:t>（三）一般公共预算当年拨款具体使用情况</w:t>
              </w:r>
            </w:sdtContent>
          </w:sdt>
          <w:r>
            <w:rPr>
              <w:rFonts w:hint="eastAsia" w:ascii="仿宋_GB2312" w:hAnsi="仿宋_GB2312" w:eastAsia="仿宋_GB2312" w:cs="仿宋_GB2312"/>
              <w:color w:val="auto"/>
              <w:kern w:val="2"/>
              <w:sz w:val="32"/>
              <w:szCs w:val="32"/>
              <w:lang w:val="en-US" w:eastAsia="zh-CN" w:bidi="ar-SA"/>
            </w:rPr>
            <w:tab/>
          </w:r>
          <w:r>
            <w:rPr>
              <w:rFonts w:hint="eastAsia" w:ascii="仿宋_GB2312" w:hAnsi="仿宋_GB2312" w:eastAsia="仿宋_GB2312" w:cs="仿宋_GB2312"/>
              <w:color w:val="auto"/>
              <w:kern w:val="2"/>
              <w:sz w:val="32"/>
              <w:szCs w:val="32"/>
              <w:lang w:val="en-US" w:eastAsia="zh-CN" w:bidi="ar-SA"/>
            </w:rPr>
            <w:t>7</w:t>
          </w:r>
          <w:r>
            <w:rPr>
              <w:rFonts w:hint="eastAsia" w:ascii="仿宋_GB2312" w:hAnsi="仿宋_GB2312" w:eastAsia="仿宋_GB2312" w:cs="仿宋_GB2312"/>
              <w:color w:val="auto"/>
              <w:kern w:val="2"/>
              <w:sz w:val="32"/>
              <w:szCs w:val="32"/>
              <w:lang w:val="en-US" w:eastAsia="zh-CN" w:bidi="ar-SA"/>
            </w:rPr>
            <w:fldChar w:fldCharType="end"/>
          </w:r>
        </w:p>
        <w:p w14:paraId="6301EC57">
          <w:pPr>
            <w:pStyle w:val="14"/>
            <w:tabs>
              <w:tab w:val="right" w:leader="dot" w:pos="8845"/>
            </w:tabs>
            <w:rPr>
              <w:rFonts w:hint="eastAsia" w:ascii="仿宋_GB2312" w:hAnsi="仿宋_GB2312" w:eastAsia="仿宋_GB2312" w:cs="仿宋_GB2312"/>
              <w:color w:val="auto"/>
              <w:kern w:val="2"/>
              <w:sz w:val="32"/>
              <w:szCs w:val="32"/>
              <w:lang w:val="en-US" w:eastAsia="zh-CN" w:bidi="ar-SA"/>
            </w:rPr>
          </w:pPr>
          <w:r>
            <w:fldChar w:fldCharType="begin"/>
          </w:r>
          <w:r>
            <w:instrText xml:space="preserve"> HYPERLINK \l "_Toc11593" </w:instrText>
          </w:r>
          <w:r>
            <w:fldChar w:fldCharType="separate"/>
          </w:r>
          <w:sdt>
            <w:sdtPr>
              <w:rPr>
                <w:rFonts w:hint="eastAsia" w:ascii="仿宋_GB2312" w:hAnsi="仿宋_GB2312" w:eastAsia="仿宋_GB2312" w:cs="仿宋_GB2312"/>
                <w:color w:val="auto"/>
                <w:kern w:val="2"/>
                <w:sz w:val="32"/>
                <w:szCs w:val="32"/>
                <w:lang w:val="en-US" w:eastAsia="zh-CN" w:bidi="ar-SA"/>
              </w:rPr>
              <w:id w:val="147459397"/>
              <w:placeholder>
                <w:docPart w:val="{dbba5cb4-9009-4e7e-b0e2-8ba9328d61d9}"/>
              </w:placeholder>
            </w:sdtPr>
            <w:sdtEndPr>
              <w:rPr>
                <w:rFonts w:hint="eastAsia" w:ascii="仿宋_GB2312" w:hAnsi="仿宋_GB2312" w:eastAsia="仿宋_GB2312" w:cs="仿宋_GB2312"/>
                <w:color w:val="auto"/>
                <w:kern w:val="2"/>
                <w:sz w:val="32"/>
                <w:szCs w:val="32"/>
                <w:lang w:val="en-US" w:eastAsia="zh-CN" w:bidi="ar-SA"/>
              </w:rPr>
            </w:sdtEndPr>
            <w:sdtContent>
              <w:r>
                <w:rPr>
                  <w:rFonts w:hint="eastAsia" w:ascii="仿宋_GB2312" w:hAnsi="仿宋_GB2312" w:eastAsia="仿宋_GB2312" w:cs="仿宋_GB2312"/>
                  <w:color w:val="auto"/>
                  <w:kern w:val="2"/>
                  <w:sz w:val="32"/>
                  <w:szCs w:val="32"/>
                  <w:lang w:val="en-US" w:eastAsia="zh-CN" w:bidi="ar-SA"/>
                </w:rPr>
                <w:t>六、一般公共预算基本支出情况说明</w:t>
              </w:r>
            </w:sdtContent>
          </w:sdt>
          <w:r>
            <w:rPr>
              <w:rFonts w:hint="eastAsia" w:ascii="仿宋_GB2312" w:hAnsi="仿宋_GB2312" w:eastAsia="仿宋_GB2312" w:cs="仿宋_GB2312"/>
              <w:color w:val="auto"/>
              <w:kern w:val="2"/>
              <w:sz w:val="32"/>
              <w:szCs w:val="32"/>
              <w:lang w:val="en-US" w:eastAsia="zh-CN" w:bidi="ar-SA"/>
            </w:rPr>
            <w:tab/>
          </w:r>
          <w:r>
            <w:rPr>
              <w:rFonts w:hint="eastAsia" w:ascii="仿宋_GB2312" w:hAnsi="仿宋_GB2312" w:eastAsia="仿宋_GB2312" w:cs="仿宋_GB2312"/>
              <w:color w:val="auto"/>
              <w:kern w:val="2"/>
              <w:sz w:val="32"/>
              <w:szCs w:val="32"/>
              <w:lang w:val="en-US" w:eastAsia="zh-CN" w:bidi="ar-SA"/>
            </w:rPr>
            <w:t>7</w:t>
          </w:r>
          <w:r>
            <w:rPr>
              <w:rFonts w:hint="eastAsia" w:ascii="仿宋_GB2312" w:hAnsi="仿宋_GB2312" w:eastAsia="仿宋_GB2312" w:cs="仿宋_GB2312"/>
              <w:color w:val="auto"/>
              <w:kern w:val="2"/>
              <w:sz w:val="32"/>
              <w:szCs w:val="32"/>
              <w:lang w:val="en-US" w:eastAsia="zh-CN" w:bidi="ar-SA"/>
            </w:rPr>
            <w:fldChar w:fldCharType="end"/>
          </w:r>
        </w:p>
        <w:p w14:paraId="2A798489">
          <w:pPr>
            <w:pStyle w:val="14"/>
            <w:tabs>
              <w:tab w:val="right" w:leader="dot" w:pos="8845"/>
            </w:tabs>
            <w:rPr>
              <w:rFonts w:hint="eastAsia" w:ascii="仿宋_GB2312" w:hAnsi="仿宋_GB2312" w:eastAsia="仿宋_GB2312" w:cs="仿宋_GB2312"/>
              <w:color w:val="auto"/>
              <w:kern w:val="2"/>
              <w:sz w:val="32"/>
              <w:szCs w:val="32"/>
              <w:lang w:val="en-US" w:eastAsia="zh-CN" w:bidi="ar-SA"/>
            </w:rPr>
          </w:pPr>
          <w:r>
            <w:fldChar w:fldCharType="begin"/>
          </w:r>
          <w:r>
            <w:instrText xml:space="preserve"> HYPERLINK \l "_Toc24538" </w:instrText>
          </w:r>
          <w:r>
            <w:fldChar w:fldCharType="separate"/>
          </w:r>
          <w:sdt>
            <w:sdtPr>
              <w:rPr>
                <w:rFonts w:hint="eastAsia" w:ascii="仿宋_GB2312" w:hAnsi="仿宋_GB2312" w:eastAsia="仿宋_GB2312" w:cs="仿宋_GB2312"/>
                <w:color w:val="auto"/>
                <w:kern w:val="2"/>
                <w:sz w:val="32"/>
                <w:szCs w:val="32"/>
                <w:lang w:val="en-US" w:eastAsia="zh-CN" w:bidi="ar-SA"/>
              </w:rPr>
              <w:id w:val="147461408"/>
              <w:placeholder>
                <w:docPart w:val="{33e13f6c-290b-4c2b-8e6b-f0ccd7c4bfd4}"/>
              </w:placeholder>
            </w:sdtPr>
            <w:sdtEndPr>
              <w:rPr>
                <w:rFonts w:hint="eastAsia" w:ascii="仿宋_GB2312" w:hAnsi="仿宋_GB2312" w:eastAsia="仿宋_GB2312" w:cs="仿宋_GB2312"/>
                <w:color w:val="auto"/>
                <w:kern w:val="2"/>
                <w:sz w:val="32"/>
                <w:szCs w:val="32"/>
                <w:lang w:val="en-US" w:eastAsia="zh-CN" w:bidi="ar-SA"/>
              </w:rPr>
            </w:sdtEndPr>
            <w:sdtContent>
              <w:r>
                <w:rPr>
                  <w:rFonts w:hint="eastAsia" w:ascii="仿宋_GB2312" w:hAnsi="仿宋_GB2312" w:eastAsia="仿宋_GB2312" w:cs="仿宋_GB2312"/>
                  <w:color w:val="auto"/>
                  <w:kern w:val="2"/>
                  <w:sz w:val="32"/>
                  <w:szCs w:val="32"/>
                  <w:lang w:val="en-US" w:eastAsia="zh-CN" w:bidi="ar-SA"/>
                </w:rPr>
                <w:t>七、“三公”经费财政拨款预算安排情况说明</w:t>
              </w:r>
            </w:sdtContent>
          </w:sdt>
          <w:r>
            <w:rPr>
              <w:rFonts w:hint="eastAsia" w:ascii="仿宋_GB2312" w:hAnsi="仿宋_GB2312" w:eastAsia="仿宋_GB2312" w:cs="仿宋_GB2312"/>
              <w:color w:val="auto"/>
              <w:kern w:val="2"/>
              <w:sz w:val="32"/>
              <w:szCs w:val="32"/>
              <w:lang w:val="en-US" w:eastAsia="zh-CN" w:bidi="ar-SA"/>
            </w:rPr>
            <w:tab/>
          </w:r>
          <w:r>
            <w:rPr>
              <w:rFonts w:hint="eastAsia" w:ascii="仿宋_GB2312" w:hAnsi="仿宋_GB2312" w:eastAsia="仿宋_GB2312" w:cs="仿宋_GB2312"/>
              <w:color w:val="auto"/>
              <w:kern w:val="2"/>
              <w:sz w:val="32"/>
              <w:szCs w:val="32"/>
              <w:lang w:val="en-US" w:eastAsia="zh-CN" w:bidi="ar-SA"/>
            </w:rPr>
            <w:t>7</w:t>
          </w:r>
          <w:r>
            <w:rPr>
              <w:rFonts w:hint="eastAsia" w:ascii="仿宋_GB2312" w:hAnsi="仿宋_GB2312" w:eastAsia="仿宋_GB2312" w:cs="仿宋_GB2312"/>
              <w:color w:val="auto"/>
              <w:kern w:val="2"/>
              <w:sz w:val="32"/>
              <w:szCs w:val="32"/>
              <w:lang w:val="en-US" w:eastAsia="zh-CN" w:bidi="ar-SA"/>
            </w:rPr>
            <w:fldChar w:fldCharType="end"/>
          </w:r>
        </w:p>
        <w:p w14:paraId="0D960014">
          <w:pPr>
            <w:pStyle w:val="14"/>
            <w:tabs>
              <w:tab w:val="right" w:leader="dot" w:pos="8845"/>
            </w:tabs>
            <w:rPr>
              <w:rFonts w:hint="eastAsia" w:ascii="仿宋_GB2312" w:hAnsi="仿宋_GB2312" w:eastAsia="仿宋_GB2312" w:cs="仿宋_GB2312"/>
              <w:color w:val="auto"/>
              <w:kern w:val="2"/>
              <w:sz w:val="32"/>
              <w:szCs w:val="32"/>
              <w:lang w:val="en-US" w:eastAsia="zh-CN" w:bidi="ar-SA"/>
            </w:rPr>
          </w:pPr>
          <w:r>
            <w:fldChar w:fldCharType="begin"/>
          </w:r>
          <w:r>
            <w:instrText xml:space="preserve"> HYPERLINK \l "_Toc17298" </w:instrText>
          </w:r>
          <w:r>
            <w:fldChar w:fldCharType="separate"/>
          </w:r>
          <w:sdt>
            <w:sdtPr>
              <w:rPr>
                <w:rFonts w:hint="eastAsia" w:ascii="仿宋_GB2312" w:hAnsi="仿宋_GB2312" w:eastAsia="仿宋_GB2312" w:cs="仿宋_GB2312"/>
                <w:color w:val="auto"/>
                <w:kern w:val="2"/>
                <w:sz w:val="32"/>
                <w:szCs w:val="32"/>
                <w:lang w:val="en-US" w:eastAsia="zh-CN" w:bidi="ar-SA"/>
              </w:rPr>
              <w:id w:val="147482811"/>
              <w:placeholder>
                <w:docPart w:val="{0fceeb0a-10ee-466c-bbca-c9551b81cb5a}"/>
              </w:placeholder>
            </w:sdtPr>
            <w:sdtEndPr>
              <w:rPr>
                <w:rFonts w:hint="eastAsia" w:ascii="仿宋_GB2312" w:hAnsi="仿宋_GB2312" w:eastAsia="仿宋_GB2312" w:cs="仿宋_GB2312"/>
                <w:color w:val="auto"/>
                <w:kern w:val="2"/>
                <w:sz w:val="32"/>
                <w:szCs w:val="32"/>
                <w:lang w:val="en-US" w:eastAsia="zh-CN" w:bidi="ar-SA"/>
              </w:rPr>
            </w:sdtEndPr>
            <w:sdtContent>
              <w:r>
                <w:rPr>
                  <w:rFonts w:hint="eastAsia" w:ascii="仿宋_GB2312" w:hAnsi="仿宋_GB2312" w:eastAsia="仿宋_GB2312" w:cs="仿宋_GB2312"/>
                  <w:color w:val="auto"/>
                  <w:kern w:val="2"/>
                  <w:sz w:val="32"/>
                  <w:szCs w:val="32"/>
                  <w:lang w:val="en-US" w:eastAsia="zh-CN" w:bidi="ar-SA"/>
                </w:rPr>
                <w:t>八、政府性基金预算支出情况说明</w:t>
              </w:r>
            </w:sdtContent>
          </w:sdt>
          <w:r>
            <w:rPr>
              <w:rFonts w:hint="eastAsia" w:ascii="仿宋_GB2312" w:hAnsi="仿宋_GB2312" w:eastAsia="仿宋_GB2312" w:cs="仿宋_GB2312"/>
              <w:color w:val="auto"/>
              <w:kern w:val="2"/>
              <w:sz w:val="32"/>
              <w:szCs w:val="32"/>
              <w:lang w:val="en-US" w:eastAsia="zh-CN" w:bidi="ar-SA"/>
            </w:rPr>
            <w:tab/>
          </w:r>
          <w:r>
            <w:rPr>
              <w:rFonts w:hint="eastAsia" w:ascii="仿宋_GB2312" w:hAnsi="仿宋_GB2312" w:eastAsia="仿宋_GB2312" w:cs="仿宋_GB2312"/>
              <w:color w:val="auto"/>
              <w:kern w:val="2"/>
              <w:sz w:val="32"/>
              <w:szCs w:val="32"/>
              <w:lang w:val="en-US" w:eastAsia="zh-CN" w:bidi="ar-SA"/>
            </w:rPr>
            <w:t>8</w:t>
          </w:r>
          <w:r>
            <w:rPr>
              <w:rFonts w:hint="eastAsia" w:ascii="仿宋_GB2312" w:hAnsi="仿宋_GB2312" w:eastAsia="仿宋_GB2312" w:cs="仿宋_GB2312"/>
              <w:color w:val="auto"/>
              <w:kern w:val="2"/>
              <w:sz w:val="32"/>
              <w:szCs w:val="32"/>
              <w:lang w:val="en-US" w:eastAsia="zh-CN" w:bidi="ar-SA"/>
            </w:rPr>
            <w:fldChar w:fldCharType="end"/>
          </w:r>
        </w:p>
        <w:p w14:paraId="73E0EA0B">
          <w:pPr>
            <w:pStyle w:val="14"/>
            <w:tabs>
              <w:tab w:val="right" w:leader="dot" w:pos="8845"/>
            </w:tabs>
            <w:rPr>
              <w:rFonts w:hint="eastAsia" w:ascii="仿宋_GB2312" w:hAnsi="仿宋_GB2312" w:eastAsia="仿宋_GB2312" w:cs="仿宋_GB2312"/>
              <w:color w:val="auto"/>
              <w:kern w:val="2"/>
              <w:sz w:val="32"/>
              <w:szCs w:val="32"/>
              <w:lang w:val="en-US" w:eastAsia="zh-CN" w:bidi="ar-SA"/>
            </w:rPr>
          </w:pPr>
          <w:r>
            <w:fldChar w:fldCharType="begin"/>
          </w:r>
          <w:r>
            <w:instrText xml:space="preserve"> HYPERLINK \l "_Toc21115" </w:instrText>
          </w:r>
          <w:r>
            <w:fldChar w:fldCharType="separate"/>
          </w:r>
          <w:sdt>
            <w:sdtPr>
              <w:rPr>
                <w:rFonts w:hint="eastAsia" w:ascii="仿宋_GB2312" w:hAnsi="仿宋_GB2312" w:eastAsia="仿宋_GB2312" w:cs="仿宋_GB2312"/>
                <w:color w:val="auto"/>
                <w:kern w:val="2"/>
                <w:sz w:val="32"/>
                <w:szCs w:val="32"/>
                <w:lang w:val="en-US" w:eastAsia="zh-CN" w:bidi="ar-SA"/>
              </w:rPr>
              <w:id w:val="147474995"/>
              <w:placeholder>
                <w:docPart w:val="{cc8c3839-3003-4416-a4f9-4897bc72d2be}"/>
              </w:placeholder>
            </w:sdtPr>
            <w:sdtEndPr>
              <w:rPr>
                <w:rFonts w:hint="eastAsia" w:ascii="仿宋_GB2312" w:hAnsi="仿宋_GB2312" w:eastAsia="仿宋_GB2312" w:cs="仿宋_GB2312"/>
                <w:color w:val="auto"/>
                <w:kern w:val="2"/>
                <w:sz w:val="32"/>
                <w:szCs w:val="32"/>
                <w:lang w:val="en-US" w:eastAsia="zh-CN" w:bidi="ar-SA"/>
              </w:rPr>
            </w:sdtEndPr>
            <w:sdtContent>
              <w:r>
                <w:rPr>
                  <w:rFonts w:hint="eastAsia" w:ascii="仿宋_GB2312" w:hAnsi="仿宋_GB2312" w:eastAsia="仿宋_GB2312" w:cs="仿宋_GB2312"/>
                  <w:color w:val="auto"/>
                  <w:kern w:val="2"/>
                  <w:sz w:val="32"/>
                  <w:szCs w:val="32"/>
                  <w:lang w:val="en-US" w:eastAsia="zh-CN" w:bidi="ar-SA"/>
                </w:rPr>
                <w:t>九、国有资本经营预算支出情况说明</w:t>
              </w:r>
            </w:sdtContent>
          </w:sdt>
          <w:r>
            <w:rPr>
              <w:rFonts w:hint="eastAsia" w:ascii="仿宋_GB2312" w:hAnsi="仿宋_GB2312" w:eastAsia="仿宋_GB2312" w:cs="仿宋_GB2312"/>
              <w:color w:val="auto"/>
              <w:kern w:val="2"/>
              <w:sz w:val="32"/>
              <w:szCs w:val="32"/>
              <w:lang w:val="en-US" w:eastAsia="zh-CN" w:bidi="ar-SA"/>
            </w:rPr>
            <w:tab/>
          </w:r>
          <w:r>
            <w:rPr>
              <w:rFonts w:hint="eastAsia" w:ascii="仿宋_GB2312" w:hAnsi="仿宋_GB2312" w:eastAsia="仿宋_GB2312" w:cs="仿宋_GB2312"/>
              <w:color w:val="auto"/>
              <w:kern w:val="2"/>
              <w:sz w:val="32"/>
              <w:szCs w:val="32"/>
              <w:lang w:val="en-US" w:eastAsia="zh-CN" w:bidi="ar-SA"/>
            </w:rPr>
            <w:t>8</w:t>
          </w:r>
          <w:r>
            <w:rPr>
              <w:rFonts w:hint="eastAsia" w:ascii="仿宋_GB2312" w:hAnsi="仿宋_GB2312" w:eastAsia="仿宋_GB2312" w:cs="仿宋_GB2312"/>
              <w:color w:val="auto"/>
              <w:kern w:val="2"/>
              <w:sz w:val="32"/>
              <w:szCs w:val="32"/>
              <w:lang w:val="en-US" w:eastAsia="zh-CN" w:bidi="ar-SA"/>
            </w:rPr>
            <w:fldChar w:fldCharType="end"/>
          </w:r>
        </w:p>
        <w:p w14:paraId="67FB6505">
          <w:pPr>
            <w:pStyle w:val="14"/>
            <w:tabs>
              <w:tab w:val="right" w:leader="dot" w:pos="8845"/>
            </w:tabs>
            <w:rPr>
              <w:rFonts w:hint="eastAsia" w:ascii="仿宋_GB2312" w:hAnsi="仿宋_GB2312" w:eastAsia="仿宋_GB2312" w:cs="仿宋_GB2312"/>
              <w:color w:val="auto"/>
              <w:kern w:val="2"/>
              <w:sz w:val="32"/>
              <w:szCs w:val="32"/>
              <w:lang w:val="en-US" w:eastAsia="zh-CN" w:bidi="ar-SA"/>
            </w:rPr>
          </w:pPr>
          <w:r>
            <w:fldChar w:fldCharType="begin"/>
          </w:r>
          <w:r>
            <w:instrText xml:space="preserve"> HYPERLINK \l "_Toc24096" </w:instrText>
          </w:r>
          <w:r>
            <w:fldChar w:fldCharType="separate"/>
          </w:r>
          <w:sdt>
            <w:sdtPr>
              <w:rPr>
                <w:rFonts w:hint="eastAsia" w:ascii="仿宋_GB2312" w:hAnsi="仿宋_GB2312" w:eastAsia="仿宋_GB2312" w:cs="仿宋_GB2312"/>
                <w:color w:val="auto"/>
                <w:kern w:val="2"/>
                <w:sz w:val="32"/>
                <w:szCs w:val="32"/>
                <w:lang w:val="en-US" w:eastAsia="zh-CN" w:bidi="ar-SA"/>
              </w:rPr>
              <w:id w:val="147453828"/>
              <w:placeholder>
                <w:docPart w:val="{4b0fe790-bfce-4e30-9737-9611dc20d82b}"/>
              </w:placeholder>
            </w:sdtPr>
            <w:sdtEndPr>
              <w:rPr>
                <w:rFonts w:hint="eastAsia" w:ascii="仿宋_GB2312" w:hAnsi="仿宋_GB2312" w:eastAsia="仿宋_GB2312" w:cs="仿宋_GB2312"/>
                <w:color w:val="auto"/>
                <w:kern w:val="2"/>
                <w:sz w:val="32"/>
                <w:szCs w:val="32"/>
                <w:lang w:val="en-US" w:eastAsia="zh-CN" w:bidi="ar-SA"/>
              </w:rPr>
            </w:sdtEndPr>
            <w:sdtContent>
              <w:r>
                <w:rPr>
                  <w:rFonts w:hint="eastAsia" w:ascii="仿宋_GB2312" w:hAnsi="仿宋_GB2312" w:eastAsia="仿宋_GB2312" w:cs="仿宋_GB2312"/>
                  <w:color w:val="auto"/>
                  <w:kern w:val="2"/>
                  <w:sz w:val="32"/>
                  <w:szCs w:val="32"/>
                  <w:lang w:val="en-US" w:eastAsia="zh-CN" w:bidi="ar-SA"/>
                </w:rPr>
                <w:t>十、其他重要事项的情况说明</w:t>
              </w:r>
            </w:sdtContent>
          </w:sdt>
          <w:r>
            <w:rPr>
              <w:rFonts w:hint="eastAsia" w:ascii="仿宋_GB2312" w:hAnsi="仿宋_GB2312" w:eastAsia="仿宋_GB2312" w:cs="仿宋_GB2312"/>
              <w:color w:val="auto"/>
              <w:kern w:val="2"/>
              <w:sz w:val="32"/>
              <w:szCs w:val="32"/>
              <w:lang w:val="en-US" w:eastAsia="zh-CN" w:bidi="ar-SA"/>
            </w:rPr>
            <w:tab/>
          </w:r>
          <w:r>
            <w:rPr>
              <w:rFonts w:hint="eastAsia" w:ascii="仿宋_GB2312" w:hAnsi="仿宋_GB2312" w:eastAsia="仿宋_GB2312" w:cs="仿宋_GB2312"/>
              <w:color w:val="auto"/>
              <w:kern w:val="2"/>
              <w:sz w:val="32"/>
              <w:szCs w:val="32"/>
              <w:lang w:val="en-US" w:eastAsia="zh-CN" w:bidi="ar-SA"/>
            </w:rPr>
            <w:t>8</w:t>
          </w:r>
          <w:r>
            <w:rPr>
              <w:rFonts w:hint="eastAsia" w:ascii="仿宋_GB2312" w:hAnsi="仿宋_GB2312" w:eastAsia="仿宋_GB2312" w:cs="仿宋_GB2312"/>
              <w:color w:val="auto"/>
              <w:kern w:val="2"/>
              <w:sz w:val="32"/>
              <w:szCs w:val="32"/>
              <w:lang w:val="en-US" w:eastAsia="zh-CN" w:bidi="ar-SA"/>
            </w:rPr>
            <w:fldChar w:fldCharType="end"/>
          </w:r>
        </w:p>
        <w:p w14:paraId="3C2ED958">
          <w:pPr>
            <w:pStyle w:val="14"/>
            <w:tabs>
              <w:tab w:val="right" w:leader="dot" w:pos="8845"/>
            </w:tabs>
            <w:rPr>
              <w:rFonts w:hint="eastAsia" w:ascii="仿宋_GB2312" w:hAnsi="仿宋_GB2312" w:eastAsia="仿宋_GB2312" w:cs="仿宋_GB2312"/>
              <w:color w:val="auto"/>
              <w:kern w:val="2"/>
              <w:sz w:val="32"/>
              <w:szCs w:val="32"/>
              <w:lang w:val="en-US" w:eastAsia="zh-CN" w:bidi="ar-SA"/>
            </w:rPr>
          </w:pPr>
          <w:r>
            <w:fldChar w:fldCharType="begin"/>
          </w:r>
          <w:r>
            <w:instrText xml:space="preserve"> HYPERLINK \l "_Toc25215" </w:instrText>
          </w:r>
          <w:r>
            <w:fldChar w:fldCharType="separate"/>
          </w:r>
          <w:sdt>
            <w:sdtPr>
              <w:rPr>
                <w:rFonts w:hint="eastAsia" w:ascii="仿宋_GB2312" w:hAnsi="仿宋_GB2312" w:eastAsia="仿宋_GB2312" w:cs="仿宋_GB2312"/>
                <w:color w:val="auto"/>
                <w:kern w:val="2"/>
                <w:sz w:val="32"/>
                <w:szCs w:val="32"/>
                <w:lang w:val="en-US" w:eastAsia="zh-CN" w:bidi="ar-SA"/>
              </w:rPr>
              <w:id w:val="147457724"/>
              <w:placeholder>
                <w:docPart w:val="{19ad3948-34a1-48c2-81d1-bd8368cd5963}"/>
              </w:placeholder>
            </w:sdtPr>
            <w:sdtEndPr>
              <w:rPr>
                <w:rFonts w:hint="eastAsia" w:ascii="仿宋_GB2312" w:hAnsi="仿宋_GB2312" w:eastAsia="仿宋_GB2312" w:cs="仿宋_GB2312"/>
                <w:color w:val="auto"/>
                <w:kern w:val="2"/>
                <w:sz w:val="32"/>
                <w:szCs w:val="32"/>
                <w:lang w:val="en-US" w:eastAsia="zh-CN" w:bidi="ar-SA"/>
              </w:rPr>
            </w:sdtEndPr>
            <w:sdtContent>
              <w:r>
                <w:rPr>
                  <w:rFonts w:hint="eastAsia" w:ascii="仿宋_GB2312" w:hAnsi="仿宋_GB2312" w:eastAsia="仿宋_GB2312" w:cs="仿宋_GB2312"/>
                  <w:color w:val="auto"/>
                  <w:kern w:val="2"/>
                  <w:sz w:val="32"/>
                  <w:szCs w:val="32"/>
                  <w:lang w:val="en-US" w:eastAsia="zh-CN" w:bidi="ar-SA"/>
                </w:rPr>
                <w:t>十一、名词解释</w:t>
              </w:r>
            </w:sdtContent>
          </w:sdt>
          <w:r>
            <w:rPr>
              <w:rFonts w:hint="eastAsia" w:ascii="仿宋_GB2312" w:hAnsi="仿宋_GB2312" w:eastAsia="仿宋_GB2312" w:cs="仿宋_GB2312"/>
              <w:color w:val="auto"/>
              <w:kern w:val="2"/>
              <w:sz w:val="32"/>
              <w:szCs w:val="32"/>
              <w:lang w:val="en-US" w:eastAsia="zh-CN" w:bidi="ar-SA"/>
            </w:rPr>
            <w:tab/>
          </w:r>
          <w:r>
            <w:rPr>
              <w:rFonts w:hint="eastAsia" w:ascii="仿宋_GB2312" w:hAnsi="仿宋_GB2312" w:eastAsia="仿宋_GB2312" w:cs="仿宋_GB2312"/>
              <w:color w:val="auto"/>
              <w:kern w:val="2"/>
              <w:sz w:val="32"/>
              <w:szCs w:val="32"/>
              <w:lang w:val="en-US" w:eastAsia="zh-CN" w:bidi="ar-SA"/>
            </w:rPr>
            <w:t>9</w:t>
          </w:r>
          <w:r>
            <w:rPr>
              <w:rFonts w:hint="eastAsia" w:ascii="仿宋_GB2312" w:hAnsi="仿宋_GB2312" w:eastAsia="仿宋_GB2312" w:cs="仿宋_GB2312"/>
              <w:color w:val="auto"/>
              <w:kern w:val="2"/>
              <w:sz w:val="32"/>
              <w:szCs w:val="32"/>
              <w:lang w:val="en-US" w:eastAsia="zh-CN" w:bidi="ar-SA"/>
            </w:rPr>
            <w:fldChar w:fldCharType="end"/>
          </w:r>
        </w:p>
        <w:p w14:paraId="5AFCD02C">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leftChars="0" w:right="0" w:rightChars="0" w:firstLine="0" w:firstLineChars="0"/>
            <w:jc w:val="both"/>
          </w:pPr>
        </w:p>
      </w:sdtContent>
    </w:sdt>
    <w:p w14:paraId="286EDF78">
      <w:pPr>
        <w:pStyle w:val="14"/>
        <w:tabs>
          <w:tab w:val="right" w:leader="dot" w:pos="8845"/>
        </w:tabs>
        <w:ind w:left="0" w:leftChars="0"/>
        <w:rPr>
          <w:rFonts w:hint="default"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 xml:space="preserve">     </w:t>
      </w:r>
    </w:p>
    <w:p w14:paraId="4FC35E92">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748648AF">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11205B7C">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4FCFD362">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2AF49D2C">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5396E4E6">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620454C2">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35CC59DB">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6ABA7079">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5D5DFA28">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0A44AF02">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1EEAF4A9">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6E1F35B7">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48F8D6EB">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right="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4364D525">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rPr>
      </w:pPr>
      <w:bookmarkStart w:id="0" w:name="_Toc15539"/>
      <w:bookmarkStart w:id="1" w:name="_Toc17148"/>
      <w:bookmarkStart w:id="2" w:name="_Toc22162"/>
      <w:bookmarkStart w:id="3" w:name="_Toc26668"/>
      <w:r>
        <w:rPr>
          <w:rFonts w:hint="eastAsia" w:ascii="黑体" w:hAnsi="黑体" w:eastAsia="黑体" w:cs="黑体"/>
          <w:sz w:val="32"/>
          <w:szCs w:val="32"/>
          <w:lang w:val="en-US" w:eastAsia="zh-CN"/>
        </w:rPr>
        <w:t>一、基本职能及主要工作</w:t>
      </w:r>
      <w:bookmarkEnd w:id="0"/>
      <w:bookmarkEnd w:id="1"/>
      <w:bookmarkEnd w:id="2"/>
      <w:bookmarkEnd w:id="3"/>
    </w:p>
    <w:p w14:paraId="590F9759">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rPr>
      </w:pPr>
      <w:bookmarkStart w:id="4" w:name="_Toc10691"/>
      <w:bookmarkStart w:id="5" w:name="_Toc26103"/>
      <w:bookmarkStart w:id="6" w:name="_Toc30808"/>
      <w:bookmarkStart w:id="7" w:name="_Toc16567"/>
      <w:r>
        <w:rPr>
          <w:rFonts w:hint="eastAsia" w:ascii="楷体_GB2312" w:hAnsi="楷体_GB2312" w:eastAsia="楷体_GB2312" w:cs="楷体_GB2312"/>
          <w:sz w:val="32"/>
          <w:szCs w:val="32"/>
        </w:rPr>
        <w:t>（一）</w:t>
      </w:r>
      <w:r>
        <w:rPr>
          <w:rFonts w:hint="eastAsia" w:ascii="楷体_GB2312" w:hAnsi="楷体_GB2312" w:eastAsia="楷体_GB2312" w:cs="楷体_GB2312"/>
          <w:sz w:val="32"/>
          <w:szCs w:val="32"/>
          <w:lang w:val="en-US" w:eastAsia="zh-CN"/>
        </w:rPr>
        <w:t>单位</w:t>
      </w:r>
      <w:r>
        <w:rPr>
          <w:rFonts w:hint="eastAsia" w:ascii="楷体_GB2312" w:hAnsi="楷体_GB2312" w:eastAsia="楷体_GB2312" w:cs="楷体_GB2312"/>
          <w:sz w:val="32"/>
          <w:szCs w:val="32"/>
        </w:rPr>
        <w:t>职能简介</w:t>
      </w:r>
      <w:bookmarkEnd w:id="4"/>
      <w:bookmarkEnd w:id="5"/>
      <w:bookmarkEnd w:id="6"/>
      <w:bookmarkEnd w:id="7"/>
    </w:p>
    <w:p w14:paraId="09D09713">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1.贯彻党的教育方针，坚持社会主义办学方向，实行教育与生产劳动相结合，对学生进行德育、智育、体育、美育和劳动等方面的教育。</w:t>
      </w:r>
    </w:p>
    <w:p w14:paraId="79A6B6BB">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2.负责配合政府依法动员、组织适龄儿童、少年入学，严格控制学生辍学，依法保证适龄儿童、少年接受九年义务教育。</w:t>
      </w:r>
    </w:p>
    <w:p w14:paraId="2700D099">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3.负责依法制定学校章程，并按照章程自主管理。</w:t>
      </w:r>
    </w:p>
    <w:p w14:paraId="6C1CCA2F">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4.负责制定学校教育发展规划，并抓好组织和实施工作。</w:t>
      </w:r>
    </w:p>
    <w:p w14:paraId="3FC433DD">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5.负责按照教育主管部门发布的指导性教学计划、教学大纲，组织实施教育教学活动。</w:t>
      </w:r>
    </w:p>
    <w:p w14:paraId="68005BF9">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6.负责学籍管理并对学生实施奖励或处分。</w:t>
      </w:r>
    </w:p>
    <w:p w14:paraId="1F08C9D9">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7.负责依法制定本校教师及其他职工聘任制度，并对教师及其他员工实施包括奖励、处分在内的具体管理活动。</w:t>
      </w:r>
    </w:p>
    <w:p w14:paraId="5F2A7C14">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8.负责科学管理、合理使用学校的设施和经费，并积极筹措资金，改善办学条件。</w:t>
      </w:r>
    </w:p>
    <w:p w14:paraId="4C42A6CF">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9.负责维护学校、师生的合法权益，有权拒绝任何组织和个人对教育教学活动的</w:t>
      </w:r>
      <w:r>
        <w:commentReference w:id="0"/>
      </w:r>
      <w:r>
        <w:rPr>
          <w:rFonts w:hint="eastAsia" w:ascii="仿宋_GB2312" w:hAnsi="仿宋_GB2312" w:eastAsia="仿宋_GB2312" w:cs="仿宋_GB2312"/>
          <w:sz w:val="32"/>
          <w:szCs w:val="32"/>
          <w:lang w:val="en-US" w:eastAsia="zh-CN"/>
        </w:rPr>
        <w:t>非法干扰。</w:t>
      </w:r>
    </w:p>
    <w:p w14:paraId="485C534B">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10.依法接受各级教育行政部门的检查指导和人民群众的监督。</w:t>
      </w:r>
    </w:p>
    <w:p w14:paraId="17FD35C7">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11.承办上级交办的其他事项。</w:t>
      </w:r>
    </w:p>
    <w:p w14:paraId="5DC57AAB">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p>
    <w:p w14:paraId="768A6EBC">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rPr>
      </w:pPr>
      <w:bookmarkStart w:id="8" w:name="_Toc16771"/>
      <w:bookmarkStart w:id="9" w:name="_Toc11972"/>
      <w:bookmarkStart w:id="10" w:name="_Toc21160"/>
      <w:bookmarkStart w:id="11" w:name="_Toc6869"/>
      <w:r>
        <w:rPr>
          <w:rFonts w:hint="eastAsia" w:ascii="楷体_GB2312" w:hAnsi="楷体_GB2312" w:eastAsia="楷体_GB2312" w:cs="楷体_GB2312"/>
          <w:sz w:val="32"/>
          <w:szCs w:val="32"/>
        </w:rPr>
        <w:t>（二）</w:t>
      </w:r>
      <w:r>
        <w:rPr>
          <w:rFonts w:hint="eastAsia" w:ascii="楷体_GB2312" w:hAnsi="楷体_GB2312" w:eastAsia="楷体_GB2312" w:cs="楷体_GB2312"/>
          <w:sz w:val="32"/>
          <w:szCs w:val="32"/>
          <w:lang w:val="en-US"/>
        </w:rPr>
        <w:t>202</w:t>
      </w:r>
      <w:r>
        <w:rPr>
          <w:rFonts w:hint="eastAsia" w:ascii="楷体_GB2312" w:hAnsi="楷体_GB2312" w:eastAsia="楷体_GB2312" w:cs="楷体_GB2312"/>
          <w:sz w:val="32"/>
          <w:szCs w:val="32"/>
          <w:lang w:val="en-US" w:eastAsia="zh-CN"/>
        </w:rPr>
        <w:t>5</w:t>
      </w:r>
      <w:r>
        <w:rPr>
          <w:rFonts w:hint="eastAsia" w:ascii="楷体_GB2312" w:hAnsi="楷体_GB2312" w:eastAsia="楷体_GB2312" w:cs="楷体_GB2312"/>
          <w:sz w:val="32"/>
          <w:szCs w:val="32"/>
        </w:rPr>
        <w:t>年重点工作</w:t>
      </w:r>
      <w:bookmarkEnd w:id="8"/>
      <w:bookmarkEnd w:id="9"/>
      <w:bookmarkEnd w:id="10"/>
      <w:bookmarkEnd w:id="11"/>
    </w:p>
    <w:p w14:paraId="72E5678C">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⒈以建党日、国庆日等节日为契机，切实加强爱国主义教育和中华传统美德教育，树立正确的世界观、人生观、价值观。</w:t>
      </w:r>
    </w:p>
    <w:p w14:paraId="69E20F9E">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⒉探索德育工作新途径，构建具有学校特色的德育工作机制，贯彻“自律、自立、自我发展”的德育原则，提高学生自我管理能力，开展好德育主题教育活动，加强防邪反邪、禁毒教育。</w:t>
      </w:r>
    </w:p>
    <w:p w14:paraId="37F29CD7">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⒊以常规教育和养成教育为抓手，扎实开展系列</w:t>
      </w:r>
      <w:commentRangeStart w:id="1"/>
      <w:commentRangeStart w:id="2"/>
      <w:r>
        <w:commentReference w:id="1"/>
      </w:r>
      <w:commentRangeEnd w:id="1"/>
      <w:commentRangeEnd w:id="2"/>
      <w:r>
        <w:commentReference w:id="2"/>
      </w:r>
      <w:r>
        <w:rPr>
          <w:rFonts w:hint="eastAsia" w:ascii="仿宋_GB2312" w:hAnsi="仿宋_GB2312" w:eastAsia="仿宋_GB2312" w:cs="仿宋_GB2312"/>
          <w:sz w:val="32"/>
          <w:szCs w:val="32"/>
          <w:lang w:val="en-US" w:eastAsia="zh-CN"/>
        </w:rPr>
        <w:t>主题教育活动，寓德育于教学中，寓教育于活动中，不断放大德育工作的功能性。</w:t>
      </w:r>
    </w:p>
    <w:p w14:paraId="685FA1A9">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⒋加强班主任队伍建设，强化班级管理，提高班主任的思想理论素质和业务水平。</w:t>
      </w:r>
    </w:p>
    <w:p w14:paraId="7D9D6E0A">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5.认真贯彻执行《中华人民共和国义务教育法》，认真落实义务教育阶段学生各项减免与补助政策，切实做好教育民生工程。严格执行教育政策法规，规范办学行为。</w:t>
      </w:r>
    </w:p>
    <w:p w14:paraId="1FA20489">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6.全面贯彻党和国家教育方针，严格执行课程计划，开齐开足各类课程，确保教育质量，科学安排学生在校活动及作息时间。做到教书育人、管理育人、服务育人。</w:t>
      </w:r>
    </w:p>
    <w:p w14:paraId="199D8995">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7.巩固创建平安校园的成果。一丝不苟地做好学校的安全教育工作和体育卫生工作。特别是要做好学生的健康教育与安全教育管理工作，确保校园的稳定平安。</w:t>
      </w:r>
    </w:p>
    <w:p w14:paraId="4F4588E8">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8.每周组织1次教师学习交流活动，增强师德修养和依法执教意识，规范教育行为；通过理论知识讲座和研讨交流活动，促进教师理论素养提升，促进教师专业成长与发展。</w:t>
      </w:r>
    </w:p>
    <w:p w14:paraId="3B66E411">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9.积极鼓励教师参加各项教学活动、教研活动与课题研究。努力培养造就一批师德高尚、业绩优秀、教研突出、有影响力的名师。关注青年教师成长，加快其专业成长步伐。</w:t>
      </w:r>
    </w:p>
    <w:p w14:paraId="14FD96CA">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10.强化教师敬业精神和奉献精神，增强工作责任感和激发工作热情度，杜绝体罚和变相体罚。</w:t>
      </w:r>
    </w:p>
    <w:p w14:paraId="6451ABC9">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11.加大课程管理力度。增强教师课程法规意识，对照课程计划，严格控制周活动总量和学科教学学时，不得随意增减课时，切实提高课堂教学质量。保证学生每天一小时的体育锻炼时间，不断促进学生全面发展。</w:t>
      </w:r>
    </w:p>
    <w:p w14:paraId="4D4FB1CC">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12.推进361课堂教学模式研究。结合月考核制度，对教学常规进行精细化管理，课堂教学力求体现新课标精神，做到四基落实优质化、习惯培养经常化、能力训练系统化、潜能挖掘科学化。</w:t>
      </w:r>
    </w:p>
    <w:p w14:paraId="03235232">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13.积极组织教师参加各级各类的课堂教学竞赛和评比，力争在各科市区级课堂教学评比中取得优良的成绩。努力打造学校的精品课堂、精品课例。</w:t>
      </w:r>
    </w:p>
    <w:p w14:paraId="25A41ECB">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14.抓好课题常规管理，落实开题论证、中期检查、结题指导等工作，立足实际、立足课堂、立足学生开展教育科研，做到研以致用。</w:t>
      </w:r>
    </w:p>
    <w:p w14:paraId="7DB09F0C">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15.重视营造勤学氛围，注重良好学风的形成，培养学生持续、高效的学习习惯，力争教学质量在区类学校中居前优势。</w:t>
      </w:r>
    </w:p>
    <w:p w14:paraId="555BE1A8">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lang w:val="en-US" w:eastAsia="zh-CN"/>
        </w:rPr>
      </w:pPr>
      <w:bookmarkStart w:id="12" w:name="_Toc9201"/>
      <w:bookmarkStart w:id="13" w:name="_Toc3550"/>
      <w:bookmarkStart w:id="14" w:name="_Toc5733"/>
      <w:bookmarkStart w:id="15" w:name="_Toc26874"/>
      <w:r>
        <w:rPr>
          <w:rFonts w:hint="eastAsia" w:ascii="黑体" w:hAnsi="黑体" w:eastAsia="黑体" w:cs="黑体"/>
          <w:sz w:val="32"/>
          <w:szCs w:val="32"/>
          <w:lang w:val="en-US" w:eastAsia="zh-CN"/>
        </w:rPr>
        <w:t>二、部门预算单位构成</w:t>
      </w:r>
      <w:bookmarkEnd w:id="12"/>
      <w:bookmarkEnd w:id="13"/>
      <w:bookmarkEnd w:id="14"/>
      <w:bookmarkEnd w:id="15"/>
    </w:p>
    <w:p w14:paraId="1D2B80C4">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我单位为广元市昭化区教育局的下属二级预算单位，属于公益一类事业单位，无下属机构。</w:t>
      </w:r>
    </w:p>
    <w:p w14:paraId="7647E958">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rPr>
      </w:pPr>
      <w:bookmarkStart w:id="16" w:name="_Toc31198"/>
      <w:bookmarkStart w:id="17" w:name="_Toc14779"/>
      <w:bookmarkStart w:id="18" w:name="_Toc14700"/>
      <w:bookmarkStart w:id="19" w:name="_Toc24739"/>
      <w:r>
        <w:rPr>
          <w:rFonts w:hint="eastAsia" w:ascii="黑体" w:hAnsi="黑体" w:eastAsia="黑体" w:cs="黑体"/>
          <w:sz w:val="32"/>
          <w:szCs w:val="32"/>
          <w:lang w:val="en-US" w:eastAsia="zh-CN"/>
        </w:rPr>
        <w:t>三、收支预算情况说明</w:t>
      </w:r>
      <w:bookmarkEnd w:id="16"/>
      <w:bookmarkEnd w:id="17"/>
      <w:bookmarkEnd w:id="18"/>
      <w:bookmarkEnd w:id="19"/>
    </w:p>
    <w:p w14:paraId="48435FB8">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rPr>
      </w:pPr>
      <w:r>
        <w:rPr>
          <w:rFonts w:hint="eastAsia" w:ascii="仿宋_GB2312" w:hAnsi="仿宋_GB2312" w:eastAsia="仿宋_GB2312" w:cs="仿宋_GB2312"/>
          <w:sz w:val="32"/>
          <w:szCs w:val="32"/>
          <w:lang w:val="en-US" w:eastAsia="zh-CN"/>
        </w:rPr>
        <w:t>按照综合预算的原则，虎跳小学所有收入和支出均纳入部门预算管理。收入包括：一般公共预算拨款收入；支出包括：教育支出。虎跳小学2025年收支预算总数645.66万元，比2024年收支预算总数增加18.67万元，主要原因是基本支出预算增加。</w:t>
      </w:r>
    </w:p>
    <w:p w14:paraId="49639CB4">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bookmarkStart w:id="20" w:name="_Toc7021"/>
      <w:bookmarkStart w:id="21" w:name="_Toc14739"/>
      <w:bookmarkStart w:id="22" w:name="_Toc27316"/>
      <w:bookmarkStart w:id="23" w:name="_Toc31400"/>
      <w:r>
        <w:rPr>
          <w:rFonts w:hint="eastAsia" w:ascii="楷体_GB2312" w:hAnsi="楷体_GB2312" w:eastAsia="楷体_GB2312" w:cs="楷体_GB2312"/>
          <w:sz w:val="32"/>
          <w:szCs w:val="32"/>
          <w:lang w:val="en-US" w:eastAsia="zh-CN"/>
        </w:rPr>
        <w:t>（一）收入预算情况</w:t>
      </w:r>
      <w:bookmarkEnd w:id="20"/>
      <w:bookmarkEnd w:id="21"/>
      <w:bookmarkEnd w:id="22"/>
      <w:bookmarkEnd w:id="23"/>
    </w:p>
    <w:p w14:paraId="79761169">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sz w:val="32"/>
          <w:szCs w:val="32"/>
          <w:lang w:val="en-US" w:eastAsia="zh-CN"/>
        </w:rPr>
        <w:t>虎跳小学2025年收入预算645.66万元，其中：一般公共预算拨款收入645.66万元，占100%。</w:t>
      </w:r>
    </w:p>
    <w:p w14:paraId="6793208D">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bookmarkStart w:id="24" w:name="_Toc2730"/>
      <w:bookmarkStart w:id="25" w:name="_Toc21231"/>
      <w:bookmarkStart w:id="26" w:name="_Toc13740"/>
      <w:bookmarkStart w:id="27" w:name="_Toc1867"/>
      <w:r>
        <w:rPr>
          <w:rFonts w:hint="eastAsia" w:ascii="楷体_GB2312" w:hAnsi="楷体_GB2312" w:eastAsia="楷体_GB2312" w:cs="楷体_GB2312"/>
          <w:sz w:val="32"/>
          <w:szCs w:val="32"/>
          <w:lang w:val="en-US" w:eastAsia="zh-CN"/>
        </w:rPr>
        <w:t>（二）支出预算情况</w:t>
      </w:r>
      <w:bookmarkEnd w:id="24"/>
      <w:bookmarkEnd w:id="25"/>
      <w:bookmarkEnd w:id="26"/>
      <w:bookmarkEnd w:id="27"/>
    </w:p>
    <w:p w14:paraId="3C35D6B5">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sz w:val="32"/>
          <w:szCs w:val="32"/>
          <w:lang w:val="en-US" w:eastAsia="zh-CN"/>
        </w:rPr>
        <w:t>虎跳小学2025年支出预算645.66万元，其中：基本支出599.42万元，占92.84%；项目支出46.24万元，占7.16%</w:t>
      </w:r>
      <w:r>
        <w:rPr>
          <w:rFonts w:hint="eastAsia" w:ascii="仿宋_GB2312" w:hAnsi="仿宋_GB2312" w:eastAsia="仿宋_GB2312" w:cs="仿宋_GB2312"/>
          <w:b w:val="0"/>
          <w:bCs w:val="0"/>
          <w:sz w:val="32"/>
          <w:szCs w:val="32"/>
          <w:lang w:val="en-US" w:eastAsia="zh-CN"/>
        </w:rPr>
        <w:t>。</w:t>
      </w:r>
    </w:p>
    <w:p w14:paraId="15884266">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rPr>
      </w:pPr>
      <w:bookmarkStart w:id="28" w:name="_Toc29796"/>
      <w:bookmarkStart w:id="29" w:name="_Toc1320"/>
      <w:bookmarkStart w:id="30" w:name="_Toc18272"/>
      <w:bookmarkStart w:id="31" w:name="_Toc4771"/>
      <w:r>
        <w:rPr>
          <w:rFonts w:hint="eastAsia" w:ascii="黑体" w:hAnsi="黑体" w:eastAsia="黑体" w:cs="黑体"/>
          <w:sz w:val="32"/>
          <w:szCs w:val="32"/>
          <w:lang w:val="en-US" w:eastAsia="zh-CN"/>
        </w:rPr>
        <w:t>四、财政拨款收支预算情况说明</w:t>
      </w:r>
      <w:bookmarkEnd w:id="28"/>
      <w:bookmarkEnd w:id="29"/>
      <w:bookmarkEnd w:id="30"/>
      <w:bookmarkEnd w:id="31"/>
    </w:p>
    <w:p w14:paraId="70C3121E">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虎跳小学2025年财政拨款收支预算总数为645.66万元，比2024年财政拨款收支预算总数增加18.67万元，主要原因是基本支出预算增加。</w:t>
      </w:r>
    </w:p>
    <w:p w14:paraId="1F81DA01">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收入包括：本年一般公共预算拨款收入645.66万元；支出包括：教育支出645.66万元。</w:t>
      </w:r>
    </w:p>
    <w:p w14:paraId="11C19DE7">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lang w:val="en-US" w:eastAsia="zh-CN"/>
        </w:rPr>
      </w:pPr>
      <w:bookmarkStart w:id="32" w:name="_Toc27871"/>
      <w:bookmarkStart w:id="33" w:name="_Toc8042"/>
      <w:bookmarkStart w:id="34" w:name="_Toc24328"/>
      <w:bookmarkStart w:id="35" w:name="_Toc2285"/>
      <w:r>
        <w:rPr>
          <w:rFonts w:hint="eastAsia" w:ascii="黑体" w:hAnsi="黑体" w:eastAsia="黑体" w:cs="黑体"/>
          <w:sz w:val="32"/>
          <w:szCs w:val="32"/>
          <w:lang w:val="en-US" w:eastAsia="zh-CN"/>
        </w:rPr>
        <w:t>五、一般公共预算当年拨款情况说明</w:t>
      </w:r>
      <w:bookmarkEnd w:id="32"/>
      <w:bookmarkEnd w:id="33"/>
      <w:bookmarkEnd w:id="34"/>
      <w:bookmarkEnd w:id="35"/>
    </w:p>
    <w:p w14:paraId="5A2A6A2F">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bookmarkStart w:id="36" w:name="_Toc2691"/>
      <w:bookmarkStart w:id="37" w:name="_Toc23199"/>
      <w:bookmarkStart w:id="38" w:name="_Toc9341"/>
      <w:bookmarkStart w:id="39" w:name="_Toc7183"/>
      <w:r>
        <w:rPr>
          <w:rFonts w:hint="eastAsia" w:ascii="楷体_GB2312" w:hAnsi="楷体_GB2312" w:eastAsia="楷体_GB2312" w:cs="楷体_GB2312"/>
          <w:sz w:val="32"/>
          <w:szCs w:val="32"/>
          <w:lang w:val="en-US" w:eastAsia="zh-CN"/>
        </w:rPr>
        <w:t>（一）一般公共预算当年拨款规模变化情况</w:t>
      </w:r>
      <w:bookmarkEnd w:id="36"/>
      <w:bookmarkEnd w:id="37"/>
      <w:bookmarkEnd w:id="38"/>
      <w:bookmarkEnd w:id="39"/>
    </w:p>
    <w:p w14:paraId="463013A6">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虎跳小学2025年一般公共预算当年拨款645.66万元，比2024年财政拨款收支预算总数增加18.67万元，主要原因是基本支出预算增加。</w:t>
      </w:r>
    </w:p>
    <w:p w14:paraId="0351903F">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bookmarkStart w:id="40" w:name="_Toc1696"/>
      <w:bookmarkStart w:id="41" w:name="_Toc4127"/>
      <w:bookmarkStart w:id="42" w:name="_Toc26020"/>
      <w:bookmarkStart w:id="43" w:name="_Toc30471"/>
      <w:r>
        <w:rPr>
          <w:rFonts w:hint="eastAsia" w:ascii="楷体_GB2312" w:hAnsi="楷体_GB2312" w:eastAsia="楷体_GB2312" w:cs="楷体_GB2312"/>
          <w:sz w:val="32"/>
          <w:szCs w:val="32"/>
          <w:lang w:val="en-US" w:eastAsia="zh-CN"/>
        </w:rPr>
        <w:t>（二）一般公共预算当年拨款结构情况</w:t>
      </w:r>
      <w:bookmarkEnd w:id="40"/>
      <w:bookmarkEnd w:id="41"/>
      <w:bookmarkEnd w:id="42"/>
      <w:bookmarkEnd w:id="43"/>
    </w:p>
    <w:p w14:paraId="5A9352FE">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教育支出645.66万元，占100%。</w:t>
      </w:r>
    </w:p>
    <w:p w14:paraId="6220892E">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bookmarkStart w:id="44" w:name="_Toc1528"/>
      <w:bookmarkStart w:id="45" w:name="_Toc18534"/>
      <w:bookmarkStart w:id="46" w:name="_Toc339"/>
      <w:bookmarkStart w:id="47" w:name="_Toc16105"/>
      <w:r>
        <w:rPr>
          <w:rFonts w:hint="eastAsia" w:ascii="楷体_GB2312" w:hAnsi="楷体_GB2312" w:eastAsia="楷体_GB2312" w:cs="楷体_GB2312"/>
          <w:sz w:val="32"/>
          <w:szCs w:val="32"/>
          <w:lang w:val="en-US" w:eastAsia="zh-CN"/>
        </w:rPr>
        <w:t>（三）一般公共预算当年拨款具体使用情况</w:t>
      </w:r>
      <w:bookmarkEnd w:id="44"/>
      <w:bookmarkEnd w:id="45"/>
      <w:bookmarkEnd w:id="46"/>
      <w:bookmarkEnd w:id="47"/>
    </w:p>
    <w:p w14:paraId="1419AA8D">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lang w:val="en-US" w:eastAsia="zh-CN"/>
        </w:rPr>
      </w:pPr>
      <w:r>
        <w:rPr>
          <w:rFonts w:hint="default" w:ascii="仿宋_GB2312" w:hAnsi="仿宋_GB2312" w:eastAsia="仿宋_GB2312" w:cs="仿宋_GB2312"/>
          <w:sz w:val="32"/>
          <w:szCs w:val="32"/>
          <w:lang w:val="en-US" w:eastAsia="zh-CN"/>
        </w:rPr>
        <w:t>1.教育支出（类）普通教育（款）小学教育（项）2025年预算数为</w:t>
      </w:r>
      <w:r>
        <w:rPr>
          <w:rFonts w:hint="eastAsia" w:ascii="仿宋_GB2312" w:hAnsi="仿宋_GB2312" w:eastAsia="仿宋_GB2312" w:cs="仿宋_GB2312"/>
          <w:sz w:val="32"/>
          <w:szCs w:val="32"/>
          <w:lang w:val="en-US" w:eastAsia="zh-CN"/>
        </w:rPr>
        <w:t>645.66</w:t>
      </w:r>
      <w:r>
        <w:rPr>
          <w:rFonts w:hint="default" w:ascii="仿宋_GB2312" w:hAnsi="仿宋_GB2312" w:eastAsia="仿宋_GB2312" w:cs="仿宋_GB2312"/>
          <w:sz w:val="32"/>
          <w:szCs w:val="32"/>
          <w:lang w:val="en-US" w:eastAsia="zh-CN"/>
        </w:rPr>
        <w:t>万元，主要用于：小学教育机构的基本支出，包括基本工资、津贴补贴、基础绩效奖等人员经费以及机构运行所需的办公费、印刷费、维修（护）费、工会经费等运行补助经费。</w:t>
      </w:r>
    </w:p>
    <w:p w14:paraId="2BF7EDA3">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rPr>
      </w:pPr>
      <w:bookmarkStart w:id="48" w:name="_Toc11593"/>
      <w:bookmarkStart w:id="49" w:name="_Toc19375"/>
      <w:bookmarkStart w:id="50" w:name="_Toc3667"/>
      <w:bookmarkStart w:id="51" w:name="_Toc10509"/>
      <w:r>
        <w:rPr>
          <w:rFonts w:hint="eastAsia" w:ascii="黑体" w:hAnsi="黑体" w:eastAsia="黑体" w:cs="黑体"/>
          <w:sz w:val="32"/>
          <w:szCs w:val="32"/>
          <w:lang w:val="en-US" w:eastAsia="zh-CN"/>
        </w:rPr>
        <w:t>六、一般公共预算基本支出情况说明</w:t>
      </w:r>
      <w:bookmarkEnd w:id="48"/>
      <w:bookmarkEnd w:id="49"/>
      <w:bookmarkEnd w:id="50"/>
      <w:bookmarkEnd w:id="51"/>
    </w:p>
    <w:p w14:paraId="20FADBE0">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虎跳小学2025年一般公共预算基本支出599.42万元，其中：</w:t>
      </w:r>
    </w:p>
    <w:p w14:paraId="237175C4">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人员经费599.42万元，主要包括：基本工资、津贴补贴、奖金、绩效工资、社会保险缴费、住房公积金、奖励金等支出。</w:t>
      </w:r>
    </w:p>
    <w:p w14:paraId="667A8D82">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公用经费0万元。</w:t>
      </w:r>
    </w:p>
    <w:p w14:paraId="3D05BC1E">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rPr>
      </w:pPr>
      <w:bookmarkStart w:id="52" w:name="_Toc24538"/>
      <w:bookmarkStart w:id="53" w:name="_Toc6650"/>
      <w:bookmarkStart w:id="54" w:name="_Toc3771"/>
      <w:bookmarkStart w:id="55" w:name="_Toc26408"/>
      <w:r>
        <w:rPr>
          <w:rFonts w:hint="eastAsia" w:ascii="黑体" w:hAnsi="黑体" w:eastAsia="黑体" w:cs="黑体"/>
          <w:sz w:val="32"/>
          <w:szCs w:val="32"/>
          <w:lang w:val="en-US" w:eastAsia="zh-CN"/>
        </w:rPr>
        <w:t>七、“三公”经费财政拨款预算安排情况说明</w:t>
      </w:r>
      <w:bookmarkEnd w:id="52"/>
      <w:bookmarkEnd w:id="53"/>
      <w:bookmarkEnd w:id="54"/>
      <w:bookmarkEnd w:id="55"/>
    </w:p>
    <w:p w14:paraId="2A572254">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虎跳小学2025年“三公”经费财政拨款预算数0万元，其中：公务接待费0万元，公务用车购置及运行维护费0万元，因公出国（境）经费0万元。</w:t>
      </w:r>
    </w:p>
    <w:p w14:paraId="16A8A255">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bookmarkStart w:id="56" w:name="_Toc8141"/>
      <w:bookmarkStart w:id="57" w:name="_Toc31545"/>
      <w:bookmarkStart w:id="58" w:name="_Toc17818"/>
      <w:bookmarkStart w:id="59" w:name="_Toc26545"/>
      <w:r>
        <w:rPr>
          <w:rFonts w:hint="eastAsia" w:ascii="楷体_GB2312" w:hAnsi="楷体_GB2312" w:eastAsia="楷体_GB2312" w:cs="楷体_GB2312"/>
          <w:sz w:val="32"/>
          <w:szCs w:val="32"/>
          <w:lang w:val="en-US" w:eastAsia="zh-CN"/>
        </w:rPr>
        <w:t>（一）公务接待费</w:t>
      </w:r>
      <w:bookmarkEnd w:id="56"/>
      <w:bookmarkEnd w:id="57"/>
      <w:bookmarkEnd w:id="58"/>
      <w:bookmarkEnd w:id="59"/>
    </w:p>
    <w:p w14:paraId="71FCCBBC">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公务接待费与2024年预算相比持平。</w:t>
      </w:r>
    </w:p>
    <w:p w14:paraId="0C9918D9">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lang w:val="en-US" w:eastAsia="zh-CN"/>
        </w:rPr>
        <w:t>2025年公务接待费计划用于执行接待考察调研、检查指导等公务活动开支的交通费、住宿费、用餐费等。</w:t>
      </w:r>
    </w:p>
    <w:p w14:paraId="4E555F80">
      <w:pPr>
        <w:keepNext w:val="0"/>
        <w:keepLines w:val="0"/>
        <w:pageBreakBefore w:val="0"/>
        <w:widowControl w:val="0"/>
        <w:numPr>
          <w:ilvl w:val="0"/>
          <w:numId w:val="1"/>
        </w:numPr>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bookmarkStart w:id="60" w:name="_Toc9579"/>
      <w:bookmarkStart w:id="61" w:name="_Toc25707"/>
      <w:bookmarkStart w:id="62" w:name="_Toc202"/>
      <w:bookmarkStart w:id="63" w:name="_Toc25139"/>
      <w:r>
        <w:rPr>
          <w:rFonts w:hint="eastAsia" w:ascii="楷体_GB2312" w:hAnsi="楷体_GB2312" w:eastAsia="楷体_GB2312" w:cs="楷体_GB2312"/>
          <w:sz w:val="32"/>
          <w:szCs w:val="32"/>
          <w:lang w:val="en-US" w:eastAsia="zh-CN"/>
        </w:rPr>
        <w:t>公务用车购置及运行维护费</w:t>
      </w:r>
      <w:bookmarkEnd w:id="60"/>
      <w:bookmarkEnd w:id="61"/>
      <w:bookmarkEnd w:id="62"/>
      <w:bookmarkEnd w:id="63"/>
    </w:p>
    <w:p w14:paraId="799BD841">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公务用车购置及运行维护费与2024年预算相比持平。</w:t>
      </w:r>
    </w:p>
    <w:p w14:paraId="6BE22F7D">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单位现有公务用车0辆。</w:t>
      </w:r>
    </w:p>
    <w:p w14:paraId="7A4414D5">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2025年未安排公务用车购置费。</w:t>
      </w:r>
    </w:p>
    <w:p w14:paraId="444F16B7">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2025年安排公务用车运行维护费0万元。</w:t>
      </w:r>
    </w:p>
    <w:p w14:paraId="1F9533CD">
      <w:pPr>
        <w:keepNext w:val="0"/>
        <w:keepLines w:val="0"/>
        <w:pageBreakBefore w:val="0"/>
        <w:widowControl w:val="0"/>
        <w:kinsoku/>
        <w:wordWrap/>
        <w:overflowPunct/>
        <w:topLinePunct w:val="0"/>
        <w:autoSpaceDE/>
        <w:autoSpaceDN/>
        <w:bidi w:val="0"/>
        <w:adjustRightInd/>
        <w:snapToGrid/>
        <w:spacing w:line="576" w:lineRule="exac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bookmarkStart w:id="64" w:name="_Toc19888"/>
      <w:bookmarkStart w:id="65" w:name="_Toc7902"/>
      <w:bookmarkStart w:id="66" w:name="_Toc4712"/>
      <w:bookmarkStart w:id="67" w:name="_Toc7655"/>
      <w:r>
        <w:rPr>
          <w:rFonts w:hint="eastAsia" w:ascii="仿宋_GB2312" w:hAnsi="仿宋_GB2312" w:eastAsia="仿宋_GB2312" w:cs="仿宋_GB2312"/>
          <w:sz w:val="32"/>
          <w:szCs w:val="32"/>
          <w:lang w:val="en-US" w:eastAsia="zh-CN"/>
        </w:rPr>
        <w:t>（</w:t>
      </w:r>
      <w:r>
        <w:rPr>
          <w:rFonts w:hint="eastAsia" w:ascii="楷体_GB2312" w:hAnsi="楷体_GB2312" w:eastAsia="楷体_GB2312" w:cs="楷体_GB2312"/>
          <w:sz w:val="32"/>
          <w:szCs w:val="32"/>
          <w:lang w:val="en-US" w:eastAsia="zh-CN"/>
        </w:rPr>
        <w:t>三）因公出国（境）经费</w:t>
      </w:r>
      <w:bookmarkEnd w:id="64"/>
      <w:bookmarkEnd w:id="65"/>
      <w:bookmarkEnd w:id="66"/>
      <w:bookmarkEnd w:id="67"/>
    </w:p>
    <w:p w14:paraId="7DB1812D">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因公出国（境）经费与2024年预算相比持平。</w:t>
      </w:r>
    </w:p>
    <w:p w14:paraId="5CEBD724">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lang w:val="en-US" w:eastAsia="zh-CN"/>
        </w:rPr>
      </w:pPr>
      <w:bookmarkStart w:id="68" w:name="_Toc17298"/>
      <w:bookmarkStart w:id="69" w:name="_Toc11337"/>
      <w:bookmarkStart w:id="70" w:name="_Toc9269"/>
      <w:bookmarkStart w:id="71" w:name="_Toc9857"/>
      <w:r>
        <w:rPr>
          <w:rFonts w:hint="eastAsia" w:ascii="黑体" w:hAnsi="黑体" w:eastAsia="黑体" w:cs="黑体"/>
          <w:sz w:val="32"/>
          <w:szCs w:val="32"/>
          <w:lang w:val="en-US" w:eastAsia="zh-CN"/>
        </w:rPr>
        <w:t>八、政府性基金预算支出情况说明</w:t>
      </w:r>
      <w:bookmarkEnd w:id="68"/>
      <w:bookmarkEnd w:id="69"/>
      <w:bookmarkEnd w:id="70"/>
      <w:bookmarkEnd w:id="71"/>
    </w:p>
    <w:p w14:paraId="58D14C92">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虎跳小学2025年无政府性基金预算拨款安排的支出。</w:t>
      </w:r>
    </w:p>
    <w:p w14:paraId="4842F0B9">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lang w:val="en-US" w:eastAsia="zh-CN"/>
        </w:rPr>
      </w:pPr>
      <w:bookmarkStart w:id="72" w:name="_Toc4454"/>
      <w:bookmarkStart w:id="73" w:name="_Toc18692"/>
      <w:bookmarkStart w:id="74" w:name="_Toc6046"/>
      <w:bookmarkStart w:id="75" w:name="_Toc21115"/>
      <w:r>
        <w:rPr>
          <w:rFonts w:hint="eastAsia" w:ascii="黑体" w:hAnsi="黑体" w:eastAsia="黑体" w:cs="黑体"/>
          <w:sz w:val="32"/>
          <w:szCs w:val="32"/>
          <w:lang w:val="en-US" w:eastAsia="zh-CN"/>
        </w:rPr>
        <w:t>九、国有资本经营预算支出情况说明</w:t>
      </w:r>
      <w:bookmarkEnd w:id="72"/>
      <w:bookmarkEnd w:id="73"/>
      <w:bookmarkEnd w:id="74"/>
      <w:bookmarkEnd w:id="75"/>
    </w:p>
    <w:p w14:paraId="12FFD42E">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虎跳小学2025年无国有资本经营预算拨款安排的支出。</w:t>
      </w:r>
    </w:p>
    <w:p w14:paraId="3854214E">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rPr>
      </w:pPr>
      <w:bookmarkStart w:id="76" w:name="_Toc7735"/>
      <w:bookmarkStart w:id="77" w:name="_Toc3755"/>
      <w:bookmarkStart w:id="78" w:name="_Toc24096"/>
      <w:bookmarkStart w:id="79" w:name="_Toc11522"/>
      <w:r>
        <w:rPr>
          <w:rFonts w:hint="eastAsia" w:ascii="黑体" w:hAnsi="黑体" w:eastAsia="黑体" w:cs="黑体"/>
          <w:sz w:val="32"/>
          <w:szCs w:val="32"/>
          <w:lang w:val="en-US" w:eastAsia="zh-CN"/>
        </w:rPr>
        <w:t>十、其他重要事项的情况说明</w:t>
      </w:r>
      <w:bookmarkEnd w:id="76"/>
      <w:bookmarkEnd w:id="77"/>
      <w:bookmarkEnd w:id="78"/>
      <w:bookmarkEnd w:id="79"/>
    </w:p>
    <w:p w14:paraId="77EDB592">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bookmarkStart w:id="80" w:name="_Toc4038"/>
      <w:bookmarkStart w:id="81" w:name="_Toc21274"/>
      <w:bookmarkStart w:id="82" w:name="_Toc21333"/>
      <w:bookmarkStart w:id="83" w:name="_Toc17345"/>
      <w:r>
        <w:rPr>
          <w:rFonts w:hint="eastAsia" w:ascii="楷体_GB2312" w:hAnsi="楷体_GB2312" w:eastAsia="楷体_GB2312" w:cs="楷体_GB2312"/>
          <w:sz w:val="32"/>
          <w:szCs w:val="32"/>
          <w:lang w:val="en-US" w:eastAsia="zh-CN"/>
        </w:rPr>
        <w:t>（一）机关运行经费</w:t>
      </w:r>
      <w:bookmarkEnd w:id="80"/>
      <w:bookmarkEnd w:id="81"/>
      <w:bookmarkEnd w:id="82"/>
      <w:bookmarkEnd w:id="83"/>
    </w:p>
    <w:p w14:paraId="4256EC3E">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2025年，本单位属公益一类事业单位，无机关运行经费。</w:t>
      </w:r>
    </w:p>
    <w:p w14:paraId="2FA0A684">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bookmarkStart w:id="84" w:name="_Toc9253"/>
      <w:bookmarkStart w:id="85" w:name="_Toc17251"/>
      <w:bookmarkStart w:id="86" w:name="_Toc5385"/>
      <w:bookmarkStart w:id="87" w:name="_Toc28859"/>
      <w:r>
        <w:rPr>
          <w:rFonts w:hint="eastAsia" w:ascii="楷体_GB2312" w:hAnsi="楷体_GB2312" w:eastAsia="楷体_GB2312" w:cs="楷体_GB2312"/>
          <w:sz w:val="32"/>
          <w:szCs w:val="32"/>
          <w:lang w:val="en-US" w:eastAsia="zh-CN"/>
        </w:rPr>
        <w:t>（二）政府采购情况</w:t>
      </w:r>
      <w:bookmarkEnd w:id="84"/>
      <w:bookmarkEnd w:id="85"/>
      <w:bookmarkEnd w:id="86"/>
      <w:bookmarkEnd w:id="87"/>
    </w:p>
    <w:p w14:paraId="78251A3E">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2025年，虎跳小学安排政府采购预算0万元。</w:t>
      </w:r>
    </w:p>
    <w:p w14:paraId="3436DD17">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bookmarkStart w:id="88" w:name="_Toc28467"/>
      <w:bookmarkStart w:id="89" w:name="_Toc3670"/>
      <w:bookmarkStart w:id="90" w:name="_Toc24573"/>
      <w:bookmarkStart w:id="91" w:name="_Toc24254"/>
      <w:r>
        <w:rPr>
          <w:rFonts w:hint="eastAsia" w:ascii="楷体_GB2312" w:hAnsi="楷体_GB2312" w:eastAsia="楷体_GB2312" w:cs="楷体_GB2312"/>
          <w:sz w:val="32"/>
          <w:szCs w:val="32"/>
          <w:lang w:val="en-US" w:eastAsia="zh-CN"/>
        </w:rPr>
        <w:t>（三）国有资产占有使用情况</w:t>
      </w:r>
      <w:bookmarkEnd w:id="88"/>
      <w:bookmarkEnd w:id="89"/>
      <w:bookmarkEnd w:id="90"/>
      <w:bookmarkEnd w:id="91"/>
    </w:p>
    <w:p w14:paraId="7E2492DB">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截至2024年底，虎跳小学共有车辆0辆。单位无价值200万元以上的大型设备。</w:t>
      </w:r>
    </w:p>
    <w:p w14:paraId="33741D30">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2025年部门预算未安排购置车辆及单位价值200万元以上大型设备。</w:t>
      </w:r>
    </w:p>
    <w:p w14:paraId="1EAE86BA">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rPr>
      </w:pPr>
      <w:bookmarkStart w:id="92" w:name="_Toc24305"/>
      <w:bookmarkStart w:id="93" w:name="_Toc31636"/>
      <w:bookmarkStart w:id="94" w:name="_Toc12312"/>
      <w:bookmarkStart w:id="95" w:name="_Toc19526"/>
      <w:r>
        <w:rPr>
          <w:rFonts w:hint="eastAsia" w:ascii="楷体_GB2312" w:hAnsi="楷体_GB2312" w:eastAsia="楷体_GB2312" w:cs="楷体_GB2312"/>
          <w:sz w:val="32"/>
          <w:szCs w:val="32"/>
          <w:lang w:val="en-US" w:eastAsia="zh-CN"/>
        </w:rPr>
        <w:t>（四）绩效目标设置情况</w:t>
      </w:r>
      <w:bookmarkEnd w:id="92"/>
      <w:bookmarkEnd w:id="93"/>
      <w:bookmarkEnd w:id="94"/>
      <w:bookmarkEnd w:id="95"/>
    </w:p>
    <w:p w14:paraId="65432197">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2025年虎跳小学开展绩效目标管理的项目15个，涉及预算645.66万元。其中：人员类项目11个，涉及预算599.42万元；运转类项目4个，涉及预算46.24万元；特定目标类项目0个，涉及预算0万元。因部分项目内容涉密，不予公开。</w:t>
      </w:r>
    </w:p>
    <w:p w14:paraId="0F610EAA">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rPr>
      </w:pPr>
      <w:bookmarkStart w:id="96" w:name="_Toc24150"/>
      <w:bookmarkStart w:id="97" w:name="_Toc25215"/>
      <w:bookmarkStart w:id="98" w:name="_Toc19545"/>
      <w:bookmarkStart w:id="99" w:name="_Toc23498"/>
      <w:r>
        <w:rPr>
          <w:rFonts w:hint="eastAsia" w:ascii="黑体" w:hAnsi="黑体" w:eastAsia="黑体" w:cs="黑体"/>
          <w:sz w:val="32"/>
          <w:szCs w:val="32"/>
          <w:lang w:val="en-US" w:eastAsia="zh-CN"/>
        </w:rPr>
        <w:t>十一、名词解释</w:t>
      </w:r>
      <w:bookmarkEnd w:id="96"/>
      <w:bookmarkEnd w:id="97"/>
      <w:bookmarkEnd w:id="98"/>
      <w:bookmarkEnd w:id="99"/>
    </w:p>
    <w:p w14:paraId="6BB4841A">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（一）财政拨款收入：</w:t>
      </w:r>
      <w:r>
        <w:rPr>
          <w:rFonts w:hint="eastAsia" w:ascii="仿宋_GB2312" w:hAnsi="仿宋_GB2312" w:eastAsia="仿宋_GB2312" w:cs="仿宋_GB2312"/>
          <w:sz w:val="32"/>
          <w:szCs w:val="32"/>
          <w:lang w:val="en-US" w:eastAsia="zh-CN"/>
        </w:rPr>
        <w:t>指区级</w:t>
      </w:r>
      <w:bookmarkStart w:id="104" w:name="_GoBack"/>
      <w:bookmarkEnd w:id="104"/>
      <w:r>
        <w:rPr>
          <w:rFonts w:hint="eastAsia" w:ascii="仿宋_GB2312" w:hAnsi="仿宋_GB2312" w:eastAsia="仿宋_GB2312" w:cs="仿宋_GB2312"/>
          <w:sz w:val="32"/>
          <w:szCs w:val="32"/>
          <w:lang w:val="en-US" w:eastAsia="zh-CN"/>
        </w:rPr>
        <w:t>财政当年安排的财政预算收入。按现行管理制度，部门预算中反映的财政拨款包括一般公共预算拨款和政府性基金预算拨款。</w:t>
      </w:r>
    </w:p>
    <w:p w14:paraId="3C877C3C">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（二）事业收入：</w:t>
      </w:r>
      <w:r>
        <w:rPr>
          <w:rFonts w:hint="eastAsia" w:ascii="仿宋_GB2312" w:hAnsi="仿宋_GB2312" w:eastAsia="仿宋_GB2312" w:cs="仿宋_GB2312"/>
          <w:sz w:val="32"/>
          <w:szCs w:val="32"/>
          <w:lang w:val="en-US" w:eastAsia="zh-CN"/>
        </w:rPr>
        <w:t>指事业单位开展专业业务活动及辅助活动所取得的收入。主要为学校根据国家有关部门批准的项目和标准收取的学费、住宿费等。</w:t>
      </w:r>
    </w:p>
    <w:p w14:paraId="0125B3DE">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（三）其他收入：</w:t>
      </w:r>
      <w:r>
        <w:rPr>
          <w:rFonts w:hint="eastAsia" w:ascii="仿宋_GB2312" w:hAnsi="仿宋_GB2312" w:eastAsia="仿宋_GB2312" w:cs="仿宋_GB2312"/>
          <w:sz w:val="32"/>
          <w:szCs w:val="32"/>
          <w:lang w:val="en-US" w:eastAsia="zh-CN"/>
        </w:rPr>
        <w:t>指除上述“一般公共预算拨款收入和事业收入”等以外的收入，如银行存款利息收入等。</w:t>
      </w:r>
    </w:p>
    <w:p w14:paraId="3C3C9D3B">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（四）上年结转：</w:t>
      </w:r>
      <w:r>
        <w:rPr>
          <w:rFonts w:hint="eastAsia" w:ascii="仿宋_GB2312" w:hAnsi="仿宋_GB2312" w:eastAsia="仿宋_GB2312" w:cs="仿宋_GB2312"/>
          <w:sz w:val="32"/>
          <w:szCs w:val="32"/>
          <w:lang w:val="en-US" w:eastAsia="zh-CN"/>
        </w:rPr>
        <w:t>指以前年度尚未完成，结转到本年仍按原规定用途继续使用的资金。</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w:t>
      </w:r>
      <w:r>
        <w:rPr>
          <w:rFonts w:hint="eastAsia" w:ascii="楷体_GB2312" w:hAnsi="楷体_GB2312" w:eastAsia="楷体_GB2312" w:cs="楷体_GB2312"/>
          <w:sz w:val="32"/>
          <w:szCs w:val="32"/>
          <w:lang w:val="en-US" w:eastAsia="zh-CN"/>
        </w:rPr>
        <w:t>（五）教育支出（类）普通教育（款）小学教育（项）：</w:t>
      </w:r>
      <w:r>
        <w:rPr>
          <w:rFonts w:hint="eastAsia" w:ascii="仿宋_GB2312" w:hAnsi="仿宋_GB2312" w:eastAsia="仿宋_GB2312" w:cs="仿宋_GB2312"/>
          <w:sz w:val="32"/>
          <w:szCs w:val="32"/>
          <w:lang w:val="en-US" w:eastAsia="zh-CN"/>
        </w:rPr>
        <w:t>指小学教育发展的基本支出，包括基本工资、津贴补贴等人员经费以及办公费、印刷费、水电费等日常公用经费。　　</w:t>
      </w:r>
    </w:p>
    <w:p w14:paraId="5D9D1C0F">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（六）社会保障和就业（类）行政事业单位养老支出（款）机关事业单位基本养老保险缴费支出（项）：</w:t>
      </w:r>
      <w:r>
        <w:rPr>
          <w:rFonts w:hint="eastAsia" w:ascii="仿宋_GB2312" w:hAnsi="仿宋_GB2312" w:eastAsia="仿宋_GB2312" w:cs="仿宋_GB2312"/>
          <w:sz w:val="32"/>
          <w:szCs w:val="32"/>
          <w:lang w:val="en-US" w:eastAsia="zh-CN"/>
        </w:rPr>
        <w:t>指部门实施养老保险制度由单位缴纳的养老保险的支出。</w:t>
      </w:r>
    </w:p>
    <w:p w14:paraId="1C18C7B0">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（七）社会保障和就业（类）行政事业单位养老支出（款）机关事业单位职业年金缴费支出（项）：</w:t>
      </w:r>
      <w:r>
        <w:rPr>
          <w:rFonts w:hint="eastAsia" w:ascii="仿宋_GB2312" w:hAnsi="仿宋_GB2312" w:eastAsia="仿宋_GB2312" w:cs="仿宋_GB2312"/>
          <w:sz w:val="32"/>
          <w:szCs w:val="32"/>
          <w:lang w:val="en-US" w:eastAsia="zh-CN"/>
        </w:rPr>
        <w:t>指部门实施养老保险制度由单位缴纳的职业年金的支出。</w:t>
      </w:r>
    </w:p>
    <w:p w14:paraId="1269FF2E">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（八）卫生健康（类）行政事业单位医疗（款）事业单位医疗（项）：</w:t>
      </w:r>
      <w:r>
        <w:rPr>
          <w:rFonts w:hint="eastAsia" w:ascii="仿宋_GB2312" w:hAnsi="仿宋_GB2312" w:eastAsia="仿宋_GB2312" w:cs="仿宋_GB2312"/>
          <w:sz w:val="32"/>
          <w:szCs w:val="32"/>
          <w:lang w:val="en-US" w:eastAsia="zh-CN"/>
        </w:rPr>
        <w:t>指事业单位用于单位应缴纳基本医疗保险支出。</w:t>
      </w:r>
    </w:p>
    <w:p w14:paraId="40AA66C7">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（九）住房保障（类）住房改革支出（款）住房公积金（项）：</w:t>
      </w:r>
      <w:r>
        <w:rPr>
          <w:rFonts w:hint="eastAsia" w:ascii="仿宋_GB2312" w:hAnsi="仿宋_GB2312" w:eastAsia="仿宋_GB2312" w:cs="仿宋_GB2312"/>
          <w:sz w:val="32"/>
          <w:szCs w:val="32"/>
          <w:lang w:val="en-US" w:eastAsia="zh-CN"/>
        </w:rPr>
        <w:t>指按照《住房公积金管理条例》的规定，由单位及其在职职工缴存的长期住房储金。</w:t>
      </w:r>
    </w:p>
    <w:p w14:paraId="78196700">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（十）基本支出：</w:t>
      </w:r>
      <w:r>
        <w:rPr>
          <w:rFonts w:hint="eastAsia" w:ascii="仿宋_GB2312" w:hAnsi="仿宋_GB2312" w:eastAsia="仿宋_GB2312" w:cs="仿宋_GB2312"/>
          <w:sz w:val="32"/>
          <w:szCs w:val="32"/>
          <w:lang w:val="en-US" w:eastAsia="zh-CN"/>
        </w:rPr>
        <w:t>指为保证机构正常运转，完成日常工作任务而发生的人员支出和公用支出。</w:t>
      </w:r>
    </w:p>
    <w:p w14:paraId="19712883">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（十一）项目支出：</w:t>
      </w:r>
      <w:r>
        <w:rPr>
          <w:rFonts w:hint="eastAsia" w:ascii="仿宋_GB2312" w:hAnsi="仿宋_GB2312" w:eastAsia="仿宋_GB2312" w:cs="仿宋_GB2312"/>
          <w:sz w:val="32"/>
          <w:szCs w:val="32"/>
          <w:lang w:val="en-US" w:eastAsia="zh-CN"/>
        </w:rPr>
        <w:t>指在基本支出之外为完成特定行政任务和事业发展目标所发生的支出。</w:t>
      </w:r>
    </w:p>
    <w:p w14:paraId="71C53033">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（十二）“三公”经费：</w:t>
      </w:r>
      <w:r>
        <w:rPr>
          <w:rFonts w:hint="eastAsia" w:ascii="仿宋_GB2312" w:hAnsi="仿宋_GB2312" w:eastAsia="仿宋_GB2312" w:cs="仿宋_GB2312"/>
          <w:sz w:val="32"/>
          <w:szCs w:val="32"/>
          <w:lang w:val="en-US" w:eastAsia="zh-CN"/>
        </w:rPr>
        <w:t>纳入财政预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费（含外宾接待）支出。　　</w:t>
      </w:r>
    </w:p>
    <w:p w14:paraId="4E9A2859">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p>
    <w:p w14:paraId="363BEAD7">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bookmarkStart w:id="100" w:name="_Toc5126"/>
      <w:bookmarkStart w:id="101" w:name="_Toc26953"/>
      <w:bookmarkStart w:id="102" w:name="_Toc3035"/>
      <w:bookmarkStart w:id="103" w:name="_Toc6710"/>
      <w:r>
        <w:rPr>
          <w:rFonts w:hint="eastAsia" w:ascii="仿宋_GB2312" w:hAnsi="仿宋_GB2312" w:eastAsia="仿宋_GB2312" w:cs="仿宋_GB2312"/>
          <w:sz w:val="32"/>
          <w:szCs w:val="32"/>
          <w:lang w:val="en-US" w:eastAsia="zh-CN"/>
        </w:rPr>
        <w:t>附件：1. 单位预算公开表</w:t>
      </w:r>
      <w:bookmarkEnd w:id="100"/>
      <w:bookmarkEnd w:id="101"/>
      <w:bookmarkEnd w:id="102"/>
      <w:bookmarkEnd w:id="103"/>
    </w:p>
    <w:p w14:paraId="3B3AF9B5">
      <w:pPr>
        <w:keepNext w:val="0"/>
        <w:keepLines w:val="0"/>
        <w:pageBreakBefore w:val="0"/>
        <w:widowControl w:val="0"/>
        <w:numPr>
          <w:ilvl w:val="0"/>
          <w:numId w:val="2"/>
        </w:numPr>
        <w:kinsoku/>
        <w:wordWrap/>
        <w:overflowPunct/>
        <w:topLinePunct w:val="0"/>
        <w:autoSpaceDE/>
        <w:autoSpaceDN/>
        <w:bidi w:val="0"/>
        <w:adjustRightInd/>
        <w:snapToGrid/>
        <w:spacing w:line="576" w:lineRule="exact"/>
        <w:ind w:left="1600" w:leftChars="0" w:firstLine="0" w:firstLineChars="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单位预算项目绩效目标表</w:t>
      </w:r>
    </w:p>
    <w:p w14:paraId="3BE76445">
      <w:pPr>
        <w:keepNext w:val="0"/>
        <w:keepLines w:val="0"/>
        <w:pageBreakBefore w:val="0"/>
        <w:widowControl w:val="0"/>
        <w:numPr>
          <w:ilvl w:val="0"/>
          <w:numId w:val="0"/>
        </w:numPr>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sz w:val="32"/>
          <w:szCs w:val="32"/>
          <w:lang w:val="en-US" w:eastAsia="zh-CN"/>
        </w:rPr>
      </w:pPr>
    </w:p>
    <w:sectPr>
      <w:footerReference r:id="rId5" w:type="default"/>
      <w:pgSz w:w="11906" w:h="16838"/>
      <w:pgMar w:top="2098" w:right="1474" w:bottom="1984" w:left="1587" w:header="720" w:footer="1559" w:gutter="0"/>
      <w:pgNumType w:fmt="decimal"/>
      <w:cols w:space="720"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错敏词信息检测" w:date="2025-02-14T17:59:01Z" w:initials="UC">
    <w:p w14:paraId="00989682">
      <w:r>
        <w:rPr>
          <w:color w:val="FF0000"/>
        </w:rPr>
        <w:t>错敏词:</w:t>
      </w:r>
      <w:r>
        <w:t>非法干扰</w:t>
      </w:r>
    </w:p>
    <w:p w14:paraId="00989683">
      <w:r>
        <w:rPr>
          <w:color w:val="FF0000"/>
        </w:rPr>
        <w:t>推荐修改:</w:t>
      </w:r>
      <w:r>
        <w:t>非法干预</w:t>
      </w:r>
    </w:p>
    <w:p w14:paraId="00989684">
      <w:r>
        <w:rPr>
          <w:color w:val="FF0000"/>
        </w:rPr>
        <w:t>问题类型:</w:t>
      </w:r>
      <w:r>
        <w:t>错字/别字</w:t>
      </w:r>
    </w:p>
    <w:p w14:paraId="00989685">
      <w:r>
        <w:rPr>
          <w:color w:val="FF0000"/>
        </w:rPr>
        <w:t>严重程度:</w:t>
      </w:r>
      <w:r>
        <w:t>轻微</w:t>
      </w:r>
    </w:p>
  </w:comment>
  <w:comment w:id="1" w:author="错敏词信息检测" w:date="2025-02-14T17:59:01Z" w:initials="UC">
    <w:p w14:paraId="00989686">
      <w:r>
        <w:rPr>
          <w:color w:val="FF0000"/>
        </w:rPr>
        <w:t>错敏词:</w:t>
      </w:r>
      <w:r>
        <w:t>主题教育活动</w:t>
      </w:r>
    </w:p>
    <w:p w14:paraId="00989687">
      <w:r>
        <w:rPr>
          <w:color w:val="FF0000"/>
        </w:rPr>
        <w:t>推荐修改:</w:t>
      </w:r>
      <w:r>
        <w:t>主题教育</w:t>
      </w:r>
    </w:p>
    <w:p w14:paraId="00989688">
      <w:r>
        <w:rPr>
          <w:color w:val="FF0000"/>
        </w:rPr>
        <w:t>问题类型:</w:t>
      </w:r>
      <w:r>
        <w:t>专用表述错误</w:t>
      </w:r>
    </w:p>
    <w:p w14:paraId="00989689">
      <w:r>
        <w:rPr>
          <w:color w:val="FF0000"/>
        </w:rPr>
        <w:t>严重程度:</w:t>
      </w:r>
      <w:r>
        <w:t>严重</w:t>
      </w:r>
    </w:p>
  </w:comment>
  <w:comment w:id="2" w:author="错敏词信息检测" w:date="2025-02-14T17:59:01Z" w:initials="UC">
    <w:p w14:paraId="0098968A">
      <w:r>
        <w:rPr>
          <w:color w:val="FF0000"/>
        </w:rPr>
        <w:t>错敏词:</w:t>
      </w:r>
      <w:r>
        <w:t>主题教育活动</w:t>
      </w:r>
    </w:p>
    <w:p w14:paraId="0098968B">
      <w:r>
        <w:rPr>
          <w:color w:val="FF0000"/>
        </w:rPr>
        <w:t>推荐修改:</w:t>
      </w:r>
      <w:r>
        <w:t>主题教育</w:t>
      </w:r>
    </w:p>
    <w:p w14:paraId="0098968C">
      <w:r>
        <w:rPr>
          <w:color w:val="FF0000"/>
        </w:rPr>
        <w:t>问题类型:</w:t>
      </w:r>
      <w:r>
        <w:t>专用表述错误</w:t>
      </w:r>
    </w:p>
    <w:p w14:paraId="0098968D">
      <w:r>
        <w:rPr>
          <w:color w:val="FF0000"/>
        </w:rPr>
        <w:t>严重程度:</w:t>
      </w:r>
      <w:r>
        <w:t>严重</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00989685" w15:done="0"/>
  <w15:commentEx w15:paraId="00989689" w15:done="0"/>
  <w15:commentEx w15:paraId="0098968D"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Liberation Sans">
    <w:altName w:val="Vijaya"/>
    <w:panose1 w:val="020B0604020202020204"/>
    <w:charset w:val="00"/>
    <w:family w:val="auto"/>
    <w:pitch w:val="default"/>
    <w:sig w:usb0="00000000" w:usb1="00000000" w:usb2="00000000" w:usb3="00000000" w:csb0="6000009F" w:csb1="DFD70000"/>
  </w:font>
  <w:font w:name="Vijaya">
    <w:panose1 w:val="020B0604020202020204"/>
    <w:charset w:val="00"/>
    <w:family w:val="auto"/>
    <w:pitch w:val="default"/>
    <w:sig w:usb0="00100003" w:usb1="00000000" w:usb2="00000000" w:usb3="00000000" w:csb0="00000001" w:csb1="00000000"/>
  </w:font>
  <w:font w:name="Noto Sans CJK SC Regular">
    <w:altName w:val="宋体"/>
    <w:panose1 w:val="020B0500000000000000"/>
    <w:charset w:val="86"/>
    <w:family w:val="auto"/>
    <w:pitch w:val="default"/>
    <w:sig w:usb0="00000000" w:usb1="00000000" w:usb2="00000016" w:usb3="00000000" w:csb0="602E0107" w:csb1="00000000"/>
  </w:font>
  <w:font w:name="方正小标宋简体">
    <w:panose1 w:val="02000000000000000000"/>
    <w:charset w:val="86"/>
    <w:family w:val="auto"/>
    <w:pitch w:val="default"/>
    <w:sig w:usb0="00000001" w:usb1="080E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FFACC6">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806" name="文本框 1"/>
              <wp:cNvGraphicFramePr/>
              <a:graphic xmlns:a="http://schemas.openxmlformats.org/drawingml/2006/main">
                <a:graphicData uri="http://schemas.microsoft.com/office/word/2010/wordprocessingShape">
                  <wps:wsp>
                    <wps:cNvSpPr/>
                    <wps:spPr>
                      <a:xfrm>
                        <a:off x="0" y="0"/>
                        <a:ext cx="1828800" cy="1828800"/>
                      </a:xfrm>
                      <a:prstGeom prst="rect">
                        <a:avLst/>
                      </a:prstGeom>
                      <a:noFill/>
                      <a:ln>
                        <a:noFill/>
                      </a:ln>
                    </wps:spPr>
                    <wps:txbx>
                      <w:txbxContent>
                        <w:p w14:paraId="454D38F6">
                          <w:pPr>
                            <w:pStyle w:val="4"/>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rot="0" spcFirstLastPara="0" vertOverflow="overflow" horzOverflow="overflow" vert="horz" wrap="none" lIns="0" tIns="0" rIns="0" bIns="0" numCol="1" anchor="t" upright="0">
                      <a:spAutoFit/>
                    </wps:bodyPr>
                  </wps:wsp>
                </a:graphicData>
              </a:graphic>
            </wp:anchor>
          </w:drawing>
        </mc:Choice>
        <mc:Fallback>
          <w:pict>
            <v:rect id="文本框 1" o:spid="_x0000_s1026" o:spt="1"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Ll1uVLQAAAABQEAAA8AAAAAAAAAAQAgAAAAIgAAAGRycy9kb3ducmV2LnhtbFBL&#10;AQIUABQAAAAIAIdO4kBvlvR7/gEAAAAEAAAOAAAAAAAAAAEAIAAAAB8BAABkcnMvZTJvRG9jLnht&#10;bFBLBQYAAAAABgAGAFkBAACPBQAAAAA=&#10;">
              <v:fill on="f" focussize="0,0"/>
              <v:stroke on="f"/>
              <v:imagedata o:title=""/>
              <o:lock v:ext="edit" aspectratio="f"/>
              <v:textbox inset="0mm,0mm,0mm,0mm" style="mso-fit-shape-to-text:t;">
                <w:txbxContent>
                  <w:p w14:paraId="454D38F6">
                    <w:pPr>
                      <w:pStyle w:val="4"/>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rect>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A0A975C"/>
    <w:multiLevelType w:val="singleLevel"/>
    <w:tmpl w:val="BA0A975C"/>
    <w:lvl w:ilvl="0" w:tentative="0">
      <w:start w:val="2"/>
      <w:numFmt w:val="decimal"/>
      <w:lvlText w:val="%1."/>
      <w:lvlJc w:val="left"/>
      <w:pPr>
        <w:tabs>
          <w:tab w:val="left" w:pos="312"/>
        </w:tabs>
        <w:ind w:left="1600" w:leftChars="0" w:firstLine="0" w:firstLineChars="0"/>
      </w:pPr>
    </w:lvl>
  </w:abstractNum>
  <w:abstractNum w:abstractNumId="1">
    <w:nsid w:val="0267A125"/>
    <w:multiLevelType w:val="singleLevel"/>
    <w:tmpl w:val="0267A125"/>
    <w:lvl w:ilvl="0" w:tentative="0">
      <w:start w:val="2"/>
      <w:numFmt w:val="chineseCounting"/>
      <w:suff w:val="nothing"/>
      <w:lvlText w:val="（%1）"/>
      <w:lvlJc w:val="left"/>
      <w:rPr>
        <w:rFonts w:hint="eastAsia"/>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错敏词信息检测">
    <w15:presenceInfo w15:providerId="None" w15:userId="错敏词信息检测"/>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9"/>
  <w:displayBackgroundShape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420"/>
  <w:drawingGridHorizontalSpacing w:val="1"/>
  <w:drawingGridVerticalSpacing w:val="1"/>
  <w:doNotUseMarginsForDrawingGridOrigin w:val="1"/>
  <w:drawingGridHorizontalOrigin w:val="0"/>
  <w:drawingGridVerticalOrigin w:val="0"/>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IwYmQ3N2FhZmE1Yjg0OGFkNTU5NTg3M2QzNjJlMDgifQ=="/>
  </w:docVars>
  <w:rsids>
    <w:rsidRoot w:val="00000000"/>
    <w:rsid w:val="318E2C79"/>
  </w:rsids>
  <m:mathPr>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uppressAutoHyphens/>
      <w:bidi w:val="0"/>
      <w:jc w:val="both"/>
    </w:pPr>
    <w:rPr>
      <w:rFonts w:ascii="Calibri" w:hAnsi="Calibri" w:eastAsia="宋体" w:cs="Times New Roman"/>
      <w:color w:val="auto"/>
      <w:kern w:val="2"/>
      <w:sz w:val="21"/>
      <w:szCs w:val="24"/>
      <w:lang w:val="en-US" w:eastAsia="zh-CN" w:bidi="ar-SA"/>
    </w:rPr>
  </w:style>
  <w:style w:type="character" w:default="1" w:styleId="10">
    <w:name w:val="Default Paragraph Font"/>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caption"/>
    <w:basedOn w:val="1"/>
    <w:next w:val="1"/>
    <w:qFormat/>
    <w:uiPriority w:val="0"/>
    <w:pPr>
      <w:widowControl w:val="0"/>
      <w:suppressLineNumbers/>
      <w:suppressAutoHyphens/>
      <w:spacing w:before="120" w:after="120"/>
    </w:pPr>
    <w:rPr>
      <w:i/>
      <w:iCs/>
      <w:sz w:val="24"/>
      <w:szCs w:val="24"/>
    </w:rPr>
  </w:style>
  <w:style w:type="paragraph" w:styleId="3">
    <w:name w:val="Body Text"/>
    <w:basedOn w:val="1"/>
    <w:qFormat/>
    <w:uiPriority w:val="0"/>
    <w:pPr>
      <w:spacing w:before="0" w:after="140" w:line="276" w:lineRule="auto"/>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List"/>
    <w:basedOn w:val="3"/>
    <w:qFormat/>
    <w:uiPriority w:val="0"/>
  </w:style>
  <w:style w:type="paragraph" w:styleId="7">
    <w:name w:val="Normal (Web)"/>
    <w:basedOn w:val="1"/>
    <w:qFormat/>
    <w:uiPriority w:val="0"/>
    <w:rPr>
      <w:sz w:val="24"/>
    </w:rPr>
  </w:style>
  <w:style w:type="table" w:styleId="9">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customStyle="1" w:styleId="11">
    <w:name w:val="默认段落字体1"/>
    <w:qFormat/>
    <w:uiPriority w:val="0"/>
  </w:style>
  <w:style w:type="paragraph" w:customStyle="1" w:styleId="12">
    <w:name w:val="Heading"/>
    <w:basedOn w:val="1"/>
    <w:next w:val="3"/>
    <w:qFormat/>
    <w:uiPriority w:val="0"/>
    <w:pPr>
      <w:keepNext/>
      <w:widowControl w:val="0"/>
      <w:suppressAutoHyphens/>
      <w:spacing w:before="240" w:after="120"/>
    </w:pPr>
    <w:rPr>
      <w:rFonts w:ascii="Liberation Sans" w:hAnsi="Liberation Sans" w:eastAsia="Noto Sans CJK SC Regular" w:cs="Noto Sans CJK SC Regular"/>
      <w:sz w:val="28"/>
      <w:szCs w:val="28"/>
      <w:lang w:bidi="ar-SA"/>
    </w:rPr>
  </w:style>
  <w:style w:type="paragraph" w:customStyle="1" w:styleId="13">
    <w:name w:val="Index"/>
    <w:basedOn w:val="1"/>
    <w:qFormat/>
    <w:uiPriority w:val="0"/>
    <w:pPr>
      <w:widowControl w:val="0"/>
      <w:suppressLineNumbers/>
      <w:suppressAutoHyphens/>
    </w:pPr>
  </w:style>
  <w:style w:type="paragraph" w:customStyle="1" w:styleId="14">
    <w:name w:val="WPSOffice手动目录 1"/>
    <w:qFormat/>
    <w:uiPriority w:val="0"/>
    <w:pPr>
      <w:ind w:leftChars="0"/>
    </w:pPr>
    <w:rPr>
      <w:rFonts w:ascii="Times New Roman" w:hAnsi="Times New Roman" w:eastAsia="宋体" w:cs="Times New Roman"/>
      <w:sz w:val="20"/>
      <w:szCs w:val="20"/>
    </w:rPr>
  </w:style>
  <w:style w:type="paragraph" w:customStyle="1" w:styleId="15">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11</Pages>
  <Words>3840</Words>
  <Characters>4073</Characters>
  <TotalTime>1</TotalTime>
  <ScaleCrop>false</ScaleCrop>
  <LinksUpToDate>false</LinksUpToDate>
  <CharactersWithSpaces>4150</CharactersWithSpaces>
  <Application>WPS Office_12.1.0.19302_F1E327BC-269C-435d-A152-05C5408002CA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2018-11-29T09:47:00Z</dcterms:created>
  <dc:creator>admin</dc:creator>
  <cp:lastModifiedBy>丽丽</cp:lastModifiedBy>
  <dcterms:modified xsi:type="dcterms:W3CDTF">2025-02-15T05:35:16Z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96081F72B7444D3C8C1C7DDAED24732C_13</vt:lpwstr>
  </property>
  <property fmtid="{D5CDD505-2E9C-101B-9397-08002B2CF9AE}" pid="4" name="KSOTemplateDocerSaveRecord">
    <vt:lpwstr>eyJoZGlkIjoiOTlhNTlmMWMwY2NkZGNhOTM0ZTIzOTMwM2UwMjVlYzgiLCJ1c2VySWQiOiI2MDAwNDk2NTIifQ==</vt:lpwstr>
  </property>
</Properties>
</file>