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ascii="宋体" w:hAnsi="宋体" w:eastAsia="宋体" w:cs="Times New Roman"/>
          <w:color w:val="auto"/>
          <w:kern w:val="2"/>
          <w:sz w:val="21"/>
          <w:szCs w:val="24"/>
          <w:lang w:val="en-US" w:eastAsia="zh-CN" w:bidi="ar-SA"/>
        </w:rPr>
        <w:id w:val="118936369"/>
        <w:docPartObj>
          <w:docPartGallery w:val="Table of Contents"/>
          <w:docPartUnique/>
        </w:docPartObj>
      </w:sdtPr>
      <w:sdtEndPr>
        <w:rPr>
          <w:rFonts w:hint="eastAsia" w:ascii="宋体" w:hAnsi="宋体" w:eastAsia="宋体" w:cs="宋体"/>
          <w:b/>
          <w:i w:val="0"/>
          <w:caps w:val="0"/>
          <w:color w:val="000000" w:themeColor="text1"/>
          <w:spacing w:val="0"/>
          <w:kern w:val="0"/>
          <w:sz w:val="24"/>
          <w:szCs w:val="28"/>
          <w:highlight w:val="none"/>
          <w:shd w:val="clear" w:color="auto" w:fill="FFFFFF"/>
          <w:lang w:val="en-US" w:eastAsia="zh-CN" w:bidi="ar-SA"/>
          <w14:textFill>
            <w14:solidFill>
              <w14:schemeClr w14:val="tx1"/>
            </w14:solidFill>
          </w14:textFill>
        </w:rPr>
      </w:sdtEndPr>
      <w:sdtContent>
        <w:p w14:paraId="53A3E3C7">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pPr>
          <w:bookmarkStart w:id="0" w:name="_Toc24550"/>
          <w:bookmarkStart w:id="1" w:name="_Toc2186"/>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广元市昭化区清水镇</w:t>
          </w:r>
          <w:bookmarkEnd w:id="0"/>
          <w:bookmarkEnd w:id="1"/>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小学</w:t>
          </w:r>
        </w:p>
        <w:p w14:paraId="5ABAF443">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2025年部门预算编制说明</w:t>
          </w:r>
        </w:p>
        <w:p w14:paraId="6916D9A6">
          <w:pPr>
            <w:spacing w:before="0" w:beforeLines="0" w:after="0" w:afterLines="0" w:line="240" w:lineRule="auto"/>
            <w:ind w:left="0" w:leftChars="0" w:right="0" w:rightChars="0" w:firstLine="0" w:firstLineChars="0"/>
            <w:jc w:val="center"/>
            <w:rPr>
              <w:rFonts w:hint="eastAsia" w:ascii="CESI宋体-GB2312" w:hAnsi="CESI宋体-GB2312" w:eastAsia="CESI宋体-GB2312" w:cs="CESI宋体-GB2312"/>
              <w:b/>
              <w:color w:val="auto"/>
              <w:kern w:val="0"/>
              <w:sz w:val="32"/>
              <w:szCs w:val="32"/>
              <w:lang w:val="en-US" w:eastAsia="zh-CN"/>
            </w:rPr>
          </w:pPr>
          <w:r>
            <w:rPr>
              <w:rFonts w:hint="eastAsia" w:ascii="CESI宋体-GB2312" w:hAnsi="CESI宋体-GB2312" w:eastAsia="CESI宋体-GB2312" w:cs="CESI宋体-GB2312"/>
              <w:b/>
              <w:color w:val="auto"/>
              <w:kern w:val="0"/>
              <w:sz w:val="32"/>
              <w:szCs w:val="32"/>
              <w:lang w:val="en-US" w:eastAsia="zh-CN"/>
            </w:rPr>
            <w:t>目录</w:t>
          </w:r>
          <w:bookmarkStart w:id="36" w:name="_GoBack"/>
          <w:bookmarkEnd w:id="36"/>
        </w:p>
        <w:p w14:paraId="506885C6">
          <w:pPr>
            <w:pStyle w:val="14"/>
            <w:tabs>
              <w:tab w:val="right" w:leader="dot" w:pos="8845"/>
            </w:tabs>
            <w:rPr>
              <w:rFonts w:hint="eastAsia" w:ascii="CESI宋体-GB2312" w:hAnsi="CESI宋体-GB2312" w:eastAsia="CESI宋体-GB2312" w:cs="CESI宋体-GB2312"/>
              <w:b/>
              <w:sz w:val="32"/>
              <w:szCs w:val="32"/>
            </w:rPr>
          </w:pPr>
          <w:r>
            <w:rPr>
              <w:rFonts w:hint="eastAsia" w:ascii="宋体" w:hAnsi="宋体" w:eastAsia="宋体" w:cs="宋体"/>
              <w:i w:val="0"/>
              <w:caps w:val="0"/>
              <w:color w:val="000000" w:themeColor="text1"/>
              <w:spacing w:val="0"/>
              <w:kern w:val="0"/>
              <w:sz w:val="28"/>
              <w:szCs w:val="28"/>
              <w:highlight w:val="none"/>
              <w:lang w:val="en-US" w:eastAsia="zh-CN"/>
              <w14:textFill>
                <w14:solidFill>
                  <w14:schemeClr w14:val="tx1"/>
                </w14:solidFill>
              </w14:textFill>
            </w:rPr>
            <w:fldChar w:fldCharType="begin"/>
          </w:r>
          <w:r>
            <w:rPr>
              <w:rFonts w:hint="eastAsia" w:ascii="宋体" w:hAnsi="宋体" w:eastAsia="宋体" w:cs="宋体"/>
              <w:i w:val="0"/>
              <w:caps w:val="0"/>
              <w:color w:val="000000" w:themeColor="text1"/>
              <w:spacing w:val="0"/>
              <w:kern w:val="0"/>
              <w:sz w:val="28"/>
              <w:szCs w:val="28"/>
              <w:highlight w:val="none"/>
              <w:lang w:val="en-US" w:eastAsia="zh-CN"/>
              <w14:textFill>
                <w14:solidFill>
                  <w14:schemeClr w14:val="tx1"/>
                </w14:solidFill>
              </w14:textFill>
            </w:rPr>
            <w:instrText xml:space="preserve">TOC \o "1-2" \h \u</w:instrText>
          </w:r>
          <w:r>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fldChar w:fldCharType="separate"/>
          </w:r>
          <w:r>
            <w:fldChar w:fldCharType="begin"/>
          </w:r>
          <w:r>
            <w:instrText xml:space="preserve"> HYPERLINK \l "_Toc240160541" </w:instrText>
          </w:r>
          <w:r>
            <w:fldChar w:fldCharType="separate"/>
          </w:r>
          <w:r>
            <w:rPr>
              <w:rFonts w:hint="eastAsia" w:ascii="CESI宋体-GB2312" w:hAnsi="CESI宋体-GB2312" w:eastAsia="CESI宋体-GB2312" w:cs="CESI宋体-GB2312"/>
              <w:b/>
              <w:sz w:val="32"/>
              <w:szCs w:val="32"/>
              <w:lang w:val="en-US" w:eastAsia="zh-CN"/>
            </w:rPr>
            <w:t>一、基本职能及主要工作</w:t>
          </w:r>
          <w:r>
            <w:rPr>
              <w:rFonts w:hint="eastAsia" w:ascii="CESI宋体-GB2312" w:hAnsi="CESI宋体-GB2312" w:eastAsia="CESI宋体-GB2312" w:cs="CESI宋体-GB2312"/>
              <w:b/>
              <w:sz w:val="32"/>
              <w:szCs w:val="32"/>
            </w:rPr>
            <w:tab/>
          </w:r>
          <w:r>
            <w:rPr>
              <w:rFonts w:hint="eastAsia" w:ascii="CESI宋体-GB2312" w:hAnsi="CESI宋体-GB2312" w:eastAsia="CESI宋体-GB2312" w:cs="CESI宋体-GB2312"/>
              <w:b/>
              <w:sz w:val="32"/>
              <w:szCs w:val="32"/>
            </w:rPr>
            <w:fldChar w:fldCharType="begin"/>
          </w:r>
          <w:r>
            <w:rPr>
              <w:rFonts w:hint="eastAsia" w:ascii="CESI宋体-GB2312" w:hAnsi="CESI宋体-GB2312" w:eastAsia="CESI宋体-GB2312" w:cs="CESI宋体-GB2312"/>
              <w:b/>
              <w:sz w:val="32"/>
              <w:szCs w:val="32"/>
            </w:rPr>
            <w:instrText xml:space="preserve"> PAGEREF _Toc240160541 \h </w:instrText>
          </w:r>
          <w:r>
            <w:rPr>
              <w:rFonts w:hint="eastAsia" w:ascii="CESI宋体-GB2312" w:hAnsi="CESI宋体-GB2312" w:eastAsia="CESI宋体-GB2312" w:cs="CESI宋体-GB2312"/>
              <w:b/>
              <w:sz w:val="32"/>
              <w:szCs w:val="32"/>
            </w:rPr>
            <w:fldChar w:fldCharType="separate"/>
          </w:r>
          <w:r>
            <w:rPr>
              <w:rFonts w:hint="eastAsia" w:ascii="CESI宋体-GB2312" w:hAnsi="CESI宋体-GB2312" w:eastAsia="CESI宋体-GB2312" w:cs="CESI宋体-GB2312"/>
              <w:b/>
              <w:sz w:val="32"/>
              <w:szCs w:val="32"/>
            </w:rPr>
            <w:t>2</w:t>
          </w:r>
          <w:r>
            <w:rPr>
              <w:rFonts w:hint="eastAsia" w:ascii="CESI宋体-GB2312" w:hAnsi="CESI宋体-GB2312" w:eastAsia="CESI宋体-GB2312" w:cs="CESI宋体-GB2312"/>
              <w:b/>
              <w:sz w:val="32"/>
              <w:szCs w:val="32"/>
            </w:rPr>
            <w:fldChar w:fldCharType="end"/>
          </w:r>
          <w:r>
            <w:rPr>
              <w:rFonts w:hint="eastAsia" w:ascii="CESI宋体-GB2312" w:hAnsi="CESI宋体-GB2312" w:eastAsia="CESI宋体-GB2312" w:cs="CESI宋体-GB2312"/>
              <w:b/>
              <w:sz w:val="32"/>
              <w:szCs w:val="32"/>
            </w:rPr>
            <w:fldChar w:fldCharType="end"/>
          </w:r>
        </w:p>
        <w:p w14:paraId="60BC095A">
          <w:pPr>
            <w:pStyle w:val="15"/>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"_Toc1994642991" </w:instrText>
          </w:r>
          <w:r>
            <w:fldChar w:fldCharType="separate"/>
          </w:r>
          <w:r>
            <w:rPr>
              <w:rFonts w:hint="eastAsia" w:ascii="仿宋_GB2312" w:hAnsi="仿宋_GB2312" w:eastAsia="仿宋_GB2312" w:cs="仿宋_GB2312"/>
              <w:color w:val="auto"/>
              <w:kern w:val="2"/>
              <w:sz w:val="32"/>
              <w:szCs w:val="32"/>
              <w:lang w:val="en-US" w:eastAsia="zh-CN" w:bidi="ar-SA"/>
            </w:rPr>
            <w:t>（一）单位职能简介</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_Toc1994642991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3</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2F7F234F">
          <w:pPr>
            <w:pStyle w:val="15"/>
            <w:tabs>
              <w:tab w:val="right" w:leader="dot" w:pos="8845"/>
            </w:tabs>
            <w:rPr>
              <w:b/>
            </w:rPr>
          </w:pPr>
          <w:r>
            <w:fldChar w:fldCharType="begin"/>
          </w:r>
          <w:r>
            <w:instrText xml:space="preserve"> HYPERLINK \l "_Toc571686762" </w:instrText>
          </w:r>
          <w:r>
            <w:fldChar w:fldCharType="separate"/>
          </w:r>
          <w:r>
            <w:rPr>
              <w:rFonts w:hint="eastAsia" w:ascii="仿宋_GB2312" w:hAnsi="仿宋_GB2312" w:eastAsia="仿宋_GB2312" w:cs="仿宋_GB2312"/>
              <w:color w:val="auto"/>
              <w:kern w:val="2"/>
              <w:sz w:val="32"/>
              <w:szCs w:val="32"/>
              <w:lang w:val="en-US" w:eastAsia="zh-CN" w:bidi="ar-SA"/>
            </w:rPr>
            <w:t>（二）2025年重点工作</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_Toc571686762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4</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468E3389">
          <w:pPr>
            <w:pStyle w:val="14"/>
            <w:tabs>
              <w:tab w:val="right" w:leader="dot" w:pos="8845"/>
            </w:tabs>
            <w:rPr>
              <w:rFonts w:hint="eastAsia" w:ascii="CESI宋体-GB2312" w:hAnsi="CESI宋体-GB2312" w:eastAsia="CESI宋体-GB2312" w:cs="CESI宋体-GB2312"/>
              <w:b/>
              <w:sz w:val="32"/>
              <w:szCs w:val="32"/>
              <w:lang w:val="en-US" w:eastAsia="zh-CN"/>
            </w:rPr>
          </w:pPr>
          <w:r>
            <w:fldChar w:fldCharType="begin"/>
          </w:r>
          <w:r>
            <w:instrText xml:space="preserve"> HYPERLINK \l "_Toc812420236" </w:instrText>
          </w:r>
          <w:r>
            <w:fldChar w:fldCharType="separate"/>
          </w:r>
          <w:r>
            <w:rPr>
              <w:rFonts w:hint="eastAsia" w:ascii="CESI宋体-GB2312" w:hAnsi="CESI宋体-GB2312" w:eastAsia="CESI宋体-GB2312" w:cs="CESI宋体-GB2312"/>
              <w:b/>
              <w:sz w:val="32"/>
              <w:szCs w:val="32"/>
              <w:lang w:val="en-US" w:eastAsia="zh-CN"/>
            </w:rPr>
            <w:t>二、部门预算单位构成</w:t>
          </w:r>
          <w:r>
            <w:rPr>
              <w:rFonts w:hint="eastAsia" w:ascii="CESI宋体-GB2312" w:hAnsi="CESI宋体-GB2312" w:eastAsia="CESI宋体-GB2312" w:cs="CESI宋体-GB2312"/>
              <w:b/>
              <w:sz w:val="32"/>
              <w:szCs w:val="32"/>
              <w:lang w:val="en-US" w:eastAsia="zh-CN"/>
            </w:rPr>
            <w:tab/>
          </w:r>
          <w:r>
            <w:rPr>
              <w:rFonts w:hint="eastAsia" w:ascii="CESI宋体-GB2312" w:hAnsi="CESI宋体-GB2312" w:eastAsia="CESI宋体-GB2312" w:cs="CESI宋体-GB2312"/>
              <w:b/>
              <w:sz w:val="32"/>
              <w:szCs w:val="32"/>
              <w:lang w:val="en-US" w:eastAsia="zh-CN"/>
            </w:rPr>
            <w:fldChar w:fldCharType="begin"/>
          </w:r>
          <w:r>
            <w:rPr>
              <w:rFonts w:hint="eastAsia" w:ascii="CESI宋体-GB2312" w:hAnsi="CESI宋体-GB2312" w:eastAsia="CESI宋体-GB2312" w:cs="CESI宋体-GB2312"/>
              <w:b/>
              <w:sz w:val="32"/>
              <w:szCs w:val="32"/>
              <w:lang w:val="en-US" w:eastAsia="zh-CN"/>
            </w:rPr>
            <w:instrText xml:space="preserve"> PAGEREF _Toc812420236 \h </w:instrText>
          </w:r>
          <w:r>
            <w:rPr>
              <w:rFonts w:hint="eastAsia" w:ascii="CESI宋体-GB2312" w:hAnsi="CESI宋体-GB2312" w:eastAsia="CESI宋体-GB2312" w:cs="CESI宋体-GB2312"/>
              <w:b/>
              <w:sz w:val="32"/>
              <w:szCs w:val="32"/>
              <w:lang w:val="en-US" w:eastAsia="zh-CN"/>
            </w:rPr>
            <w:fldChar w:fldCharType="separate"/>
          </w:r>
          <w:r>
            <w:rPr>
              <w:rFonts w:hint="eastAsia" w:ascii="CESI宋体-GB2312" w:hAnsi="CESI宋体-GB2312" w:eastAsia="CESI宋体-GB2312" w:cs="CESI宋体-GB2312"/>
              <w:b/>
              <w:sz w:val="32"/>
              <w:szCs w:val="32"/>
              <w:lang w:val="en-US" w:eastAsia="zh-CN"/>
            </w:rPr>
            <w:t>6</w:t>
          </w:r>
          <w:r>
            <w:rPr>
              <w:rFonts w:hint="eastAsia" w:ascii="CESI宋体-GB2312" w:hAnsi="CESI宋体-GB2312" w:eastAsia="CESI宋体-GB2312" w:cs="CESI宋体-GB2312"/>
              <w:b/>
              <w:sz w:val="32"/>
              <w:szCs w:val="32"/>
              <w:lang w:val="en-US" w:eastAsia="zh-CN"/>
            </w:rPr>
            <w:fldChar w:fldCharType="end"/>
          </w:r>
          <w:r>
            <w:rPr>
              <w:rFonts w:hint="eastAsia" w:ascii="CESI宋体-GB2312" w:hAnsi="CESI宋体-GB2312" w:eastAsia="CESI宋体-GB2312" w:cs="CESI宋体-GB2312"/>
              <w:b/>
              <w:sz w:val="32"/>
              <w:szCs w:val="32"/>
              <w:lang w:val="en-US" w:eastAsia="zh-CN"/>
            </w:rPr>
            <w:fldChar w:fldCharType="end"/>
          </w:r>
        </w:p>
        <w:p w14:paraId="6640EA06">
          <w:pPr>
            <w:pStyle w:val="14"/>
            <w:tabs>
              <w:tab w:val="right" w:leader="dot" w:pos="8845"/>
            </w:tabs>
            <w:rPr>
              <w:b/>
            </w:rPr>
          </w:pPr>
          <w:r>
            <w:fldChar w:fldCharType="begin"/>
          </w:r>
          <w:r>
            <w:instrText xml:space="preserve"> HYPERLINK \l "_Toc704032345" </w:instrText>
          </w:r>
          <w:r>
            <w:fldChar w:fldCharType="separate"/>
          </w:r>
          <w:r>
            <w:rPr>
              <w:rFonts w:hint="eastAsia" w:ascii="CESI宋体-GB2312" w:hAnsi="CESI宋体-GB2312" w:eastAsia="CESI宋体-GB2312" w:cs="CESI宋体-GB2312"/>
              <w:b/>
              <w:sz w:val="32"/>
              <w:szCs w:val="32"/>
              <w:lang w:val="en-US" w:eastAsia="zh-CN"/>
            </w:rPr>
            <w:t>三、收支预算情况说明</w:t>
          </w:r>
          <w:r>
            <w:rPr>
              <w:rFonts w:hint="eastAsia" w:ascii="CESI宋体-GB2312" w:hAnsi="CESI宋体-GB2312" w:eastAsia="CESI宋体-GB2312" w:cs="CESI宋体-GB2312"/>
              <w:b/>
              <w:sz w:val="32"/>
              <w:szCs w:val="32"/>
              <w:lang w:val="en-US" w:eastAsia="zh-CN"/>
            </w:rPr>
            <w:tab/>
          </w:r>
          <w:r>
            <w:rPr>
              <w:rFonts w:hint="eastAsia" w:ascii="CESI宋体-GB2312" w:hAnsi="CESI宋体-GB2312" w:eastAsia="CESI宋体-GB2312" w:cs="CESI宋体-GB2312"/>
              <w:b/>
              <w:sz w:val="32"/>
              <w:szCs w:val="32"/>
              <w:lang w:val="en-US" w:eastAsia="zh-CN"/>
            </w:rPr>
            <w:fldChar w:fldCharType="begin"/>
          </w:r>
          <w:r>
            <w:rPr>
              <w:rFonts w:hint="eastAsia" w:ascii="CESI宋体-GB2312" w:hAnsi="CESI宋体-GB2312" w:eastAsia="CESI宋体-GB2312" w:cs="CESI宋体-GB2312"/>
              <w:b/>
              <w:sz w:val="32"/>
              <w:szCs w:val="32"/>
              <w:lang w:val="en-US" w:eastAsia="zh-CN"/>
            </w:rPr>
            <w:instrText xml:space="preserve"> PAGEREF _Toc704032345 \h </w:instrText>
          </w:r>
          <w:r>
            <w:rPr>
              <w:rFonts w:hint="eastAsia" w:ascii="CESI宋体-GB2312" w:hAnsi="CESI宋体-GB2312" w:eastAsia="CESI宋体-GB2312" w:cs="CESI宋体-GB2312"/>
              <w:b/>
              <w:sz w:val="32"/>
              <w:szCs w:val="32"/>
              <w:lang w:val="en-US" w:eastAsia="zh-CN"/>
            </w:rPr>
            <w:fldChar w:fldCharType="separate"/>
          </w:r>
          <w:r>
            <w:rPr>
              <w:rFonts w:hint="eastAsia" w:ascii="CESI宋体-GB2312" w:hAnsi="CESI宋体-GB2312" w:eastAsia="CESI宋体-GB2312" w:cs="CESI宋体-GB2312"/>
              <w:b/>
              <w:sz w:val="32"/>
              <w:szCs w:val="32"/>
              <w:lang w:val="en-US" w:eastAsia="zh-CN"/>
            </w:rPr>
            <w:t>7</w:t>
          </w:r>
          <w:r>
            <w:rPr>
              <w:rFonts w:hint="eastAsia" w:ascii="CESI宋体-GB2312" w:hAnsi="CESI宋体-GB2312" w:eastAsia="CESI宋体-GB2312" w:cs="CESI宋体-GB2312"/>
              <w:b/>
              <w:sz w:val="32"/>
              <w:szCs w:val="32"/>
              <w:lang w:val="en-US" w:eastAsia="zh-CN"/>
            </w:rPr>
            <w:fldChar w:fldCharType="end"/>
          </w:r>
          <w:r>
            <w:rPr>
              <w:rFonts w:hint="eastAsia" w:ascii="CESI宋体-GB2312" w:hAnsi="CESI宋体-GB2312" w:eastAsia="CESI宋体-GB2312" w:cs="CESI宋体-GB2312"/>
              <w:b/>
              <w:sz w:val="32"/>
              <w:szCs w:val="32"/>
              <w:lang w:val="en-US" w:eastAsia="zh-CN"/>
            </w:rPr>
            <w:fldChar w:fldCharType="end"/>
          </w:r>
        </w:p>
        <w:p w14:paraId="32D6A58D">
          <w:pPr>
            <w:pStyle w:val="15"/>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"_Toc403947170" </w:instrText>
          </w:r>
          <w:r>
            <w:fldChar w:fldCharType="separate"/>
          </w:r>
          <w:r>
            <w:rPr>
              <w:rFonts w:hint="eastAsia" w:ascii="仿宋_GB2312" w:hAnsi="仿宋_GB2312" w:eastAsia="仿宋_GB2312" w:cs="仿宋_GB2312"/>
              <w:color w:val="auto"/>
              <w:kern w:val="2"/>
              <w:sz w:val="32"/>
              <w:szCs w:val="32"/>
              <w:lang w:val="en-US" w:eastAsia="zh-CN" w:bidi="ar-SA"/>
            </w:rPr>
            <w:t>（一）收入预算情况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_Toc403947170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28CBF1BF">
          <w:pPr>
            <w:pStyle w:val="15"/>
            <w:tabs>
              <w:tab w:val="right" w:leader="dot" w:pos="8845"/>
            </w:tabs>
          </w:pPr>
          <w:r>
            <w:fldChar w:fldCharType="begin"/>
          </w:r>
          <w:r>
            <w:instrText xml:space="preserve"> HYPERLINK \l "_Toc1819294461" </w:instrText>
          </w:r>
          <w:r>
            <w:fldChar w:fldCharType="separate"/>
          </w:r>
          <w:r>
            <w:rPr>
              <w:rFonts w:hint="eastAsia" w:ascii="仿宋_GB2312" w:hAnsi="仿宋_GB2312" w:eastAsia="仿宋_GB2312" w:cs="仿宋_GB2312"/>
              <w:color w:val="auto"/>
              <w:kern w:val="2"/>
              <w:sz w:val="32"/>
              <w:szCs w:val="32"/>
              <w:lang w:val="en-US" w:eastAsia="zh-CN" w:bidi="ar-SA"/>
            </w:rPr>
            <w:t>（二）支出预算情况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_Toc1819294461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389166FC">
          <w:pPr>
            <w:pStyle w:val="14"/>
            <w:tabs>
              <w:tab w:val="right" w:leader="dot" w:pos="8845"/>
            </w:tabs>
            <w:rPr>
              <w:rFonts w:hint="eastAsia" w:ascii="CESI宋体-GB2312" w:hAnsi="CESI宋体-GB2312" w:eastAsia="CESI宋体-GB2312" w:cs="CESI宋体-GB2312"/>
              <w:b/>
              <w:sz w:val="32"/>
              <w:szCs w:val="32"/>
              <w:lang w:val="en-US" w:eastAsia="zh-CN"/>
            </w:rPr>
          </w:pPr>
          <w:r>
            <w:fldChar w:fldCharType="begin"/>
          </w:r>
          <w:r>
            <w:instrText xml:space="preserve"> HYPERLINK \l "_Toc761000966" </w:instrText>
          </w:r>
          <w:r>
            <w:fldChar w:fldCharType="separate"/>
          </w:r>
          <w:r>
            <w:rPr>
              <w:rFonts w:hint="eastAsia" w:ascii="CESI宋体-GB2312" w:hAnsi="CESI宋体-GB2312" w:eastAsia="CESI宋体-GB2312" w:cs="CESI宋体-GB2312"/>
              <w:b/>
              <w:sz w:val="32"/>
              <w:szCs w:val="32"/>
              <w:lang w:val="en-US" w:eastAsia="zh-CN"/>
            </w:rPr>
            <w:t>四、财政拨款收支预算情况说明</w:t>
          </w:r>
          <w:r>
            <w:rPr>
              <w:rFonts w:hint="eastAsia" w:ascii="CESI宋体-GB2312" w:hAnsi="CESI宋体-GB2312" w:eastAsia="CESI宋体-GB2312" w:cs="CESI宋体-GB2312"/>
              <w:b/>
              <w:sz w:val="32"/>
              <w:szCs w:val="32"/>
              <w:lang w:val="en-US" w:eastAsia="zh-CN"/>
            </w:rPr>
            <w:tab/>
          </w:r>
          <w:r>
            <w:rPr>
              <w:rFonts w:hint="eastAsia" w:ascii="CESI宋体-GB2312" w:hAnsi="CESI宋体-GB2312" w:eastAsia="CESI宋体-GB2312" w:cs="CESI宋体-GB2312"/>
              <w:b/>
              <w:sz w:val="32"/>
              <w:szCs w:val="32"/>
              <w:lang w:val="en-US" w:eastAsia="zh-CN"/>
            </w:rPr>
            <w:fldChar w:fldCharType="begin"/>
          </w:r>
          <w:r>
            <w:rPr>
              <w:rFonts w:hint="eastAsia" w:ascii="CESI宋体-GB2312" w:hAnsi="CESI宋体-GB2312" w:eastAsia="CESI宋体-GB2312" w:cs="CESI宋体-GB2312"/>
              <w:b/>
              <w:sz w:val="32"/>
              <w:szCs w:val="32"/>
              <w:lang w:val="en-US" w:eastAsia="zh-CN"/>
            </w:rPr>
            <w:instrText xml:space="preserve"> PAGEREF _Toc761000966 \h </w:instrText>
          </w:r>
          <w:r>
            <w:rPr>
              <w:rFonts w:hint="eastAsia" w:ascii="CESI宋体-GB2312" w:hAnsi="CESI宋体-GB2312" w:eastAsia="CESI宋体-GB2312" w:cs="CESI宋体-GB2312"/>
              <w:b/>
              <w:sz w:val="32"/>
              <w:szCs w:val="32"/>
              <w:lang w:val="en-US" w:eastAsia="zh-CN"/>
            </w:rPr>
            <w:fldChar w:fldCharType="separate"/>
          </w:r>
          <w:r>
            <w:rPr>
              <w:rFonts w:hint="eastAsia" w:ascii="CESI宋体-GB2312" w:hAnsi="CESI宋体-GB2312" w:eastAsia="CESI宋体-GB2312" w:cs="CESI宋体-GB2312"/>
              <w:b/>
              <w:sz w:val="32"/>
              <w:szCs w:val="32"/>
              <w:lang w:val="en-US" w:eastAsia="zh-CN"/>
            </w:rPr>
            <w:t>7</w:t>
          </w:r>
          <w:r>
            <w:rPr>
              <w:rFonts w:hint="eastAsia" w:ascii="CESI宋体-GB2312" w:hAnsi="CESI宋体-GB2312" w:eastAsia="CESI宋体-GB2312" w:cs="CESI宋体-GB2312"/>
              <w:b/>
              <w:sz w:val="32"/>
              <w:szCs w:val="32"/>
              <w:lang w:val="en-US" w:eastAsia="zh-CN"/>
            </w:rPr>
            <w:fldChar w:fldCharType="end"/>
          </w:r>
          <w:r>
            <w:rPr>
              <w:rFonts w:hint="eastAsia" w:ascii="CESI宋体-GB2312" w:hAnsi="CESI宋体-GB2312" w:eastAsia="CESI宋体-GB2312" w:cs="CESI宋体-GB2312"/>
              <w:b/>
              <w:sz w:val="32"/>
              <w:szCs w:val="32"/>
              <w:lang w:val="en-US" w:eastAsia="zh-CN"/>
            </w:rPr>
            <w:fldChar w:fldCharType="end"/>
          </w:r>
        </w:p>
        <w:p w14:paraId="152409C5">
          <w:pPr>
            <w:pStyle w:val="14"/>
            <w:tabs>
              <w:tab w:val="right" w:leader="dot" w:pos="8845"/>
            </w:tabs>
            <w:rPr>
              <w:b/>
            </w:rPr>
          </w:pPr>
          <w:r>
            <w:fldChar w:fldCharType="begin"/>
          </w:r>
          <w:r>
            <w:instrText xml:space="preserve"> HYPERLINK \l "_Toc737445497" </w:instrText>
          </w:r>
          <w:r>
            <w:fldChar w:fldCharType="separate"/>
          </w:r>
          <w:r>
            <w:rPr>
              <w:rFonts w:hint="eastAsia" w:ascii="CESI宋体-GB2312" w:hAnsi="CESI宋体-GB2312" w:eastAsia="CESI宋体-GB2312" w:cs="CESI宋体-GB2312"/>
              <w:b/>
              <w:sz w:val="32"/>
              <w:szCs w:val="32"/>
              <w:lang w:val="en-US" w:eastAsia="zh-CN"/>
            </w:rPr>
            <w:t>五、一般公共预算当年拨款情况说明</w:t>
          </w:r>
          <w:r>
            <w:rPr>
              <w:rFonts w:hint="eastAsia" w:ascii="CESI宋体-GB2312" w:hAnsi="CESI宋体-GB2312" w:eastAsia="CESI宋体-GB2312" w:cs="CESI宋体-GB2312"/>
              <w:b/>
              <w:sz w:val="32"/>
              <w:szCs w:val="32"/>
              <w:lang w:val="en-US" w:eastAsia="zh-CN"/>
            </w:rPr>
            <w:tab/>
          </w:r>
          <w:r>
            <w:rPr>
              <w:rFonts w:hint="eastAsia" w:ascii="CESI宋体-GB2312" w:hAnsi="CESI宋体-GB2312" w:eastAsia="CESI宋体-GB2312" w:cs="CESI宋体-GB2312"/>
              <w:b/>
              <w:sz w:val="32"/>
              <w:szCs w:val="32"/>
              <w:lang w:val="en-US" w:eastAsia="zh-CN"/>
            </w:rPr>
            <w:fldChar w:fldCharType="begin"/>
          </w:r>
          <w:r>
            <w:rPr>
              <w:rFonts w:hint="eastAsia" w:ascii="CESI宋体-GB2312" w:hAnsi="CESI宋体-GB2312" w:eastAsia="CESI宋体-GB2312" w:cs="CESI宋体-GB2312"/>
              <w:b/>
              <w:sz w:val="32"/>
              <w:szCs w:val="32"/>
              <w:lang w:val="en-US" w:eastAsia="zh-CN"/>
            </w:rPr>
            <w:instrText xml:space="preserve"> PAGEREF _Toc737445497 \h </w:instrText>
          </w:r>
          <w:r>
            <w:rPr>
              <w:rFonts w:hint="eastAsia" w:ascii="CESI宋体-GB2312" w:hAnsi="CESI宋体-GB2312" w:eastAsia="CESI宋体-GB2312" w:cs="CESI宋体-GB2312"/>
              <w:b/>
              <w:sz w:val="32"/>
              <w:szCs w:val="32"/>
              <w:lang w:val="en-US" w:eastAsia="zh-CN"/>
            </w:rPr>
            <w:fldChar w:fldCharType="separate"/>
          </w:r>
          <w:r>
            <w:rPr>
              <w:rFonts w:hint="eastAsia" w:ascii="CESI宋体-GB2312" w:hAnsi="CESI宋体-GB2312" w:eastAsia="CESI宋体-GB2312" w:cs="CESI宋体-GB2312"/>
              <w:b/>
              <w:sz w:val="32"/>
              <w:szCs w:val="32"/>
              <w:lang w:val="en-US" w:eastAsia="zh-CN"/>
            </w:rPr>
            <w:t>7</w:t>
          </w:r>
          <w:r>
            <w:rPr>
              <w:rFonts w:hint="eastAsia" w:ascii="CESI宋体-GB2312" w:hAnsi="CESI宋体-GB2312" w:eastAsia="CESI宋体-GB2312" w:cs="CESI宋体-GB2312"/>
              <w:b/>
              <w:sz w:val="32"/>
              <w:szCs w:val="32"/>
              <w:lang w:val="en-US" w:eastAsia="zh-CN"/>
            </w:rPr>
            <w:fldChar w:fldCharType="end"/>
          </w:r>
          <w:r>
            <w:rPr>
              <w:rFonts w:hint="eastAsia" w:ascii="CESI宋体-GB2312" w:hAnsi="CESI宋体-GB2312" w:eastAsia="CESI宋体-GB2312" w:cs="CESI宋体-GB2312"/>
              <w:b/>
              <w:sz w:val="32"/>
              <w:szCs w:val="32"/>
              <w:lang w:val="en-US" w:eastAsia="zh-CN"/>
            </w:rPr>
            <w:fldChar w:fldCharType="end"/>
          </w:r>
        </w:p>
        <w:p w14:paraId="439AD4C3">
          <w:pPr>
            <w:pStyle w:val="15"/>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"_Toc862342787" </w:instrText>
          </w:r>
          <w:r>
            <w:fldChar w:fldCharType="separate"/>
          </w:r>
          <w:r>
            <w:rPr>
              <w:rFonts w:hint="eastAsia" w:ascii="仿宋_GB2312" w:hAnsi="仿宋_GB2312" w:eastAsia="仿宋_GB2312" w:cs="仿宋_GB2312"/>
              <w:color w:val="auto"/>
              <w:kern w:val="2"/>
              <w:sz w:val="32"/>
              <w:szCs w:val="32"/>
              <w:lang w:val="en-US" w:eastAsia="zh-CN" w:bidi="ar-SA"/>
            </w:rPr>
            <w:t>（一）一般公共预算当年拨款规模变化情况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_Toc862342787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185B22D8">
          <w:pPr>
            <w:pStyle w:val="15"/>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"_Toc1120365853" </w:instrText>
          </w:r>
          <w:r>
            <w:fldChar w:fldCharType="separate"/>
          </w:r>
          <w:r>
            <w:rPr>
              <w:rFonts w:hint="eastAsia" w:ascii="仿宋_GB2312" w:hAnsi="仿宋_GB2312" w:eastAsia="仿宋_GB2312" w:cs="仿宋_GB2312"/>
              <w:color w:val="auto"/>
              <w:kern w:val="2"/>
              <w:sz w:val="32"/>
              <w:szCs w:val="32"/>
              <w:lang w:val="en-US" w:eastAsia="zh-CN" w:bidi="ar-SA"/>
            </w:rPr>
            <w:t>（二）一般公共预算当年拨款结构情况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_Toc1120365853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8</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46DC3566">
          <w:pPr>
            <w:pStyle w:val="15"/>
            <w:tabs>
              <w:tab w:val="right" w:leader="dot" w:pos="8845"/>
            </w:tabs>
          </w:pPr>
          <w:r>
            <w:fldChar w:fldCharType="begin"/>
          </w:r>
          <w:r>
            <w:instrText xml:space="preserve"> HYPERLINK \l "_Toc1079752701" </w:instrText>
          </w:r>
          <w:r>
            <w:fldChar w:fldCharType="separate"/>
          </w:r>
          <w:r>
            <w:rPr>
              <w:rFonts w:hint="eastAsia" w:ascii="仿宋_GB2312" w:hAnsi="仿宋_GB2312" w:eastAsia="仿宋_GB2312" w:cs="仿宋_GB2312"/>
              <w:color w:val="auto"/>
              <w:kern w:val="2"/>
              <w:sz w:val="32"/>
              <w:szCs w:val="32"/>
              <w:lang w:val="en-US" w:eastAsia="zh-CN" w:bidi="ar-SA"/>
            </w:rPr>
            <w:t>（三）一般公共预算当年拨款具体使用情况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_Toc1079752701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8</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55EB03A6">
          <w:pPr>
            <w:pStyle w:val="14"/>
            <w:tabs>
              <w:tab w:val="right" w:leader="dot" w:pos="8845"/>
            </w:tabs>
            <w:rPr>
              <w:rFonts w:hint="eastAsia" w:ascii="CESI宋体-GB2312" w:hAnsi="CESI宋体-GB2312" w:eastAsia="CESI宋体-GB2312" w:cs="CESI宋体-GB2312"/>
              <w:b/>
              <w:sz w:val="32"/>
              <w:szCs w:val="32"/>
              <w:lang w:val="en-US" w:eastAsia="zh-CN"/>
            </w:rPr>
          </w:pPr>
          <w:r>
            <w:fldChar w:fldCharType="begin"/>
          </w:r>
          <w:r>
            <w:instrText xml:space="preserve"> HYPERLINK \l "_Toc2092938268" </w:instrText>
          </w:r>
          <w:r>
            <w:fldChar w:fldCharType="separate"/>
          </w:r>
          <w:r>
            <w:rPr>
              <w:rFonts w:hint="eastAsia" w:ascii="CESI宋体-GB2312" w:hAnsi="CESI宋体-GB2312" w:eastAsia="CESI宋体-GB2312" w:cs="CESI宋体-GB2312"/>
              <w:b/>
              <w:sz w:val="32"/>
              <w:szCs w:val="32"/>
              <w:lang w:val="en-US" w:eastAsia="zh-CN"/>
            </w:rPr>
            <w:t>六、一般公共预算基本支出情况说明</w:t>
          </w:r>
          <w:r>
            <w:rPr>
              <w:rFonts w:hint="eastAsia" w:ascii="CESI宋体-GB2312" w:hAnsi="CESI宋体-GB2312" w:eastAsia="CESI宋体-GB2312" w:cs="CESI宋体-GB2312"/>
              <w:b/>
              <w:sz w:val="32"/>
              <w:szCs w:val="32"/>
              <w:lang w:val="en-US" w:eastAsia="zh-CN"/>
            </w:rPr>
            <w:tab/>
          </w:r>
          <w:r>
            <w:rPr>
              <w:rFonts w:hint="eastAsia" w:ascii="CESI宋体-GB2312" w:hAnsi="CESI宋体-GB2312" w:eastAsia="CESI宋体-GB2312" w:cs="CESI宋体-GB2312"/>
              <w:b/>
              <w:sz w:val="32"/>
              <w:szCs w:val="32"/>
              <w:lang w:val="en-US" w:eastAsia="zh-CN"/>
            </w:rPr>
            <w:fldChar w:fldCharType="begin"/>
          </w:r>
          <w:r>
            <w:rPr>
              <w:rFonts w:hint="eastAsia" w:ascii="CESI宋体-GB2312" w:hAnsi="CESI宋体-GB2312" w:eastAsia="CESI宋体-GB2312" w:cs="CESI宋体-GB2312"/>
              <w:b/>
              <w:sz w:val="32"/>
              <w:szCs w:val="32"/>
              <w:lang w:val="en-US" w:eastAsia="zh-CN"/>
            </w:rPr>
            <w:instrText xml:space="preserve"> PAGEREF _Toc2092938268 \h </w:instrText>
          </w:r>
          <w:r>
            <w:rPr>
              <w:rFonts w:hint="eastAsia" w:ascii="CESI宋体-GB2312" w:hAnsi="CESI宋体-GB2312" w:eastAsia="CESI宋体-GB2312" w:cs="CESI宋体-GB2312"/>
              <w:b/>
              <w:sz w:val="32"/>
              <w:szCs w:val="32"/>
              <w:lang w:val="en-US" w:eastAsia="zh-CN"/>
            </w:rPr>
            <w:fldChar w:fldCharType="separate"/>
          </w:r>
          <w:r>
            <w:rPr>
              <w:rFonts w:hint="eastAsia" w:ascii="CESI宋体-GB2312" w:hAnsi="CESI宋体-GB2312" w:eastAsia="CESI宋体-GB2312" w:cs="CESI宋体-GB2312"/>
              <w:b/>
              <w:sz w:val="32"/>
              <w:szCs w:val="32"/>
              <w:lang w:val="en-US" w:eastAsia="zh-CN"/>
            </w:rPr>
            <w:t>8</w:t>
          </w:r>
          <w:r>
            <w:rPr>
              <w:rFonts w:hint="eastAsia" w:ascii="CESI宋体-GB2312" w:hAnsi="CESI宋体-GB2312" w:eastAsia="CESI宋体-GB2312" w:cs="CESI宋体-GB2312"/>
              <w:b/>
              <w:sz w:val="32"/>
              <w:szCs w:val="32"/>
              <w:lang w:val="en-US" w:eastAsia="zh-CN"/>
            </w:rPr>
            <w:fldChar w:fldCharType="end"/>
          </w:r>
          <w:r>
            <w:rPr>
              <w:rFonts w:hint="eastAsia" w:ascii="CESI宋体-GB2312" w:hAnsi="CESI宋体-GB2312" w:eastAsia="CESI宋体-GB2312" w:cs="CESI宋体-GB2312"/>
              <w:b/>
              <w:sz w:val="32"/>
              <w:szCs w:val="32"/>
              <w:lang w:val="en-US" w:eastAsia="zh-CN"/>
            </w:rPr>
            <w:fldChar w:fldCharType="end"/>
          </w:r>
        </w:p>
        <w:p w14:paraId="632D2F6F">
          <w:pPr>
            <w:pStyle w:val="14"/>
            <w:tabs>
              <w:tab w:val="right" w:leader="dot" w:pos="8845"/>
            </w:tabs>
            <w:rPr>
              <w:rFonts w:hint="eastAsia" w:ascii="CESI宋体-GB2312" w:hAnsi="CESI宋体-GB2312" w:eastAsia="CESI宋体-GB2312" w:cs="CESI宋体-GB2312"/>
              <w:b/>
              <w:sz w:val="32"/>
              <w:szCs w:val="32"/>
              <w:lang w:val="en-US" w:eastAsia="zh-CN"/>
            </w:rPr>
          </w:pPr>
          <w:r>
            <w:fldChar w:fldCharType="begin"/>
          </w:r>
          <w:r>
            <w:instrText xml:space="preserve"> HYPERLINK \l "_Toc1618213571" </w:instrText>
          </w:r>
          <w:r>
            <w:fldChar w:fldCharType="separate"/>
          </w:r>
          <w:r>
            <w:rPr>
              <w:rFonts w:hint="eastAsia" w:ascii="CESI宋体-GB2312" w:hAnsi="CESI宋体-GB2312" w:eastAsia="CESI宋体-GB2312" w:cs="CESI宋体-GB2312"/>
              <w:b/>
              <w:sz w:val="32"/>
              <w:szCs w:val="32"/>
              <w:lang w:val="en-US" w:eastAsia="zh-CN"/>
            </w:rPr>
            <w:t>七、“三公”经费财政拨款预算安排情况说明</w:t>
          </w:r>
          <w:r>
            <w:rPr>
              <w:rFonts w:hint="eastAsia" w:ascii="CESI宋体-GB2312" w:hAnsi="CESI宋体-GB2312" w:eastAsia="CESI宋体-GB2312" w:cs="CESI宋体-GB2312"/>
              <w:b/>
              <w:sz w:val="32"/>
              <w:szCs w:val="32"/>
              <w:lang w:val="en-US" w:eastAsia="zh-CN"/>
            </w:rPr>
            <w:tab/>
          </w:r>
          <w:r>
            <w:rPr>
              <w:rFonts w:hint="eastAsia" w:ascii="CESI宋体-GB2312" w:hAnsi="CESI宋体-GB2312" w:eastAsia="CESI宋体-GB2312" w:cs="CESI宋体-GB2312"/>
              <w:b/>
              <w:sz w:val="32"/>
              <w:szCs w:val="32"/>
              <w:lang w:val="en-US" w:eastAsia="zh-CN"/>
            </w:rPr>
            <w:fldChar w:fldCharType="begin"/>
          </w:r>
          <w:r>
            <w:rPr>
              <w:rFonts w:hint="eastAsia" w:ascii="CESI宋体-GB2312" w:hAnsi="CESI宋体-GB2312" w:eastAsia="CESI宋体-GB2312" w:cs="CESI宋体-GB2312"/>
              <w:b/>
              <w:sz w:val="32"/>
              <w:szCs w:val="32"/>
              <w:lang w:val="en-US" w:eastAsia="zh-CN"/>
            </w:rPr>
            <w:instrText xml:space="preserve"> PAGEREF _Toc1618213571 \h </w:instrText>
          </w:r>
          <w:r>
            <w:rPr>
              <w:rFonts w:hint="eastAsia" w:ascii="CESI宋体-GB2312" w:hAnsi="CESI宋体-GB2312" w:eastAsia="CESI宋体-GB2312" w:cs="CESI宋体-GB2312"/>
              <w:b/>
              <w:sz w:val="32"/>
              <w:szCs w:val="32"/>
              <w:lang w:val="en-US" w:eastAsia="zh-CN"/>
            </w:rPr>
            <w:fldChar w:fldCharType="separate"/>
          </w:r>
          <w:r>
            <w:rPr>
              <w:rFonts w:hint="eastAsia" w:ascii="CESI宋体-GB2312" w:hAnsi="CESI宋体-GB2312" w:eastAsia="CESI宋体-GB2312" w:cs="CESI宋体-GB2312"/>
              <w:b/>
              <w:sz w:val="32"/>
              <w:szCs w:val="32"/>
              <w:lang w:val="en-US" w:eastAsia="zh-CN"/>
            </w:rPr>
            <w:t>9</w:t>
          </w:r>
          <w:r>
            <w:rPr>
              <w:rFonts w:hint="eastAsia" w:ascii="CESI宋体-GB2312" w:hAnsi="CESI宋体-GB2312" w:eastAsia="CESI宋体-GB2312" w:cs="CESI宋体-GB2312"/>
              <w:b/>
              <w:sz w:val="32"/>
              <w:szCs w:val="32"/>
              <w:lang w:val="en-US" w:eastAsia="zh-CN"/>
            </w:rPr>
            <w:fldChar w:fldCharType="end"/>
          </w:r>
          <w:r>
            <w:rPr>
              <w:rFonts w:hint="eastAsia" w:ascii="CESI宋体-GB2312" w:hAnsi="CESI宋体-GB2312" w:eastAsia="CESI宋体-GB2312" w:cs="CESI宋体-GB2312"/>
              <w:b/>
              <w:sz w:val="32"/>
              <w:szCs w:val="32"/>
              <w:lang w:val="en-US" w:eastAsia="zh-CN"/>
            </w:rPr>
            <w:fldChar w:fldCharType="end"/>
          </w:r>
        </w:p>
        <w:p w14:paraId="0CAF8B38">
          <w:pPr>
            <w:pStyle w:val="14"/>
            <w:tabs>
              <w:tab w:val="right" w:leader="dot" w:pos="8845"/>
            </w:tabs>
            <w:rPr>
              <w:rFonts w:hint="eastAsia" w:ascii="CESI宋体-GB2312" w:hAnsi="CESI宋体-GB2312" w:eastAsia="CESI宋体-GB2312" w:cs="CESI宋体-GB2312"/>
              <w:b/>
              <w:sz w:val="32"/>
              <w:szCs w:val="32"/>
              <w:lang w:val="en-US" w:eastAsia="zh-CN"/>
            </w:rPr>
          </w:pPr>
          <w:r>
            <w:fldChar w:fldCharType="begin"/>
          </w:r>
          <w:r>
            <w:instrText xml:space="preserve"> HYPERLINK \l "_Toc444935459" </w:instrText>
          </w:r>
          <w:r>
            <w:fldChar w:fldCharType="separate"/>
          </w:r>
          <w:r>
            <w:rPr>
              <w:rFonts w:hint="eastAsia" w:ascii="CESI宋体-GB2312" w:hAnsi="CESI宋体-GB2312" w:eastAsia="CESI宋体-GB2312" w:cs="CESI宋体-GB2312"/>
              <w:b/>
              <w:sz w:val="32"/>
              <w:szCs w:val="32"/>
              <w:lang w:val="en-US" w:eastAsia="zh-CN"/>
            </w:rPr>
            <w:t>八、政府性基金预算支出情况说明</w:t>
          </w:r>
          <w:r>
            <w:rPr>
              <w:rFonts w:hint="eastAsia" w:ascii="CESI宋体-GB2312" w:hAnsi="CESI宋体-GB2312" w:eastAsia="CESI宋体-GB2312" w:cs="CESI宋体-GB2312"/>
              <w:b/>
              <w:sz w:val="32"/>
              <w:szCs w:val="32"/>
              <w:lang w:val="en-US" w:eastAsia="zh-CN"/>
            </w:rPr>
            <w:tab/>
          </w:r>
          <w:r>
            <w:rPr>
              <w:rFonts w:hint="eastAsia" w:ascii="CESI宋体-GB2312" w:hAnsi="CESI宋体-GB2312" w:eastAsia="CESI宋体-GB2312" w:cs="CESI宋体-GB2312"/>
              <w:b/>
              <w:sz w:val="32"/>
              <w:szCs w:val="32"/>
              <w:lang w:val="en-US" w:eastAsia="zh-CN"/>
            </w:rPr>
            <w:fldChar w:fldCharType="begin"/>
          </w:r>
          <w:r>
            <w:rPr>
              <w:rFonts w:hint="eastAsia" w:ascii="CESI宋体-GB2312" w:hAnsi="CESI宋体-GB2312" w:eastAsia="CESI宋体-GB2312" w:cs="CESI宋体-GB2312"/>
              <w:b/>
              <w:sz w:val="32"/>
              <w:szCs w:val="32"/>
              <w:lang w:val="en-US" w:eastAsia="zh-CN"/>
            </w:rPr>
            <w:instrText xml:space="preserve"> PAGEREF _Toc444935459 \h </w:instrText>
          </w:r>
          <w:r>
            <w:rPr>
              <w:rFonts w:hint="eastAsia" w:ascii="CESI宋体-GB2312" w:hAnsi="CESI宋体-GB2312" w:eastAsia="CESI宋体-GB2312" w:cs="CESI宋体-GB2312"/>
              <w:b/>
              <w:sz w:val="32"/>
              <w:szCs w:val="32"/>
              <w:lang w:val="en-US" w:eastAsia="zh-CN"/>
            </w:rPr>
            <w:fldChar w:fldCharType="separate"/>
          </w:r>
          <w:r>
            <w:rPr>
              <w:rFonts w:hint="eastAsia" w:ascii="CESI宋体-GB2312" w:hAnsi="CESI宋体-GB2312" w:eastAsia="CESI宋体-GB2312" w:cs="CESI宋体-GB2312"/>
              <w:b/>
              <w:sz w:val="32"/>
              <w:szCs w:val="32"/>
              <w:lang w:val="en-US" w:eastAsia="zh-CN"/>
            </w:rPr>
            <w:t>9</w:t>
          </w:r>
          <w:r>
            <w:rPr>
              <w:rFonts w:hint="eastAsia" w:ascii="CESI宋体-GB2312" w:hAnsi="CESI宋体-GB2312" w:eastAsia="CESI宋体-GB2312" w:cs="CESI宋体-GB2312"/>
              <w:b/>
              <w:sz w:val="32"/>
              <w:szCs w:val="32"/>
              <w:lang w:val="en-US" w:eastAsia="zh-CN"/>
            </w:rPr>
            <w:fldChar w:fldCharType="end"/>
          </w:r>
          <w:r>
            <w:rPr>
              <w:rFonts w:hint="eastAsia" w:ascii="CESI宋体-GB2312" w:hAnsi="CESI宋体-GB2312" w:eastAsia="CESI宋体-GB2312" w:cs="CESI宋体-GB2312"/>
              <w:b/>
              <w:sz w:val="32"/>
              <w:szCs w:val="32"/>
              <w:lang w:val="en-US" w:eastAsia="zh-CN"/>
            </w:rPr>
            <w:fldChar w:fldCharType="end"/>
          </w:r>
        </w:p>
        <w:p w14:paraId="40507331">
          <w:pPr>
            <w:pStyle w:val="14"/>
            <w:tabs>
              <w:tab w:val="right" w:leader="dot" w:pos="8845"/>
            </w:tabs>
            <w:rPr>
              <w:rFonts w:hint="eastAsia" w:ascii="CESI宋体-GB2312" w:hAnsi="CESI宋体-GB2312" w:eastAsia="CESI宋体-GB2312" w:cs="CESI宋体-GB2312"/>
              <w:b/>
              <w:sz w:val="32"/>
              <w:szCs w:val="32"/>
              <w:lang w:val="en-US" w:eastAsia="zh-CN"/>
            </w:rPr>
          </w:pPr>
          <w:r>
            <w:fldChar w:fldCharType="begin"/>
          </w:r>
          <w:r>
            <w:instrText xml:space="preserve"> HYPERLINK \l "_Toc1860822953" </w:instrText>
          </w:r>
          <w:r>
            <w:fldChar w:fldCharType="separate"/>
          </w:r>
          <w:r>
            <w:rPr>
              <w:rFonts w:hint="eastAsia" w:ascii="CESI宋体-GB2312" w:hAnsi="CESI宋体-GB2312" w:eastAsia="CESI宋体-GB2312" w:cs="CESI宋体-GB2312"/>
              <w:b/>
              <w:sz w:val="32"/>
              <w:szCs w:val="32"/>
              <w:lang w:val="en-US" w:eastAsia="zh-CN"/>
            </w:rPr>
            <w:t>九、国有资本经营预算支出情况说明</w:t>
          </w:r>
          <w:r>
            <w:rPr>
              <w:rFonts w:hint="eastAsia" w:ascii="CESI宋体-GB2312" w:hAnsi="CESI宋体-GB2312" w:eastAsia="CESI宋体-GB2312" w:cs="CESI宋体-GB2312"/>
              <w:b/>
              <w:sz w:val="32"/>
              <w:szCs w:val="32"/>
              <w:lang w:val="en-US" w:eastAsia="zh-CN"/>
            </w:rPr>
            <w:tab/>
          </w:r>
          <w:r>
            <w:rPr>
              <w:rFonts w:hint="eastAsia" w:ascii="CESI宋体-GB2312" w:hAnsi="CESI宋体-GB2312" w:eastAsia="CESI宋体-GB2312" w:cs="CESI宋体-GB2312"/>
              <w:b/>
              <w:sz w:val="32"/>
              <w:szCs w:val="32"/>
              <w:lang w:val="en-US" w:eastAsia="zh-CN"/>
            </w:rPr>
            <w:fldChar w:fldCharType="begin"/>
          </w:r>
          <w:r>
            <w:rPr>
              <w:rFonts w:hint="eastAsia" w:ascii="CESI宋体-GB2312" w:hAnsi="CESI宋体-GB2312" w:eastAsia="CESI宋体-GB2312" w:cs="CESI宋体-GB2312"/>
              <w:b/>
              <w:sz w:val="32"/>
              <w:szCs w:val="32"/>
              <w:lang w:val="en-US" w:eastAsia="zh-CN"/>
            </w:rPr>
            <w:instrText xml:space="preserve"> PAGEREF _Toc1860822953 \h </w:instrText>
          </w:r>
          <w:r>
            <w:rPr>
              <w:rFonts w:hint="eastAsia" w:ascii="CESI宋体-GB2312" w:hAnsi="CESI宋体-GB2312" w:eastAsia="CESI宋体-GB2312" w:cs="CESI宋体-GB2312"/>
              <w:b/>
              <w:sz w:val="32"/>
              <w:szCs w:val="32"/>
              <w:lang w:val="en-US" w:eastAsia="zh-CN"/>
            </w:rPr>
            <w:fldChar w:fldCharType="separate"/>
          </w:r>
          <w:r>
            <w:rPr>
              <w:rFonts w:hint="eastAsia" w:ascii="CESI宋体-GB2312" w:hAnsi="CESI宋体-GB2312" w:eastAsia="CESI宋体-GB2312" w:cs="CESI宋体-GB2312"/>
              <w:b/>
              <w:sz w:val="32"/>
              <w:szCs w:val="32"/>
              <w:lang w:val="en-US" w:eastAsia="zh-CN"/>
            </w:rPr>
            <w:t>9</w:t>
          </w:r>
          <w:r>
            <w:rPr>
              <w:rFonts w:hint="eastAsia" w:ascii="CESI宋体-GB2312" w:hAnsi="CESI宋体-GB2312" w:eastAsia="CESI宋体-GB2312" w:cs="CESI宋体-GB2312"/>
              <w:b/>
              <w:sz w:val="32"/>
              <w:szCs w:val="32"/>
              <w:lang w:val="en-US" w:eastAsia="zh-CN"/>
            </w:rPr>
            <w:fldChar w:fldCharType="end"/>
          </w:r>
          <w:r>
            <w:rPr>
              <w:rFonts w:hint="eastAsia" w:ascii="CESI宋体-GB2312" w:hAnsi="CESI宋体-GB2312" w:eastAsia="CESI宋体-GB2312" w:cs="CESI宋体-GB2312"/>
              <w:b/>
              <w:sz w:val="32"/>
              <w:szCs w:val="32"/>
              <w:lang w:val="en-US" w:eastAsia="zh-CN"/>
            </w:rPr>
            <w:fldChar w:fldCharType="end"/>
          </w:r>
        </w:p>
        <w:p w14:paraId="472EC036">
          <w:pPr>
            <w:pStyle w:val="14"/>
            <w:tabs>
              <w:tab w:val="right" w:leader="dot" w:pos="8845"/>
            </w:tabs>
            <w:rPr>
              <w:rFonts w:hint="eastAsia" w:ascii="CESI宋体-GB2312" w:hAnsi="CESI宋体-GB2312" w:eastAsia="CESI宋体-GB2312" w:cs="CESI宋体-GB2312"/>
              <w:b/>
              <w:sz w:val="32"/>
              <w:szCs w:val="32"/>
              <w:lang w:val="en-US" w:eastAsia="zh-CN"/>
            </w:rPr>
          </w:pPr>
          <w:r>
            <w:fldChar w:fldCharType="begin"/>
          </w:r>
          <w:r>
            <w:instrText xml:space="preserve"> HYPERLINK \l "_Toc884821081" </w:instrText>
          </w:r>
          <w:r>
            <w:fldChar w:fldCharType="separate"/>
          </w:r>
          <w:r>
            <w:rPr>
              <w:rFonts w:hint="eastAsia" w:ascii="CESI宋体-GB2312" w:hAnsi="CESI宋体-GB2312" w:eastAsia="CESI宋体-GB2312" w:cs="CESI宋体-GB2312"/>
              <w:b/>
              <w:sz w:val="32"/>
              <w:szCs w:val="32"/>
              <w:lang w:val="en-US" w:eastAsia="zh-CN"/>
            </w:rPr>
            <w:t>十、其他重要事项的情况说明</w:t>
          </w:r>
          <w:r>
            <w:rPr>
              <w:rFonts w:hint="eastAsia" w:ascii="CESI宋体-GB2312" w:hAnsi="CESI宋体-GB2312" w:eastAsia="CESI宋体-GB2312" w:cs="CESI宋体-GB2312"/>
              <w:b/>
              <w:sz w:val="32"/>
              <w:szCs w:val="32"/>
              <w:lang w:val="en-US" w:eastAsia="zh-CN"/>
            </w:rPr>
            <w:tab/>
          </w:r>
          <w:r>
            <w:rPr>
              <w:rFonts w:hint="eastAsia" w:ascii="CESI宋体-GB2312" w:hAnsi="CESI宋体-GB2312" w:eastAsia="CESI宋体-GB2312" w:cs="CESI宋体-GB2312"/>
              <w:b/>
              <w:sz w:val="32"/>
              <w:szCs w:val="32"/>
              <w:lang w:val="en-US" w:eastAsia="zh-CN"/>
            </w:rPr>
            <w:fldChar w:fldCharType="begin"/>
          </w:r>
          <w:r>
            <w:rPr>
              <w:rFonts w:hint="eastAsia" w:ascii="CESI宋体-GB2312" w:hAnsi="CESI宋体-GB2312" w:eastAsia="CESI宋体-GB2312" w:cs="CESI宋体-GB2312"/>
              <w:b/>
              <w:sz w:val="32"/>
              <w:szCs w:val="32"/>
              <w:lang w:val="en-US" w:eastAsia="zh-CN"/>
            </w:rPr>
            <w:instrText xml:space="preserve"> PAGEREF _Toc884821081 \h </w:instrText>
          </w:r>
          <w:r>
            <w:rPr>
              <w:rFonts w:hint="eastAsia" w:ascii="CESI宋体-GB2312" w:hAnsi="CESI宋体-GB2312" w:eastAsia="CESI宋体-GB2312" w:cs="CESI宋体-GB2312"/>
              <w:b/>
              <w:sz w:val="32"/>
              <w:szCs w:val="32"/>
              <w:lang w:val="en-US" w:eastAsia="zh-CN"/>
            </w:rPr>
            <w:fldChar w:fldCharType="separate"/>
          </w:r>
          <w:r>
            <w:rPr>
              <w:rFonts w:hint="eastAsia" w:ascii="CESI宋体-GB2312" w:hAnsi="CESI宋体-GB2312" w:eastAsia="CESI宋体-GB2312" w:cs="CESI宋体-GB2312"/>
              <w:b/>
              <w:sz w:val="32"/>
              <w:szCs w:val="32"/>
              <w:lang w:val="en-US" w:eastAsia="zh-CN"/>
            </w:rPr>
            <w:t>9</w:t>
          </w:r>
          <w:r>
            <w:rPr>
              <w:rFonts w:hint="eastAsia" w:ascii="CESI宋体-GB2312" w:hAnsi="CESI宋体-GB2312" w:eastAsia="CESI宋体-GB2312" w:cs="CESI宋体-GB2312"/>
              <w:b/>
              <w:sz w:val="32"/>
              <w:szCs w:val="32"/>
              <w:lang w:val="en-US" w:eastAsia="zh-CN"/>
            </w:rPr>
            <w:fldChar w:fldCharType="end"/>
          </w:r>
          <w:r>
            <w:rPr>
              <w:rFonts w:hint="eastAsia" w:ascii="CESI宋体-GB2312" w:hAnsi="CESI宋体-GB2312" w:eastAsia="CESI宋体-GB2312" w:cs="CESI宋体-GB2312"/>
              <w:b/>
              <w:sz w:val="32"/>
              <w:szCs w:val="32"/>
              <w:lang w:val="en-US" w:eastAsia="zh-CN"/>
            </w:rPr>
            <w:fldChar w:fldCharType="end"/>
          </w:r>
        </w:p>
        <w:p w14:paraId="2880F69D">
          <w:pPr>
            <w:pStyle w:val="14"/>
            <w:tabs>
              <w:tab w:val="right" w:leader="dot" w:pos="8845"/>
            </w:tabs>
            <w:rPr>
              <w:rFonts w:hint="eastAsia" w:ascii="CESI宋体-GB2312" w:hAnsi="CESI宋体-GB2312" w:eastAsia="CESI宋体-GB2312" w:cs="CESI宋体-GB2312"/>
              <w:b/>
              <w:sz w:val="32"/>
              <w:szCs w:val="32"/>
              <w:lang w:val="en-US" w:eastAsia="zh-CN"/>
            </w:rPr>
          </w:pPr>
          <w:r>
            <w:fldChar w:fldCharType="begin"/>
          </w:r>
          <w:r>
            <w:instrText xml:space="preserve"> HYPERLINK \l "_Toc797017721" </w:instrText>
          </w:r>
          <w:r>
            <w:fldChar w:fldCharType="separate"/>
          </w:r>
          <w:r>
            <w:rPr>
              <w:rFonts w:hint="eastAsia" w:ascii="CESI宋体-GB2312" w:hAnsi="CESI宋体-GB2312" w:eastAsia="CESI宋体-GB2312" w:cs="CESI宋体-GB2312"/>
              <w:b/>
              <w:sz w:val="32"/>
              <w:szCs w:val="32"/>
              <w:lang w:val="en-US" w:eastAsia="zh-CN"/>
            </w:rPr>
            <w:t>十一、名词解释</w:t>
          </w:r>
          <w:r>
            <w:rPr>
              <w:rFonts w:hint="eastAsia" w:ascii="CESI宋体-GB2312" w:hAnsi="CESI宋体-GB2312" w:eastAsia="CESI宋体-GB2312" w:cs="CESI宋体-GB2312"/>
              <w:b/>
              <w:sz w:val="32"/>
              <w:szCs w:val="32"/>
              <w:lang w:val="en-US" w:eastAsia="zh-CN"/>
            </w:rPr>
            <w:tab/>
          </w:r>
          <w:r>
            <w:rPr>
              <w:rFonts w:hint="eastAsia" w:ascii="CESI宋体-GB2312" w:hAnsi="CESI宋体-GB2312" w:eastAsia="CESI宋体-GB2312" w:cs="CESI宋体-GB2312"/>
              <w:b/>
              <w:sz w:val="32"/>
              <w:szCs w:val="32"/>
              <w:lang w:val="en-US" w:eastAsia="zh-CN"/>
            </w:rPr>
            <w:fldChar w:fldCharType="begin"/>
          </w:r>
          <w:r>
            <w:rPr>
              <w:rFonts w:hint="eastAsia" w:ascii="CESI宋体-GB2312" w:hAnsi="CESI宋体-GB2312" w:eastAsia="CESI宋体-GB2312" w:cs="CESI宋体-GB2312"/>
              <w:b/>
              <w:sz w:val="32"/>
              <w:szCs w:val="32"/>
              <w:lang w:val="en-US" w:eastAsia="zh-CN"/>
            </w:rPr>
            <w:instrText xml:space="preserve"> PAGEREF _Toc797017721 \h </w:instrText>
          </w:r>
          <w:r>
            <w:rPr>
              <w:rFonts w:hint="eastAsia" w:ascii="CESI宋体-GB2312" w:hAnsi="CESI宋体-GB2312" w:eastAsia="CESI宋体-GB2312" w:cs="CESI宋体-GB2312"/>
              <w:b/>
              <w:sz w:val="32"/>
              <w:szCs w:val="32"/>
              <w:lang w:val="en-US" w:eastAsia="zh-CN"/>
            </w:rPr>
            <w:fldChar w:fldCharType="separate"/>
          </w:r>
          <w:r>
            <w:rPr>
              <w:rFonts w:hint="eastAsia" w:ascii="CESI宋体-GB2312" w:hAnsi="CESI宋体-GB2312" w:eastAsia="CESI宋体-GB2312" w:cs="CESI宋体-GB2312"/>
              <w:b/>
              <w:sz w:val="32"/>
              <w:szCs w:val="32"/>
              <w:lang w:val="en-US" w:eastAsia="zh-CN"/>
            </w:rPr>
            <w:t>10</w:t>
          </w:r>
          <w:r>
            <w:rPr>
              <w:rFonts w:hint="eastAsia" w:ascii="CESI宋体-GB2312" w:hAnsi="CESI宋体-GB2312" w:eastAsia="CESI宋体-GB2312" w:cs="CESI宋体-GB2312"/>
              <w:b/>
              <w:sz w:val="32"/>
              <w:szCs w:val="32"/>
              <w:lang w:val="en-US" w:eastAsia="zh-CN"/>
            </w:rPr>
            <w:fldChar w:fldCharType="end"/>
          </w:r>
          <w:r>
            <w:rPr>
              <w:rFonts w:hint="eastAsia" w:ascii="CESI宋体-GB2312" w:hAnsi="CESI宋体-GB2312" w:eastAsia="CESI宋体-GB2312" w:cs="CESI宋体-GB2312"/>
              <w:b/>
              <w:sz w:val="32"/>
              <w:szCs w:val="32"/>
              <w:lang w:val="en-US" w:eastAsia="zh-CN"/>
            </w:rPr>
            <w:fldChar w:fldCharType="end"/>
          </w:r>
        </w:p>
        <w:p w14:paraId="47A4ED96">
          <w:pPr>
            <w:pStyle w:val="14"/>
            <w:tabs>
              <w:tab w:val="right" w:leader="dot" w:pos="8845"/>
            </w:tabs>
            <w:rPr>
              <w:b/>
            </w:rPr>
          </w:pPr>
        </w:p>
        <w:p w14:paraId="3137664E">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482" w:firstLineChars="200"/>
            <w:jc w:val="both"/>
          </w:pPr>
          <w:r>
            <w:rPr>
              <w:rFonts w:hint="eastAsia" w:ascii="宋体" w:hAnsi="宋体" w:eastAsia="宋体" w:cs="宋体"/>
              <w:b/>
              <w:i w:val="0"/>
              <w:caps w:val="0"/>
              <w:color w:val="000000" w:themeColor="text1"/>
              <w:spacing w:val="0"/>
              <w:kern w:val="0"/>
              <w:szCs w:val="28"/>
              <w:highlight w:val="none"/>
              <w:shd w:val="clear" w:color="auto" w:fill="FFFFFF"/>
              <w:lang w:val="en-US" w:eastAsia="zh-CN"/>
              <w14:textFill>
                <w14:solidFill>
                  <w14:schemeClr w14:val="tx1"/>
                </w14:solidFill>
              </w14:textFill>
            </w:rPr>
            <w:fldChar w:fldCharType="end"/>
          </w:r>
          <w:bookmarkStart w:id="2" w:name="_Toc240160541"/>
        </w:p>
      </w:sdtContent>
    </w:sdt>
    <w:p w14:paraId="27504E29">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rightChars="0"/>
        <w:jc w:val="both"/>
        <w:rPr>
          <w:rFonts w:hint="eastAsia" w:ascii="黑体" w:hAnsi="黑体" w:eastAsia="黑体" w:cs="黑体"/>
          <w:sz w:val="32"/>
          <w:szCs w:val="32"/>
          <w:lang w:val="en-US" w:eastAsia="zh-CN"/>
        </w:rPr>
      </w:pPr>
    </w:p>
    <w:p w14:paraId="162620E5">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rightChars="0"/>
        <w:jc w:val="both"/>
        <w:rPr>
          <w:rFonts w:hint="eastAsia" w:ascii="黑体" w:hAnsi="黑体" w:eastAsia="黑体" w:cs="黑体"/>
          <w:sz w:val="32"/>
          <w:szCs w:val="32"/>
          <w:lang w:val="en-US" w:eastAsia="zh-CN"/>
        </w:rPr>
      </w:pPr>
    </w:p>
    <w:p w14:paraId="35C60AC9">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rightChars="0"/>
        <w:jc w:val="both"/>
        <w:rPr>
          <w:rFonts w:hint="eastAsia" w:ascii="黑体" w:hAnsi="黑体" w:eastAsia="黑体" w:cs="黑体"/>
          <w:sz w:val="32"/>
          <w:szCs w:val="32"/>
          <w:lang w:val="en-US" w:eastAsia="zh-CN"/>
        </w:rPr>
      </w:pPr>
    </w:p>
    <w:p w14:paraId="4827497F">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rightChars="0"/>
        <w:jc w:val="both"/>
        <w:rPr>
          <w:rFonts w:hint="eastAsia" w:ascii="黑体" w:hAnsi="黑体" w:eastAsia="黑体" w:cs="黑体"/>
          <w:sz w:val="32"/>
          <w:szCs w:val="32"/>
          <w:lang w:val="en-US" w:eastAsia="zh-CN"/>
        </w:rPr>
      </w:pPr>
    </w:p>
    <w:p w14:paraId="0BC8A662">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rightChars="0"/>
        <w:jc w:val="both"/>
        <w:rPr>
          <w:rFonts w:hint="eastAsia" w:ascii="黑体" w:hAnsi="黑体" w:eastAsia="黑体" w:cs="黑体"/>
          <w:sz w:val="32"/>
          <w:szCs w:val="32"/>
          <w:lang w:val="en-US" w:eastAsia="zh-CN"/>
        </w:rPr>
      </w:pPr>
    </w:p>
    <w:p w14:paraId="3948DBAD">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rightChars="0"/>
        <w:jc w:val="both"/>
        <w:rPr>
          <w:rFonts w:hint="eastAsia" w:ascii="黑体" w:hAnsi="黑体" w:eastAsia="黑体" w:cs="黑体"/>
          <w:sz w:val="32"/>
          <w:szCs w:val="32"/>
          <w:lang w:val="en-US" w:eastAsia="zh-CN"/>
        </w:rPr>
      </w:pPr>
    </w:p>
    <w:p w14:paraId="2460858E">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rightChars="0"/>
        <w:jc w:val="both"/>
        <w:rPr>
          <w:rFonts w:hint="eastAsia" w:ascii="黑体" w:hAnsi="黑体" w:eastAsia="黑体" w:cs="黑体"/>
          <w:sz w:val="32"/>
          <w:szCs w:val="32"/>
          <w:lang w:val="en-US" w:eastAsia="zh-CN"/>
        </w:rPr>
      </w:pPr>
    </w:p>
    <w:p w14:paraId="19956D81">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rightChars="0"/>
        <w:jc w:val="both"/>
        <w:rPr>
          <w:rFonts w:hint="eastAsia" w:ascii="黑体" w:hAnsi="黑体" w:eastAsia="黑体" w:cs="黑体"/>
          <w:sz w:val="32"/>
          <w:szCs w:val="32"/>
          <w:lang w:val="en-US" w:eastAsia="zh-CN"/>
        </w:rPr>
      </w:pPr>
    </w:p>
    <w:p w14:paraId="16306CD7">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rightChars="0"/>
        <w:jc w:val="both"/>
        <w:rPr>
          <w:rFonts w:hint="eastAsia" w:ascii="黑体" w:hAnsi="黑体" w:eastAsia="黑体" w:cs="黑体"/>
          <w:sz w:val="32"/>
          <w:szCs w:val="32"/>
          <w:lang w:val="en-US" w:eastAsia="zh-CN"/>
        </w:rPr>
      </w:pPr>
    </w:p>
    <w:p w14:paraId="4FEE2BD7">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rightChars="0"/>
        <w:jc w:val="both"/>
        <w:rPr>
          <w:rFonts w:hint="eastAsia" w:ascii="黑体" w:hAnsi="黑体" w:eastAsia="黑体" w:cs="黑体"/>
          <w:sz w:val="32"/>
          <w:szCs w:val="32"/>
          <w:lang w:val="en-US" w:eastAsia="zh-CN"/>
        </w:rPr>
      </w:pPr>
    </w:p>
    <w:p w14:paraId="46058391">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rightChars="0"/>
        <w:jc w:val="both"/>
        <w:rPr>
          <w:rFonts w:hint="eastAsia" w:ascii="黑体" w:hAnsi="黑体" w:eastAsia="黑体" w:cs="黑体"/>
          <w:sz w:val="32"/>
          <w:szCs w:val="32"/>
          <w:lang w:val="en-US" w:eastAsia="zh-CN"/>
        </w:rPr>
      </w:pPr>
    </w:p>
    <w:p w14:paraId="78D08D31">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rightChars="0"/>
        <w:jc w:val="both"/>
        <w:rPr>
          <w:rFonts w:hint="eastAsia" w:ascii="黑体" w:hAnsi="黑体" w:eastAsia="黑体" w:cs="黑体"/>
          <w:sz w:val="32"/>
          <w:szCs w:val="32"/>
          <w:lang w:val="en-US" w:eastAsia="zh-CN"/>
        </w:rPr>
      </w:pPr>
    </w:p>
    <w:p w14:paraId="1809E579">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rightChars="0"/>
        <w:jc w:val="both"/>
        <w:rPr>
          <w:rFonts w:hint="eastAsia" w:ascii="黑体" w:hAnsi="黑体" w:eastAsia="黑体" w:cs="黑体"/>
          <w:sz w:val="32"/>
          <w:szCs w:val="32"/>
          <w:lang w:val="en-US" w:eastAsia="zh-CN"/>
        </w:rPr>
      </w:pPr>
    </w:p>
    <w:p w14:paraId="25AAF02F">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rightChars="0"/>
        <w:jc w:val="both"/>
        <w:rPr>
          <w:rFonts w:hint="eastAsia" w:ascii="黑体" w:hAnsi="黑体" w:eastAsia="黑体" w:cs="黑体"/>
          <w:sz w:val="32"/>
          <w:szCs w:val="32"/>
          <w:lang w:val="en-US" w:eastAsia="zh-CN"/>
        </w:rPr>
      </w:pPr>
    </w:p>
    <w:p w14:paraId="31C68FA1">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rightChars="0"/>
        <w:jc w:val="both"/>
        <w:rPr>
          <w:rFonts w:hint="eastAsia" w:ascii="黑体" w:hAnsi="黑体" w:eastAsia="黑体" w:cs="黑体"/>
          <w:sz w:val="32"/>
          <w:szCs w:val="32"/>
        </w:rPr>
      </w:pPr>
      <w:r>
        <w:rPr>
          <w:rFonts w:hint="eastAsia" w:ascii="黑体" w:hAnsi="黑体" w:eastAsia="黑体" w:cs="黑体"/>
          <w:sz w:val="32"/>
          <w:szCs w:val="32"/>
          <w:lang w:val="en-US" w:eastAsia="zh-CN"/>
        </w:rPr>
        <w:t>一、基本职能及主要工作</w:t>
      </w:r>
      <w:bookmarkEnd w:id="2"/>
    </w:p>
    <w:p w14:paraId="6B3E7FE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3" w:name="_Toc1994642991"/>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单位</w:t>
      </w:r>
      <w:r>
        <w:rPr>
          <w:rFonts w:hint="eastAsia" w:ascii="楷体_GB2312" w:hAnsi="楷体_GB2312" w:eastAsia="楷体_GB2312" w:cs="楷体_GB2312"/>
          <w:sz w:val="32"/>
          <w:szCs w:val="32"/>
        </w:rPr>
        <w:t>职能简介</w:t>
      </w:r>
      <w:bookmarkEnd w:id="3"/>
    </w:p>
    <w:p w14:paraId="79A0C6F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1.贯彻党的教育方针，坚持社会主义办学方向，实行教育与生产劳动相结合，对学生进行德育、智育、体育、美育和劳动等方面的教育。</w:t>
      </w:r>
    </w:p>
    <w:p w14:paraId="496045A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2.负责配合政府依法动员、组织适龄儿童、少年入学，严格控制学生辍学，依法保证适龄儿童、少年接受九年义务教育。</w:t>
      </w:r>
    </w:p>
    <w:p w14:paraId="0B0393A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3.负责依法制定学校章程，并按照章程自主管理。</w:t>
      </w:r>
    </w:p>
    <w:p w14:paraId="4B5F01B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4.负责制定学校教育发展规划，并抓好组织和实施工作。</w:t>
      </w:r>
    </w:p>
    <w:p w14:paraId="495A1FC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5.负责按照教育主管部门发布的指导性教学计划、教学大纲，组织实施教育教学活动。</w:t>
      </w:r>
    </w:p>
    <w:p w14:paraId="0C27031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6.负责学籍管理并对学生实施奖励或处分。</w:t>
      </w:r>
    </w:p>
    <w:p w14:paraId="2A746C7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7.负责依法制定本校教师及其他职工聘任办法</w:t>
      </w:r>
      <w:r>
        <w:rPr>
          <w:rFonts w:hint="eastAsia"/>
          <w:lang w:eastAsia="zh-CN"/>
        </w:rPr>
        <w:t>，</w:t>
      </w:r>
      <w:r>
        <w:rPr>
          <w:rFonts w:hint="eastAsia" w:ascii="仿宋_GB2312" w:hAnsi="仿宋_GB2312" w:eastAsia="仿宋_GB2312" w:cs="仿宋_GB2312"/>
          <w:sz w:val="32"/>
          <w:szCs w:val="32"/>
          <w:lang w:val="en-US" w:eastAsia="zh-CN"/>
        </w:rPr>
        <w:t>并对教师及其他员工实施包括奖励、处分在内的具体管理活动。</w:t>
      </w:r>
    </w:p>
    <w:p w14:paraId="49436E6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8.负责科学管理、合理使用学校的设施和经费，并积极筹措资金，改善办学条件。</w:t>
      </w:r>
    </w:p>
    <w:p w14:paraId="2764EBE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9.负责维护学校、师生的合法权益，有权拒绝任何组织和个人对教育教学活动的</w:t>
      </w:r>
      <w:r>
        <w:commentReference w:id="0"/>
      </w:r>
      <w:r>
        <w:rPr>
          <w:rFonts w:hint="eastAsia" w:ascii="仿宋_GB2312" w:hAnsi="仿宋_GB2312" w:eastAsia="仿宋_GB2312" w:cs="仿宋_GB2312"/>
          <w:sz w:val="32"/>
          <w:szCs w:val="32"/>
          <w:lang w:val="en-US" w:eastAsia="zh-CN"/>
        </w:rPr>
        <w:t>非法干扰。</w:t>
      </w:r>
    </w:p>
    <w:p w14:paraId="341064B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10.依法接受各级教育行政部门的检查指导和人民群众的监督。</w:t>
      </w:r>
    </w:p>
    <w:p w14:paraId="038EE0C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11.承办上级交办的其他事项。</w:t>
      </w:r>
    </w:p>
    <w:p w14:paraId="68E1F06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14:paraId="511BDB7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4" w:name="_Toc571686762"/>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rPr>
        <w:t>202</w:t>
      </w:r>
      <w:r>
        <w:rPr>
          <w:rFonts w:hint="eastAsia" w:ascii="楷体_GB2312" w:hAnsi="楷体_GB2312" w:eastAsia="楷体_GB2312" w:cs="楷体_GB2312"/>
          <w:sz w:val="32"/>
          <w:szCs w:val="32"/>
          <w:lang w:val="en-US" w:eastAsia="zh-CN"/>
        </w:rPr>
        <w:t>5</w:t>
      </w:r>
      <w:r>
        <w:rPr>
          <w:rFonts w:hint="eastAsia" w:ascii="楷体_GB2312" w:hAnsi="楷体_GB2312" w:eastAsia="楷体_GB2312" w:cs="楷体_GB2312"/>
          <w:sz w:val="32"/>
          <w:szCs w:val="32"/>
        </w:rPr>
        <w:t>年重点工作</w:t>
      </w:r>
      <w:bookmarkEnd w:id="4"/>
    </w:p>
    <w:p w14:paraId="0E3B3AB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仿宋_GB2312" w:hAnsi="仿宋_GB2312" w:eastAsia="仿宋_GB2312" w:cs="仿宋_GB2312"/>
          <w:sz w:val="32"/>
          <w:szCs w:val="32"/>
          <w:lang w:val="en-US" w:eastAsia="zh-CN"/>
        </w:rPr>
      </w:pPr>
      <w:bookmarkStart w:id="5" w:name="_Toc239363355"/>
      <w:r>
        <w:rPr>
          <w:rFonts w:hint="eastAsia" w:ascii="仿宋_GB2312" w:hAnsi="仿宋_GB2312" w:eastAsia="仿宋_GB2312" w:cs="仿宋_GB2312"/>
          <w:sz w:val="32"/>
          <w:szCs w:val="32"/>
          <w:lang w:val="en-US" w:eastAsia="zh-CN"/>
        </w:rPr>
        <w:t>1</w:t>
      </w:r>
      <w:r>
        <w:t>.</w:t>
      </w:r>
      <w:r>
        <w:rPr>
          <w:rFonts w:hint="eastAsia" w:ascii="仿宋_GB2312" w:hAnsi="仿宋_GB2312" w:eastAsia="仿宋_GB2312" w:cs="仿宋_GB2312"/>
          <w:sz w:val="32"/>
          <w:szCs w:val="32"/>
          <w:lang w:val="en-US" w:eastAsia="zh-CN"/>
        </w:rPr>
        <w:t>教育教学方面</w:t>
      </w:r>
      <w:bookmarkEnd w:id="5"/>
    </w:p>
    <w:p w14:paraId="4EFF68D5">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（1）优化课程设置：依据国家课程标准，结合农村实际和学生特点，调整课程，增加乡土文化、劳动实践等特色课程，激发学生兴趣。</w:t>
      </w:r>
    </w:p>
    <w:p w14:paraId="733EF15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（2）创新教学方法：鼓励教师采用项目式、探究式等教学方法，利用多媒体等手段，提高课堂效率与学生参与度。</w:t>
      </w:r>
    </w:p>
    <w:p w14:paraId="16671D6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（3）加强教学研讨：定期组织教师开展教学研讨活动，分享经验，共同解决教学中的问题，提升教学质量。</w:t>
      </w:r>
    </w:p>
    <w:p w14:paraId="789BFDB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（4）强化教学评估：建立完善的教学评估体系，定期对教师教学和学生学习进行评估，及时反馈并调整教学策略。</w:t>
      </w:r>
    </w:p>
    <w:p w14:paraId="7E225A9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仿宋_GB2312" w:hAnsi="仿宋_GB2312" w:eastAsia="仿宋_GB2312" w:cs="仿宋_GB2312"/>
          <w:sz w:val="32"/>
          <w:szCs w:val="32"/>
          <w:lang w:val="en-US" w:eastAsia="zh-CN"/>
        </w:rPr>
      </w:pPr>
      <w:bookmarkStart w:id="6" w:name="_Toc1791195429"/>
      <w:r>
        <w:rPr>
          <w:rFonts w:hint="eastAsia" w:ascii="仿宋_GB2312" w:hAnsi="仿宋_GB2312" w:eastAsia="仿宋_GB2312" w:cs="仿宋_GB2312"/>
          <w:sz w:val="32"/>
          <w:szCs w:val="32"/>
          <w:lang w:val="en-US" w:eastAsia="zh-CN"/>
        </w:rPr>
        <w:t>2</w:t>
      </w:r>
      <w:r>
        <w:t>.</w:t>
      </w:r>
      <w:r>
        <w:rPr>
          <w:rFonts w:hint="eastAsia" w:ascii="仿宋_GB2312" w:hAnsi="仿宋_GB2312" w:eastAsia="仿宋_GB2312" w:cs="仿宋_GB2312"/>
          <w:sz w:val="32"/>
          <w:szCs w:val="32"/>
          <w:lang w:val="en-US" w:eastAsia="zh-CN"/>
        </w:rPr>
        <w:t>师资队伍建设方面</w:t>
      </w:r>
      <w:bookmarkEnd w:id="6"/>
    </w:p>
    <w:p w14:paraId="7F41B9C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（1）组织教师培训：制定培训计划，邀请专家来校讲座，内容涵盖教育教学理论、学科知识更新、信息技术应用等，提升教师专业素养。</w:t>
      </w:r>
    </w:p>
    <w:p w14:paraId="5F43F4E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（2）实施师徒结对：开展“师徒结对”活动，让骨干教师与年轻教师结对子，进行一对一指导，促进年轻教师快速成长。</w:t>
      </w:r>
    </w:p>
    <w:p w14:paraId="4059973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（3）完善评价激励机制：建立科学合理的教师评价机制，从教学效果、师德师风、教研成果等方面进行全面评价，激励教师积极进取。</w:t>
      </w:r>
    </w:p>
    <w:p w14:paraId="68F8E7C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仿宋_GB2312" w:hAnsi="仿宋_GB2312" w:eastAsia="仿宋_GB2312" w:cs="仿宋_GB2312"/>
          <w:sz w:val="32"/>
          <w:szCs w:val="32"/>
          <w:lang w:val="en-US" w:eastAsia="zh-CN"/>
        </w:rPr>
      </w:pPr>
      <w:bookmarkStart w:id="7" w:name="_Toc191058249"/>
      <w:r>
        <w:rPr>
          <w:rFonts w:hint="eastAsia" w:ascii="仿宋_GB2312" w:hAnsi="仿宋_GB2312" w:eastAsia="仿宋_GB2312" w:cs="仿宋_GB2312"/>
          <w:sz w:val="32"/>
          <w:szCs w:val="32"/>
          <w:lang w:val="en-US" w:eastAsia="zh-CN"/>
        </w:rPr>
        <w:t>3</w:t>
      </w:r>
      <w:r>
        <w:t>.</w:t>
      </w:r>
      <w:r>
        <w:rPr>
          <w:rFonts w:hint="eastAsia" w:ascii="仿宋_GB2312" w:hAnsi="仿宋_GB2312" w:eastAsia="仿宋_GB2312" w:cs="仿宋_GB2312"/>
          <w:sz w:val="32"/>
          <w:szCs w:val="32"/>
          <w:lang w:val="en-US" w:eastAsia="zh-CN"/>
        </w:rPr>
        <w:t>德育与校园文化建设方面</w:t>
      </w:r>
      <w:bookmarkEnd w:id="7"/>
    </w:p>
    <w:p w14:paraId="28826DF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（1）加强德育工作：每月开展德育主题活动，如文明礼貌月、环保活动等，培养学生良好品德和行为习惯。</w:t>
      </w:r>
    </w:p>
    <w:p w14:paraId="3FE2078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（2）丰富校园文化活动：组织文艺会演、运动会、书法绘画比赛等活动，为学生提供展示平台，培养综合素质。</w:t>
      </w:r>
    </w:p>
    <w:p w14:paraId="68E0EA2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（3）建立学生自治组织：成立学生会、志愿者团队等，让学生参与校园管理和服务，增强责任意识和团队精神。</w:t>
      </w:r>
    </w:p>
    <w:p w14:paraId="42FAABD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仿宋_GB2312" w:hAnsi="仿宋_GB2312" w:eastAsia="仿宋_GB2312" w:cs="仿宋_GB2312"/>
          <w:sz w:val="32"/>
          <w:szCs w:val="32"/>
          <w:lang w:val="en-US" w:eastAsia="zh-CN"/>
        </w:rPr>
      </w:pPr>
      <w:bookmarkStart w:id="8" w:name="_Toc1033463381"/>
      <w:r>
        <w:rPr>
          <w:rFonts w:hint="eastAsia" w:ascii="仿宋_GB2312" w:hAnsi="仿宋_GB2312" w:eastAsia="仿宋_GB2312" w:cs="仿宋_GB2312"/>
          <w:sz w:val="32"/>
          <w:szCs w:val="32"/>
          <w:lang w:val="en-US" w:eastAsia="zh-CN"/>
        </w:rPr>
        <w:t>4.全与后勤保障方面</w:t>
      </w:r>
      <w:bookmarkEnd w:id="8"/>
    </w:p>
    <w:p w14:paraId="5A9D9BD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（1）完善安全制度与管理：健全校园安全管理制度，落实安全责任，加强校园安全巡逻，定期检查设施设备，及时消除安全隐患。</w:t>
      </w:r>
    </w:p>
    <w:p w14:paraId="280DCC4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（2）加强安全教育与演练：开展安全知识教育课程，涵盖交通安全、消防安全等内容，每学期至少组织一次应急演练，提高师生安全意识和应急能力。</w:t>
      </w:r>
    </w:p>
    <w:p w14:paraId="77FBA54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（3）改善后勤服务：加强食堂管理，确保饮食安全和营养均衡；做好宿舍管理，为寄宿生提供良好的生活环境；及时维修维护校园设施，保障教学工作顺利进行。</w:t>
      </w:r>
    </w:p>
    <w:p w14:paraId="7128F42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仿宋_GB2312" w:hAnsi="仿宋_GB2312" w:eastAsia="仿宋_GB2312" w:cs="仿宋_GB2312"/>
          <w:sz w:val="32"/>
          <w:szCs w:val="32"/>
          <w:lang w:val="en-US" w:eastAsia="zh-CN"/>
        </w:rPr>
      </w:pPr>
      <w:bookmarkStart w:id="9" w:name="_Toc1733367418"/>
      <w:r>
        <w:rPr>
          <w:rFonts w:hint="eastAsia" w:ascii="仿宋_GB2312" w:hAnsi="仿宋_GB2312" w:eastAsia="仿宋_GB2312" w:cs="仿宋_GB2312"/>
          <w:sz w:val="32"/>
          <w:szCs w:val="32"/>
          <w:lang w:val="en-US" w:eastAsia="zh-CN"/>
        </w:rPr>
        <w:t>5.家校合作方面</w:t>
      </w:r>
      <w:bookmarkEnd w:id="9"/>
    </w:p>
    <w:p w14:paraId="1F3F2D6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（1）定期召开家长会：每学期至少召开两次家长会，向家长汇报学生学习情况，听取家长意见和建议，共同促进学生成长。</w:t>
      </w:r>
    </w:p>
    <w:p w14:paraId="4AF8246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（2）开展家长开放日活动，邀请家长走进课堂，了解教学过程，增进家长对学校教育的理解与支持。</w:t>
      </w:r>
    </w:p>
    <w:p w14:paraId="7BB89F5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（3）建立沟通平台：利用微信、短信等方式建立家校沟通平台，及时向家长反馈学生在校表现和学校工作动态，加强家校联系。</w:t>
      </w:r>
    </w:p>
    <w:p w14:paraId="5F333F4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14:paraId="07DD333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仿宋_GB2312" w:hAnsi="仿宋_GB2312" w:eastAsia="仿宋_GB2312" w:cs="仿宋_GB2312"/>
          <w:sz w:val="32"/>
          <w:szCs w:val="32"/>
          <w:lang w:val="en-US" w:eastAsia="zh-CN"/>
        </w:rPr>
      </w:pPr>
      <w:bookmarkStart w:id="10" w:name="_Toc1857179995"/>
      <w:r>
        <w:rPr>
          <w:rFonts w:hint="eastAsia" w:ascii="仿宋_GB2312" w:hAnsi="仿宋_GB2312" w:eastAsia="仿宋_GB2312" w:cs="仿宋_GB2312"/>
          <w:sz w:val="32"/>
          <w:szCs w:val="32"/>
          <w:lang w:val="en-US" w:eastAsia="zh-CN"/>
        </w:rPr>
        <w:t>6</w:t>
      </w:r>
      <w:r>
        <w:t>.</w:t>
      </w:r>
      <w:r>
        <w:rPr>
          <w:rFonts w:hint="eastAsia" w:ascii="仿宋_GB2312" w:hAnsi="仿宋_GB2312" w:eastAsia="仿宋_GB2312" w:cs="仿宋_GB2312"/>
          <w:sz w:val="32"/>
          <w:szCs w:val="32"/>
          <w:lang w:val="en-US" w:eastAsia="zh-CN"/>
        </w:rPr>
        <w:t>特殊学生关爱方面</w:t>
      </w:r>
      <w:bookmarkEnd w:id="10"/>
    </w:p>
    <w:p w14:paraId="22EAD2D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（1）建立档案：对留守儿童、贫困家庭学生、学困生等特殊学生群体进行全面排查，建立详细档案，了解他们的学习、生活和心理状况。</w:t>
      </w:r>
    </w:p>
    <w:p w14:paraId="707A89F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（2）实施帮扶计划：针对特殊学生的不同需求，制定个性化帮扶计划，安排教师进行一对一帮扶，从学习辅导、生活关心、心理疏导等方面给予帮助。</w:t>
      </w:r>
    </w:p>
    <w:p w14:paraId="616D82B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（3）关注心理健康：配备心理辅导教师，设立心理咨询室，定期开展心理健康教育活动，及时发现和解决特殊学生的心理问题。</w:t>
      </w:r>
    </w:p>
    <w:p w14:paraId="68E4DCD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仿宋_GB2312" w:hAnsi="仿宋_GB2312" w:eastAsia="仿宋_GB2312" w:cs="仿宋_GB2312"/>
          <w:sz w:val="32"/>
          <w:szCs w:val="32"/>
          <w:lang w:val="en-US" w:eastAsia="zh-CN"/>
        </w:rPr>
      </w:pPr>
      <w:bookmarkStart w:id="11" w:name="_Toc1454792687"/>
      <w:r>
        <w:rPr>
          <w:rFonts w:hint="eastAsia" w:ascii="仿宋_GB2312" w:hAnsi="仿宋_GB2312" w:eastAsia="仿宋_GB2312" w:cs="仿宋_GB2312"/>
          <w:sz w:val="32"/>
          <w:szCs w:val="32"/>
          <w:lang w:val="en-US" w:eastAsia="zh-CN"/>
        </w:rPr>
        <w:t>7</w:t>
      </w:r>
      <w:r>
        <w:t>.</w:t>
      </w:r>
      <w:r>
        <w:rPr>
          <w:rFonts w:hint="eastAsia" w:ascii="仿宋_GB2312" w:hAnsi="仿宋_GB2312" w:eastAsia="仿宋_GB2312" w:cs="仿宋_GB2312"/>
          <w:sz w:val="32"/>
          <w:szCs w:val="32"/>
          <w:lang w:val="en-US" w:eastAsia="zh-CN"/>
        </w:rPr>
        <w:t>学校发展规划方面</w:t>
      </w:r>
      <w:bookmarkEnd w:id="11"/>
    </w:p>
    <w:p w14:paraId="1066ED4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（1）制定发展规划：结合学校实际和当地教育发展需求，制定科学合理的学校三年或五年发展规划，明确发展目标和方向。</w:t>
      </w:r>
    </w:p>
    <w:p w14:paraId="183F8EF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（2）加强硬件建设：积极争取上级资金支持，改善学校办学条件，如建设新的教学楼、实验室、操场等，提升学校硬件水平。</w:t>
      </w:r>
    </w:p>
    <w:p w14:paraId="2242A60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（3）打造学校特色：挖掘农村学校的优势和特色资源，如民间艺术、农业科技等，打造具有地域特色的学校品牌。</w:t>
      </w:r>
    </w:p>
    <w:p w14:paraId="7A67349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仿宋_GB2312" w:hAnsi="仿宋_GB2312" w:eastAsia="仿宋_GB2312" w:cs="仿宋_GB2312"/>
          <w:sz w:val="32"/>
          <w:szCs w:val="32"/>
          <w:lang w:val="en-US" w:eastAsia="zh-CN"/>
        </w:rPr>
      </w:pPr>
      <w:bookmarkStart w:id="12" w:name="_Toc1232927274"/>
      <w:r>
        <w:rPr>
          <w:rFonts w:hint="eastAsia" w:ascii="仿宋_GB2312" w:hAnsi="仿宋_GB2312" w:eastAsia="仿宋_GB2312" w:cs="仿宋_GB2312"/>
          <w:sz w:val="32"/>
          <w:szCs w:val="32"/>
          <w:lang w:val="en-US" w:eastAsia="zh-CN"/>
        </w:rPr>
        <w:t>8.</w:t>
      </w:r>
      <w:r>
        <w:commentReference w:id="1"/>
      </w:r>
      <w:r>
        <w:rPr>
          <w:rFonts w:hint="eastAsia" w:ascii="仿宋_GB2312" w:hAnsi="仿宋_GB2312" w:eastAsia="仿宋_GB2312" w:cs="仿宋_GB2312"/>
          <w:sz w:val="32"/>
          <w:szCs w:val="32"/>
          <w:lang w:val="en-US" w:eastAsia="zh-CN"/>
        </w:rPr>
        <w:t>努力完成学前教育普及普惠创建工作。</w:t>
      </w:r>
      <w:bookmarkEnd w:id="12"/>
    </w:p>
    <w:p w14:paraId="75420DF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3" w:name="_Toc812420236"/>
      <w:r>
        <w:rPr>
          <w:rFonts w:hint="eastAsia" w:ascii="黑体" w:hAnsi="黑体" w:eastAsia="黑体" w:cs="黑体"/>
          <w:sz w:val="32"/>
          <w:szCs w:val="32"/>
          <w:lang w:val="en-US" w:eastAsia="zh-CN"/>
        </w:rPr>
        <w:t>二、部门预算单位构成</w:t>
      </w:r>
      <w:bookmarkEnd w:id="13"/>
    </w:p>
    <w:p w14:paraId="081635E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我单位为广元市昭化区教育局的下属二级预算单位，属于公益一类事业单位，无下属机构。</w:t>
      </w:r>
    </w:p>
    <w:p w14:paraId="7D4C701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4" w:name="_Toc704032345"/>
      <w:r>
        <w:rPr>
          <w:rFonts w:hint="eastAsia" w:ascii="黑体" w:hAnsi="黑体" w:eastAsia="黑体" w:cs="黑体"/>
          <w:sz w:val="32"/>
          <w:szCs w:val="32"/>
          <w:lang w:val="en-US" w:eastAsia="zh-CN"/>
        </w:rPr>
        <w:t>三、收支预算情况说明</w:t>
      </w:r>
      <w:bookmarkEnd w:id="14"/>
    </w:p>
    <w:p w14:paraId="23CD0AC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综合预算的原则，清水镇小学所有收入和支出均纳入部门预算管理。收入包括：一般公共预算拨款收入；支出包括：一般公共服务支出、教育支出。清水镇小学2025年收支预算总额637.32万元，比2024年收支预算减少25.9万元，主要原因基本支出减少，预算收入减少。</w:t>
      </w:r>
    </w:p>
    <w:p w14:paraId="0C4E709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403947170"/>
      <w:r>
        <w:rPr>
          <w:rFonts w:hint="eastAsia" w:ascii="楷体_GB2312" w:hAnsi="楷体_GB2312" w:eastAsia="楷体_GB2312" w:cs="楷体_GB2312"/>
          <w:sz w:val="32"/>
          <w:szCs w:val="32"/>
          <w:lang w:val="en-US" w:eastAsia="zh-CN"/>
        </w:rPr>
        <w:t>（一）收入预算情况</w:t>
      </w:r>
      <w:bookmarkEnd w:id="15"/>
    </w:p>
    <w:p w14:paraId="07E805A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清水镇小学单位2025年收入预算637.32万元，其中：一般公共预算拨款收入637.32万元，占100%；。</w:t>
      </w:r>
    </w:p>
    <w:p w14:paraId="5A59605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6" w:name="_Toc1819294461"/>
      <w:r>
        <w:rPr>
          <w:rFonts w:hint="eastAsia" w:ascii="楷体_GB2312" w:hAnsi="楷体_GB2312" w:eastAsia="楷体_GB2312" w:cs="楷体_GB2312"/>
          <w:sz w:val="32"/>
          <w:szCs w:val="32"/>
          <w:lang w:val="en-US" w:eastAsia="zh-CN"/>
        </w:rPr>
        <w:t>（二）支出预算情况</w:t>
      </w:r>
      <w:bookmarkEnd w:id="16"/>
    </w:p>
    <w:p w14:paraId="3746B68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清水镇小学2025年支出预算637.32万元，其中：基本支出591.54万元，占92.81%；项目支出41.2万元，占7.19%</w:t>
      </w:r>
      <w:r>
        <w:rPr>
          <w:rFonts w:hint="eastAsia" w:ascii="仿宋_GB2312" w:hAnsi="仿宋_GB2312" w:eastAsia="仿宋_GB2312" w:cs="仿宋_GB2312"/>
          <w:b w:val="0"/>
          <w:bCs w:val="0"/>
          <w:sz w:val="32"/>
          <w:szCs w:val="32"/>
          <w:lang w:val="en-US" w:eastAsia="zh-CN"/>
        </w:rPr>
        <w:t>。</w:t>
      </w:r>
    </w:p>
    <w:p w14:paraId="6919827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7" w:name="_Toc761000966"/>
      <w:r>
        <w:rPr>
          <w:rFonts w:hint="eastAsia" w:ascii="黑体" w:hAnsi="黑体" w:eastAsia="黑体" w:cs="黑体"/>
          <w:sz w:val="32"/>
          <w:szCs w:val="32"/>
          <w:lang w:val="en-US" w:eastAsia="zh-CN"/>
        </w:rPr>
        <w:t>四、财政拨款收支预算情况说明</w:t>
      </w:r>
      <w:bookmarkEnd w:id="17"/>
    </w:p>
    <w:p w14:paraId="1172AD6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清水镇小学2025年财政拨款收支预算总数637.32万元，比2024年财政拨款收支预算总数减少25.9万元，主要原因是基本支出减少，预算收入减少。</w:t>
      </w:r>
    </w:p>
    <w:p w14:paraId="329065A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收入包括：本年一般公共预算拨款收入637.32万元；支出包括：教育支出637.32万元。</w:t>
      </w:r>
    </w:p>
    <w:p w14:paraId="239EA2F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8" w:name="_Toc737445497"/>
      <w:r>
        <w:rPr>
          <w:rFonts w:hint="eastAsia" w:ascii="黑体" w:hAnsi="黑体" w:eastAsia="黑体" w:cs="黑体"/>
          <w:sz w:val="32"/>
          <w:szCs w:val="32"/>
          <w:lang w:val="en-US" w:eastAsia="zh-CN"/>
        </w:rPr>
        <w:t>五、一般公共预算当年拨款情况说明</w:t>
      </w:r>
      <w:bookmarkEnd w:id="18"/>
    </w:p>
    <w:p w14:paraId="79EE399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9" w:name="_Toc862342787"/>
      <w:r>
        <w:rPr>
          <w:rFonts w:hint="eastAsia" w:ascii="楷体_GB2312" w:hAnsi="楷体_GB2312" w:eastAsia="楷体_GB2312" w:cs="楷体_GB2312"/>
          <w:sz w:val="32"/>
          <w:szCs w:val="32"/>
          <w:lang w:val="en-US" w:eastAsia="zh-CN"/>
        </w:rPr>
        <w:t>（一）一般公共预算当年拨款规模变化情况</w:t>
      </w:r>
      <w:bookmarkEnd w:id="19"/>
    </w:p>
    <w:p w14:paraId="2CB51FB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清水镇小学2025年一般公共预算当年拨款637.32万元，比2024年预算数减少25.9万元，主要原因是基本支出减少，预算收入减少。</w:t>
      </w:r>
    </w:p>
    <w:p w14:paraId="4E628A9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0" w:name="_Toc1120365853"/>
      <w:r>
        <w:rPr>
          <w:rFonts w:hint="eastAsia" w:ascii="楷体_GB2312" w:hAnsi="楷体_GB2312" w:eastAsia="楷体_GB2312" w:cs="楷体_GB2312"/>
          <w:sz w:val="32"/>
          <w:szCs w:val="32"/>
          <w:lang w:val="en-US" w:eastAsia="zh-CN"/>
        </w:rPr>
        <w:t>（二）一般公共预算当年拨款结构情况</w:t>
      </w:r>
      <w:bookmarkEnd w:id="20"/>
    </w:p>
    <w:p w14:paraId="3665D86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一般公共服务支出637.32万元，占比100%；教育支出637.32万元，占比100%。</w:t>
      </w:r>
    </w:p>
    <w:p w14:paraId="37CC17A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1" w:name="_Toc1079752701"/>
      <w:r>
        <w:rPr>
          <w:rFonts w:hint="eastAsia" w:ascii="楷体_GB2312" w:hAnsi="楷体_GB2312" w:eastAsia="楷体_GB2312" w:cs="楷体_GB2312"/>
          <w:sz w:val="32"/>
          <w:szCs w:val="32"/>
          <w:lang w:val="en-US" w:eastAsia="zh-CN"/>
        </w:rPr>
        <w:t>（三）一般公共预算当年拨款具体使用情况</w:t>
      </w:r>
      <w:bookmarkEnd w:id="21"/>
    </w:p>
    <w:p w14:paraId="6E1208E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en-US" w:eastAsia="zh-CN"/>
        </w:rPr>
        <w:t>.教育支出（类）普通教育（款）小学教育（项）2025年预算数为</w:t>
      </w:r>
      <w:r>
        <w:rPr>
          <w:rFonts w:hint="eastAsia" w:ascii="仿宋_GB2312" w:hAnsi="仿宋_GB2312" w:eastAsia="仿宋_GB2312" w:cs="仿宋_GB2312"/>
          <w:sz w:val="32"/>
          <w:szCs w:val="32"/>
          <w:lang w:val="en-US" w:eastAsia="zh-CN"/>
        </w:rPr>
        <w:t>637.32</w:t>
      </w:r>
      <w:r>
        <w:rPr>
          <w:rFonts w:hint="default" w:ascii="仿宋_GB2312" w:hAnsi="仿宋_GB2312" w:eastAsia="仿宋_GB2312" w:cs="仿宋_GB2312"/>
          <w:sz w:val="32"/>
          <w:szCs w:val="32"/>
          <w:lang w:val="en-US" w:eastAsia="zh-CN"/>
        </w:rPr>
        <w:t>万元，主要用于：小学教育机构的基本支出，包括基本工资、津贴补贴、基础绩效奖等人员经费以及机构运行所需的办公费、印刷费、维修（护）费、工会经费等运行补助经费。</w:t>
      </w:r>
    </w:p>
    <w:p w14:paraId="4423590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en-US" w:eastAsia="zh-CN"/>
        </w:rPr>
        <w:t>教育支出（类）普通教育（款）学前教育（项）2025年预算数为</w:t>
      </w:r>
      <w:r>
        <w:rPr>
          <w:rFonts w:hint="eastAsia" w:ascii="仿宋_GB2312" w:hAnsi="仿宋_GB2312" w:eastAsia="仿宋_GB2312" w:cs="仿宋_GB2312"/>
          <w:sz w:val="32"/>
          <w:szCs w:val="32"/>
          <w:lang w:val="en-US" w:eastAsia="zh-CN"/>
        </w:rPr>
        <w:t>4.68</w:t>
      </w:r>
      <w:r>
        <w:rPr>
          <w:rFonts w:hint="default" w:ascii="仿宋_GB2312" w:hAnsi="仿宋_GB2312" w:eastAsia="仿宋_GB2312" w:cs="仿宋_GB2312"/>
          <w:sz w:val="32"/>
          <w:szCs w:val="32"/>
          <w:lang w:val="en-US" w:eastAsia="zh-CN"/>
        </w:rPr>
        <w:t>万元，主要用于：学前教育机构的基本支出，包括基本工资、津贴补贴、基础绩效奖等人员经费以及机构运行所需的办公费、印刷费、维修（护）费、工会经费等运行补助经费。</w:t>
      </w:r>
    </w:p>
    <w:p w14:paraId="32E628F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2" w:name="_Toc2092938268"/>
      <w:r>
        <w:rPr>
          <w:rFonts w:hint="eastAsia" w:ascii="黑体" w:hAnsi="黑体" w:eastAsia="黑体" w:cs="黑体"/>
          <w:sz w:val="32"/>
          <w:szCs w:val="32"/>
          <w:lang w:val="en-US" w:eastAsia="zh-CN"/>
        </w:rPr>
        <w:t>六、一般公共预算基本支出情况说明</w:t>
      </w:r>
      <w:bookmarkEnd w:id="22"/>
    </w:p>
    <w:p w14:paraId="4927E4F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清水镇小学2025年一般公共预算基本支出591.54万元，其中：</w:t>
      </w:r>
    </w:p>
    <w:p w14:paraId="7836E97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人员经费591.54万元，主要包括：基本工资、津贴补贴、奖金、  绩效工资、社会保险缴费、住房公积金、生活补助、奖励金等支出。</w:t>
      </w:r>
    </w:p>
    <w:p w14:paraId="3225B94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3" w:name="_Toc1618213571"/>
      <w:r>
        <w:rPr>
          <w:rFonts w:hint="eastAsia" w:ascii="黑体" w:hAnsi="黑体" w:eastAsia="黑体" w:cs="黑体"/>
          <w:sz w:val="32"/>
          <w:szCs w:val="32"/>
          <w:lang w:val="en-US" w:eastAsia="zh-CN"/>
        </w:rPr>
        <w:t>七、“三公”经费财政拨款预算安排情况说明</w:t>
      </w:r>
      <w:bookmarkEnd w:id="23"/>
    </w:p>
    <w:p w14:paraId="50805FF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清水镇小学2025年“三公”经费财政拨款预算数为0万元，其中：公务接待费0万元，公务用车购置及运行维护费0万元，因公出国（境）经费0万元。</w:t>
      </w:r>
    </w:p>
    <w:p w14:paraId="1175A23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4" w:name="_Toc905479922"/>
      <w:r>
        <w:rPr>
          <w:rFonts w:hint="eastAsia" w:ascii="楷体_GB2312" w:hAnsi="楷体_GB2312" w:eastAsia="楷体_GB2312" w:cs="楷体_GB2312"/>
          <w:sz w:val="32"/>
          <w:szCs w:val="32"/>
          <w:lang w:val="en-US" w:eastAsia="zh-CN"/>
        </w:rPr>
        <w:t>（一）公务接待费</w:t>
      </w:r>
      <w:bookmarkEnd w:id="24"/>
    </w:p>
    <w:p w14:paraId="7979231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公务接待费与2024年预算相比持平。</w:t>
      </w:r>
    </w:p>
    <w:p w14:paraId="23E54BF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2025年公务接待费计划用于执行接待考察调研、检查指导等公务活动开支的交通费、住宿费、用餐费等。</w:t>
      </w:r>
    </w:p>
    <w:p w14:paraId="6655D9E4">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5" w:name="_Toc2067074526"/>
      <w:r>
        <w:rPr>
          <w:rFonts w:hint="eastAsia" w:ascii="楷体_GB2312" w:hAnsi="楷体_GB2312" w:eastAsia="楷体_GB2312" w:cs="楷体_GB2312"/>
          <w:sz w:val="32"/>
          <w:szCs w:val="32"/>
          <w:lang w:val="en-US" w:eastAsia="zh-CN"/>
        </w:rPr>
        <w:t>公务用车购置及运行维护费</w:t>
      </w:r>
      <w:bookmarkEnd w:id="25"/>
    </w:p>
    <w:p w14:paraId="4C761196">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公务用车购置及运行维护费与2024年预算相比持平。</w:t>
      </w:r>
    </w:p>
    <w:p w14:paraId="1215DBF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单位现有公务用车0辆。</w:t>
      </w:r>
    </w:p>
    <w:p w14:paraId="3A39E23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2025年未安排公务用车购置费</w:t>
      </w:r>
    </w:p>
    <w:p w14:paraId="5F84587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2025年安排公务用车运行维护费0万元。</w:t>
      </w:r>
    </w:p>
    <w:p w14:paraId="7F9A950D">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26" w:name="_Toc493721406"/>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26"/>
    </w:p>
    <w:p w14:paraId="3BB5366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因公出国（境）经费与2024年预算相比持平。</w:t>
      </w:r>
    </w:p>
    <w:p w14:paraId="0B154F9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27" w:name="_Toc444935459"/>
      <w:r>
        <w:rPr>
          <w:rFonts w:hint="eastAsia" w:ascii="黑体" w:hAnsi="黑体" w:eastAsia="黑体" w:cs="黑体"/>
          <w:sz w:val="32"/>
          <w:szCs w:val="32"/>
          <w:lang w:val="en-US" w:eastAsia="zh-CN"/>
        </w:rPr>
        <w:t>八、政府性基金预算支出情况说明</w:t>
      </w:r>
      <w:bookmarkEnd w:id="27"/>
    </w:p>
    <w:p w14:paraId="2BC0B07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清水镇小学2025年无政府性基金预算拨款安排的支出。</w:t>
      </w:r>
    </w:p>
    <w:p w14:paraId="70C1C1F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28" w:name="_Toc1860822953"/>
      <w:r>
        <w:rPr>
          <w:rFonts w:hint="eastAsia" w:ascii="黑体" w:hAnsi="黑体" w:eastAsia="黑体" w:cs="黑体"/>
          <w:sz w:val="32"/>
          <w:szCs w:val="32"/>
          <w:lang w:val="en-US" w:eastAsia="zh-CN"/>
        </w:rPr>
        <w:t>九、国有资本经营预算支出情况说明</w:t>
      </w:r>
      <w:bookmarkEnd w:id="28"/>
    </w:p>
    <w:p w14:paraId="44C1C08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清水镇小学2025年无国有资本经营预算拨款安排的支出。</w:t>
      </w:r>
    </w:p>
    <w:p w14:paraId="17897B8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9" w:name="_Toc884821081"/>
      <w:r>
        <w:rPr>
          <w:rFonts w:hint="eastAsia" w:ascii="黑体" w:hAnsi="黑体" w:eastAsia="黑体" w:cs="黑体"/>
          <w:sz w:val="32"/>
          <w:szCs w:val="32"/>
          <w:lang w:val="en-US" w:eastAsia="zh-CN"/>
        </w:rPr>
        <w:t>十、其他重要事项的情况说明</w:t>
      </w:r>
      <w:bookmarkEnd w:id="29"/>
    </w:p>
    <w:p w14:paraId="5C45211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0" w:name="_Toc1512372791"/>
      <w:r>
        <w:rPr>
          <w:rFonts w:hint="eastAsia" w:ascii="楷体_GB2312" w:hAnsi="楷体_GB2312" w:eastAsia="楷体_GB2312" w:cs="楷体_GB2312"/>
          <w:sz w:val="32"/>
          <w:szCs w:val="32"/>
          <w:lang w:val="en-US" w:eastAsia="zh-CN"/>
        </w:rPr>
        <w:t>（一）机关运行经费</w:t>
      </w:r>
      <w:bookmarkEnd w:id="30"/>
    </w:p>
    <w:p w14:paraId="5DEA38D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2025年，清水镇小学属公益一类事业单位</w:t>
      </w:r>
      <w:r>
        <w:rPr>
          <w:rFonts w:hint="eastAsia"/>
          <w:lang w:eastAsia="zh-CN"/>
        </w:rPr>
        <w:t>，</w:t>
      </w:r>
      <w:r>
        <w:rPr>
          <w:rFonts w:hint="eastAsia" w:ascii="仿宋_GB2312" w:hAnsi="仿宋_GB2312" w:eastAsia="仿宋_GB2312" w:cs="仿宋_GB2312"/>
          <w:sz w:val="32"/>
          <w:szCs w:val="32"/>
          <w:lang w:val="en-US" w:eastAsia="zh-CN"/>
        </w:rPr>
        <w:t>无机关运行经费。</w:t>
      </w:r>
    </w:p>
    <w:p w14:paraId="44E5CAF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1" w:name="_Toc949858378"/>
      <w:r>
        <w:rPr>
          <w:rFonts w:hint="eastAsia" w:ascii="楷体_GB2312" w:hAnsi="楷体_GB2312" w:eastAsia="楷体_GB2312" w:cs="楷体_GB2312"/>
          <w:sz w:val="32"/>
          <w:szCs w:val="32"/>
          <w:lang w:val="en-US" w:eastAsia="zh-CN"/>
        </w:rPr>
        <w:t>（二）政府采购情况</w:t>
      </w:r>
      <w:bookmarkEnd w:id="31"/>
    </w:p>
    <w:p w14:paraId="5682017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2025年，清水镇小学单位安排政府采购预算0万元。</w:t>
      </w:r>
    </w:p>
    <w:p w14:paraId="597861C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2" w:name="_Toc1566796252"/>
      <w:r>
        <w:rPr>
          <w:rFonts w:hint="eastAsia" w:ascii="楷体_GB2312" w:hAnsi="楷体_GB2312" w:eastAsia="楷体_GB2312" w:cs="楷体_GB2312"/>
          <w:sz w:val="32"/>
          <w:szCs w:val="32"/>
          <w:lang w:val="en-US" w:eastAsia="zh-CN"/>
        </w:rPr>
        <w:t>（三）国有资产占有使用情况</w:t>
      </w:r>
      <w:bookmarkEnd w:id="32"/>
    </w:p>
    <w:p w14:paraId="354F28F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截至2024年底，清水镇小学共有车辆0辆，单位无价值200万元以上的大型设备。</w:t>
      </w:r>
    </w:p>
    <w:p w14:paraId="1E5A146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2025年部门预算未安排车辆购置经费及单位价值200万元以上大型设备经费。</w:t>
      </w:r>
    </w:p>
    <w:p w14:paraId="60ACF88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33" w:name="_Toc1752533332"/>
      <w:r>
        <w:rPr>
          <w:rFonts w:hint="eastAsia" w:ascii="楷体_GB2312" w:hAnsi="楷体_GB2312" w:eastAsia="楷体_GB2312" w:cs="楷体_GB2312"/>
          <w:sz w:val="32"/>
          <w:szCs w:val="32"/>
          <w:lang w:val="en-US" w:eastAsia="zh-CN"/>
        </w:rPr>
        <w:t>（四）绩效目标设置情况</w:t>
      </w:r>
      <w:bookmarkEnd w:id="33"/>
    </w:p>
    <w:p w14:paraId="211194F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清水镇小学开展绩效目标管理的项目15个，涉及预算637.32万元。其中：人员类项目11个，涉及预算591.54万元；运转类项目4个，涉及预算45.88万元；特定目标类项目0个，涉及预算0万元。因部分项目内容涉密，不予公开。</w:t>
      </w:r>
    </w:p>
    <w:p w14:paraId="0A08B16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34" w:name="_Toc797017721"/>
      <w:r>
        <w:rPr>
          <w:rFonts w:hint="eastAsia" w:ascii="黑体" w:hAnsi="黑体" w:eastAsia="黑体" w:cs="黑体"/>
          <w:sz w:val="32"/>
          <w:szCs w:val="32"/>
          <w:lang w:val="en-US" w:eastAsia="zh-CN"/>
        </w:rPr>
        <w:t>十一、名词解释</w:t>
      </w:r>
      <w:bookmarkEnd w:id="34"/>
    </w:p>
    <w:p w14:paraId="2F8F40E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eastAsia" w:ascii="仿宋_GB2312" w:hAnsi="仿宋_GB2312" w:eastAsia="仿宋_GB2312" w:cs="仿宋_GB2312"/>
          <w:sz w:val="32"/>
          <w:szCs w:val="32"/>
          <w:lang w:val="en-US" w:eastAsia="zh-CN"/>
        </w:rPr>
        <w:t>指区级财政当年安排的财政预算收入。按现行管理制度，部门预算中反映的财政拨款包括一般公共预算拨款和政府性基金预算拨款。</w:t>
      </w:r>
    </w:p>
    <w:p w14:paraId="757B591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（二）事业收入：</w:t>
      </w:r>
      <w:r>
        <w:rPr>
          <w:rFonts w:hint="eastAsia" w:ascii="仿宋_GB2312" w:hAnsi="仿宋_GB2312" w:eastAsia="仿宋_GB2312" w:cs="仿宋_GB2312"/>
          <w:sz w:val="32"/>
          <w:szCs w:val="32"/>
          <w:lang w:val="en-US" w:eastAsia="zh-CN"/>
        </w:rPr>
        <w:t>指事业单位开展专业业务活动及辅助活动所取得的收入。主要为学校根据国家有关部门批准的项目和标准收取的学费、住宿费等。</w:t>
      </w:r>
    </w:p>
    <w:p w14:paraId="1EE784A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（三）其他收入：</w:t>
      </w:r>
      <w:r>
        <w:rPr>
          <w:rFonts w:hint="eastAsia" w:ascii="仿宋_GB2312" w:hAnsi="仿宋_GB2312" w:eastAsia="仿宋_GB2312" w:cs="仿宋_GB2312"/>
          <w:sz w:val="32"/>
          <w:szCs w:val="32"/>
          <w:lang w:val="en-US" w:eastAsia="zh-CN"/>
        </w:rPr>
        <w:t>指除上述“一般公共预算拨款收入和事业收入”等以外的收入，如银行存款利息收入等。</w:t>
      </w:r>
    </w:p>
    <w:p w14:paraId="39C0EA5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（四）上年结转：</w:t>
      </w:r>
      <w:r>
        <w:rPr>
          <w:rFonts w:hint="eastAsia" w:ascii="仿宋_GB2312" w:hAnsi="仿宋_GB2312" w:eastAsia="仿宋_GB2312" w:cs="仿宋_GB2312"/>
          <w:sz w:val="32"/>
          <w:szCs w:val="32"/>
          <w:lang w:val="en-US" w:eastAsia="zh-CN"/>
        </w:rPr>
        <w:t>指以前年度尚未完成，结转到本年仍按原规定用途继续使用的资金。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（五）</w:t>
      </w:r>
      <w:r>
        <w:rPr>
          <w:rFonts w:hint="eastAsia" w:ascii="楷体_GB2312" w:hAnsi="楷体_GB2312" w:eastAsia="楷体_GB2312" w:cs="楷体_GB2312"/>
          <w:sz w:val="32"/>
          <w:szCs w:val="32"/>
          <w:lang w:val="en-US" w:eastAsia="zh-CN"/>
        </w:rPr>
        <w:t>教育支出（类）普通教育（款）学前教育（项）：</w:t>
      </w:r>
      <w:r>
        <w:rPr>
          <w:rFonts w:hint="eastAsia" w:ascii="仿宋_GB2312" w:hAnsi="仿宋_GB2312" w:eastAsia="仿宋_GB2312" w:cs="仿宋_GB2312"/>
          <w:sz w:val="32"/>
          <w:szCs w:val="32"/>
          <w:lang w:val="en-US" w:eastAsia="zh-CN"/>
        </w:rPr>
        <w:t>指学前教育发展的基本支出，包括基本工资、津贴补贴等人员经费以及办公费、印刷费、水电费等日常公用经费。</w:t>
      </w:r>
    </w:p>
    <w:p w14:paraId="064EC0D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（六）教育支出（类）普通教育（款）小学教育（项）：</w:t>
      </w:r>
      <w:r>
        <w:rPr>
          <w:rFonts w:hint="eastAsia" w:ascii="仿宋_GB2312" w:hAnsi="仿宋_GB2312" w:eastAsia="仿宋_GB2312" w:cs="仿宋_GB2312"/>
          <w:sz w:val="32"/>
          <w:szCs w:val="32"/>
          <w:lang w:val="en-US" w:eastAsia="zh-CN"/>
        </w:rPr>
        <w:t>指全区小学教育发展的基本支出，包括基本工资、津贴补贴等人员经费以及办公费、印刷费、水电费等日常公用经费。</w:t>
      </w:r>
      <w:r>
        <w:rPr>
          <w:rFonts w:hint="eastAsia" w:ascii="仿宋_GB2312" w:hAnsi="仿宋_GB2312" w:eastAsia="仿宋_GB2312" w:cs="仿宋_GB2312"/>
          <w:sz w:val="32"/>
          <w:szCs w:val="32"/>
          <w:lang w:val="en-US" w:eastAsia="zh-CN"/>
        </w:rPr>
        <w:t>　　</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（七）社会保障和就业（类）行政事业单位养老支出（款）机关事业单位基本养老保险缴费支出（项）：</w:t>
      </w:r>
      <w:r>
        <w:rPr>
          <w:rFonts w:hint="eastAsia" w:ascii="仿宋_GB2312" w:hAnsi="仿宋_GB2312" w:eastAsia="仿宋_GB2312" w:cs="仿宋_GB2312"/>
          <w:sz w:val="32"/>
          <w:szCs w:val="32"/>
          <w:lang w:val="en-US" w:eastAsia="zh-CN"/>
        </w:rPr>
        <w:t>指部门实施养老保险制度由单位缴纳的养老保险等的支出。</w:t>
      </w:r>
    </w:p>
    <w:p w14:paraId="78E5EE8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（八）社会保障和就业（类）行政事业单位养老支出（款）机关事业单位职业年金缴费支出（项）：</w:t>
      </w:r>
      <w:r>
        <w:rPr>
          <w:rFonts w:hint="eastAsia" w:ascii="仿宋_GB2312" w:hAnsi="仿宋_GB2312" w:eastAsia="仿宋_GB2312" w:cs="仿宋_GB2312"/>
          <w:sz w:val="32"/>
          <w:szCs w:val="32"/>
          <w:lang w:val="en-US" w:eastAsia="zh-CN"/>
        </w:rPr>
        <w:t>指部门实施养老保险制度由单位缴纳的职业年金的支出。</w:t>
      </w:r>
    </w:p>
    <w:p w14:paraId="07CBAF9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（九）卫生健康（类）行政事业单位医疗（款）事业单位医疗（项）：</w:t>
      </w:r>
      <w:r>
        <w:rPr>
          <w:rFonts w:hint="eastAsia" w:ascii="仿宋_GB2312" w:hAnsi="仿宋_GB2312" w:eastAsia="仿宋_GB2312" w:cs="仿宋_GB2312"/>
          <w:sz w:val="32"/>
          <w:szCs w:val="32"/>
          <w:lang w:val="en-US" w:eastAsia="zh-CN"/>
        </w:rPr>
        <w:t>指事业单位用于单位应缴纳基本医疗保险支出。</w:t>
      </w:r>
    </w:p>
    <w:p w14:paraId="11FAB9F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（十）住房保障（类）住房改革支出（款）住房公积金（项）：</w:t>
      </w:r>
      <w:r>
        <w:rPr>
          <w:rFonts w:hint="eastAsia" w:ascii="仿宋_GB2312" w:hAnsi="仿宋_GB2312" w:eastAsia="仿宋_GB2312" w:cs="仿宋_GB2312"/>
          <w:sz w:val="32"/>
          <w:szCs w:val="32"/>
          <w:lang w:val="en-US" w:eastAsia="zh-CN"/>
        </w:rPr>
        <w:t>指按照《住房公积金管理条例》的规定，由单位及其在职职工缴存的长期住房储金。</w:t>
      </w:r>
    </w:p>
    <w:p w14:paraId="0B15040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（十一）基本支出：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p>
    <w:p w14:paraId="4512FFA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（十二）项目支出：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14:paraId="3B44FED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（十三）“三公”经费：</w:t>
      </w:r>
      <w:r>
        <w:rPr>
          <w:rFonts w:hint="eastAsia" w:ascii="仿宋_GB2312" w:hAnsi="仿宋_GB2312" w:eastAsia="仿宋_GB2312" w:cs="仿宋_GB2312"/>
          <w:sz w:val="32"/>
          <w:szCs w:val="32"/>
          <w:lang w:val="en-US" w:eastAsia="zh-CN"/>
        </w:rPr>
        <w:t>纳入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405DA89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p>
    <w:p w14:paraId="5973E21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仿宋_GB2312" w:hAnsi="仿宋_GB2312" w:eastAsia="仿宋_GB2312" w:cs="仿宋_GB2312"/>
          <w:sz w:val="32"/>
          <w:szCs w:val="32"/>
          <w:lang w:val="en-US" w:eastAsia="zh-CN"/>
        </w:rPr>
      </w:pPr>
      <w:bookmarkStart w:id="35" w:name="_Toc2138483014"/>
      <w:r>
        <w:rPr>
          <w:rFonts w:hint="eastAsia" w:ascii="仿宋_GB2312" w:hAnsi="仿宋_GB2312" w:eastAsia="仿宋_GB2312" w:cs="仿宋_GB2312"/>
          <w:sz w:val="32"/>
          <w:szCs w:val="32"/>
          <w:lang w:val="en-US" w:eastAsia="zh-CN"/>
        </w:rPr>
        <w:t>附件：1. 单位预算公开表</w:t>
      </w:r>
      <w:bookmarkEnd w:id="35"/>
    </w:p>
    <w:p w14:paraId="09AEBF9F">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left="1600" w:leftChars="0"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单位预算项目绩效目标表</w:t>
      </w:r>
    </w:p>
    <w:p w14:paraId="12D6A62C">
      <w:pPr>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val="en-US" w:eastAsia="zh-CN"/>
        </w:rPr>
      </w:pPr>
    </w:p>
    <w:sectPr>
      <w:footerReference r:id="rId5" w:type="default"/>
      <w:pgSz w:w="11906" w:h="16838"/>
      <w:pgMar w:top="2098" w:right="1474" w:bottom="1984" w:left="1587" w:header="720" w:footer="1559" w:gutter="0"/>
      <w:pgNumType w:fmt="decimal"/>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错敏词信息检测" w:date="2025-02-14T17:58:55Z" w:initials="UC">
    <w:p w14:paraId="00989682">
      <w:r>
        <w:rPr>
          <w:color w:val="FF0000"/>
        </w:rPr>
        <w:t>错敏词:</w:t>
      </w:r>
      <w:r>
        <w:t>非法干扰</w:t>
      </w:r>
    </w:p>
    <w:p w14:paraId="00989683">
      <w:r>
        <w:rPr>
          <w:color w:val="FF0000"/>
        </w:rPr>
        <w:t>推荐修改:</w:t>
      </w:r>
      <w:r>
        <w:t>非法干预</w:t>
      </w:r>
    </w:p>
    <w:p w14:paraId="00989684">
      <w:r>
        <w:rPr>
          <w:color w:val="FF0000"/>
        </w:rPr>
        <w:t>问题类型:</w:t>
      </w:r>
      <w:r>
        <w:t>错字/别字</w:t>
      </w:r>
    </w:p>
    <w:p w14:paraId="00989685">
      <w:r>
        <w:rPr>
          <w:color w:val="FF0000"/>
        </w:rPr>
        <w:t>严重程度:</w:t>
      </w:r>
      <w:r>
        <w:t>轻微</w:t>
      </w:r>
    </w:p>
  </w:comment>
  <w:comment w:id="1" w:author="错敏词信息检测" w:date="2025-02-14T17:58:55Z" w:initials="UC">
    <w:p w14:paraId="00989686">
      <w:r>
        <w:rPr>
          <w:color w:val="FF0000"/>
        </w:rPr>
        <w:t>错敏词:</w:t>
      </w:r>
      <w:r>
        <w:t>力完成</w:t>
      </w:r>
    </w:p>
    <w:p w14:paraId="00989687">
      <w:r>
        <w:rPr>
          <w:color w:val="FF0000"/>
        </w:rPr>
        <w:t>推荐修改:</w:t>
      </w:r>
      <w:r>
        <w:t>全力完成</w:t>
      </w:r>
    </w:p>
    <w:p w14:paraId="00989688">
      <w:r>
        <w:rPr>
          <w:color w:val="FF0000"/>
        </w:rPr>
        <w:t>问题类型:</w:t>
      </w:r>
      <w:r>
        <w:t>少字</w:t>
      </w:r>
    </w:p>
    <w:p w14:paraId="00989689">
      <w:r>
        <w:rPr>
          <w:color w:val="FF0000"/>
        </w:rPr>
        <w:t>严重程度:</w:t>
      </w:r>
      <w:r>
        <w:t>轻微</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0989685" w15:done="0"/>
  <w15:commentEx w15:paraId="00989689"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Vijaya"/>
    <w:panose1 w:val="020B0604020202020204"/>
    <w:charset w:val="00"/>
    <w:family w:val="auto"/>
    <w:pitch w:val="default"/>
    <w:sig w:usb0="00000000" w:usb1="00000000" w:usb2="00000000" w:usb3="00000000" w:csb0="6000009F" w:csb1="DFD70000"/>
  </w:font>
  <w:font w:name="DejaVu Sans">
    <w:altName w:val="Segoe Print"/>
    <w:panose1 w:val="020B0603030804020204"/>
    <w:charset w:val="00"/>
    <w:family w:val="auto"/>
    <w:pitch w:val="default"/>
    <w:sig w:usb0="00000000" w:usb1="00000000" w:usb2="0A246029" w:usb3="0400200C" w:csb0="600001FF" w:csb1="DFFF0000"/>
  </w:font>
  <w:font w:name="Noto Sans CJK SC Regular">
    <w:altName w:val="宋体"/>
    <w:panose1 w:val="020B0500000000000000"/>
    <w:charset w:val="86"/>
    <w:family w:val="auto"/>
    <w:pitch w:val="default"/>
    <w:sig w:usb0="00000000" w:usb1="00000000" w:usb2="00000016" w:usb3="00000000" w:csb0="602E0107" w:csb1="00000000"/>
  </w:font>
  <w:font w:name="CESI宋体-GB2312">
    <w:altName w:val="宋体"/>
    <w:panose1 w:val="02000500000000000000"/>
    <w:charset w:val="86"/>
    <w:family w:val="auto"/>
    <w:pitch w:val="default"/>
    <w:sig w:usb0="00000000" w:usb1="00000000" w:usb2="00000010" w:usb3="00000000" w:csb0="0004000F" w:csb1="00000000"/>
  </w:font>
  <w:font w:name="仿宋_GB2312">
    <w:altName w:val="仿宋"/>
    <w:panose1 w:val="02010609030101010101"/>
    <w:charset w:val="86"/>
    <w:family w:val="auto"/>
    <w:pitch w:val="default"/>
    <w:sig w:usb0="00000000" w:usb1="00000000" w:usb2="00000000" w:usb3="00000000" w:csb0="00040000" w:csb1="00000000"/>
  </w:font>
  <w:font w:name="方正仿宋_GBK">
    <w:altName w:val="微软雅黑"/>
    <w:panose1 w:val="02000000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方正楷体_GBK">
    <w:panose1 w:val="02000000000000000000"/>
    <w:charset w:val="86"/>
    <w:family w:val="auto"/>
    <w:pitch w:val="default"/>
    <w:sig w:usb0="800002BF" w:usb1="38CF7CFA" w:usb2="00000016"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Vijaya">
    <w:panose1 w:val="020B0604020202020204"/>
    <w:charset w:val="00"/>
    <w:family w:val="auto"/>
    <w:pitch w:val="default"/>
    <w:sig w:usb0="00100003" w:usb1="00000000" w:usb2="00000000" w:usb3="00000000" w:csb0="00000001" w:csb1="00000000"/>
  </w:font>
  <w:font w:name="方正小标宋简体">
    <w:panose1 w:val="02000000000000000000"/>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BCF87">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16"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08A52BC4">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anchor="t" upright="0">
                      <a:spAutoFit/>
                    </wps:bodyPr>
                  </wps:wsp>
                </a:graphicData>
              </a:graphic>
            </wp:anchor>
          </w:drawing>
        </mc:Choice>
        <mc:Fallback>
          <w:pict>
            <v:rect id="文本框 1"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Ll1uVLQAAAABQEAAA8AAAAAAAAAAQAgAAAAIgAAAGRycy9kb3ducmV2LnhtbFBL&#10;AQIUABQAAAAIAIdO4kCe15y8/gEAAAAEAAAOAAAAAAAAAAEAIAAAAB8BAABkcnMvZTJvRG9jLnht&#10;bFBLBQYAAAAABgAGAFkBAACPBQAAAAA=&#10;">
              <v:fill on="f" focussize="0,0"/>
              <v:stroke on="f"/>
              <v:imagedata o:title=""/>
              <o:lock v:ext="edit" aspectratio="f"/>
              <v:textbox inset="0mm,0mm,0mm,0mm" style="mso-fit-shape-to-text:t;">
                <w:txbxContent>
                  <w:p w14:paraId="08A52BC4">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C5FF3E"/>
    <w:multiLevelType w:val="singleLevel"/>
    <w:tmpl w:val="0FC5FF3E"/>
    <w:lvl w:ilvl="0" w:tentative="0">
      <w:start w:val="2"/>
      <w:numFmt w:val="chineseCounting"/>
      <w:suff w:val="nothing"/>
      <w:lvlText w:val="（%1）"/>
      <w:lvlJc w:val="left"/>
      <w:rPr>
        <w:rFonts w:hint="eastAsia"/>
      </w:rPr>
    </w:lvl>
  </w:abstractNum>
  <w:abstractNum w:abstractNumId="1">
    <w:nsid w:val="2B1F9874"/>
    <w:multiLevelType w:val="singleLevel"/>
    <w:tmpl w:val="2B1F9874"/>
    <w:lvl w:ilvl="0" w:tentative="0">
      <w:start w:val="2"/>
      <w:numFmt w:val="decimal"/>
      <w:lvlText w:val="%1."/>
      <w:lvlJc w:val="left"/>
      <w:pPr>
        <w:tabs>
          <w:tab w:val="left" w:pos="312"/>
        </w:tabs>
        <w:ind w:left="1600" w:leftChars="0" w:firstLine="0" w:firstLineChars="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错敏词信息检测">
    <w15:presenceInfo w15:providerId="None" w15:userId="错敏词信息检测"/>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wYmQ3N2FhZmE1Yjg0OGFkNTU5NTg3M2QzNjJlMDgifQ=="/>
  </w:docVars>
  <w:rsids>
    <w:rsidRoot w:val="00000000"/>
    <w:rsid w:val="109015B5"/>
  </w:rsids>
  <m:mathPr>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0">
    <w:name w:val="Default Paragraph Font"/>
    <w:autoRedefine/>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caption"/>
    <w:basedOn w:val="1"/>
    <w:autoRedefine/>
    <w:qFormat/>
    <w:uiPriority w:val="0"/>
    <w:pPr>
      <w:widowControl w:val="0"/>
      <w:suppressLineNumbers/>
      <w:suppressAutoHyphens/>
      <w:spacing w:before="120" w:after="120"/>
    </w:pPr>
    <w:rPr>
      <w:i/>
      <w:iCs/>
      <w:sz w:val="24"/>
      <w:szCs w:val="24"/>
    </w:rPr>
  </w:style>
  <w:style w:type="paragraph" w:styleId="3">
    <w:name w:val="Body Text"/>
    <w:basedOn w:val="1"/>
    <w:autoRedefine/>
    <w:qFormat/>
    <w:uiPriority w:val="0"/>
    <w:pPr>
      <w:spacing w:before="0" w:after="140" w:line="276" w:lineRule="auto"/>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w:basedOn w:val="3"/>
    <w:autoRedefine/>
    <w:qFormat/>
    <w:uiPriority w:val="0"/>
  </w:style>
  <w:style w:type="paragraph" w:styleId="7">
    <w:name w:val="Normal (Web)"/>
    <w:basedOn w:val="1"/>
    <w:autoRedefine/>
    <w:qFormat/>
    <w:uiPriority w:val="0"/>
    <w:rPr>
      <w:sz w:val="24"/>
    </w:rPr>
  </w:style>
  <w:style w:type="table" w:styleId="9">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1">
    <w:name w:val="默认段落字体1"/>
    <w:autoRedefine/>
    <w:qFormat/>
    <w:uiPriority w:val="0"/>
  </w:style>
  <w:style w:type="paragraph" w:customStyle="1" w:styleId="12">
    <w:name w:val="Heading"/>
    <w:basedOn w:val="1"/>
    <w:next w:val="3"/>
    <w:autoRedefine/>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3">
    <w:name w:val="Index"/>
    <w:basedOn w:val="1"/>
    <w:autoRedefine/>
    <w:qFormat/>
    <w:uiPriority w:val="0"/>
    <w:pPr>
      <w:widowControl w:val="0"/>
      <w:suppressLineNumbers/>
      <w:suppressAutoHyphens/>
    </w:pPr>
  </w:style>
  <w:style w:type="paragraph" w:customStyle="1" w:styleId="14">
    <w:name w:val="WPSOffice手动目录 1"/>
    <w:qFormat/>
    <w:uiPriority w:val="0"/>
    <w:pPr>
      <w:ind w:leftChars="0"/>
    </w:pPr>
    <w:rPr>
      <w:rFonts w:ascii="Times New Roman" w:hAnsi="Times New Roman" w:eastAsia="宋体" w:cs="Times New Roman"/>
      <w:sz w:val="20"/>
      <w:szCs w:val="20"/>
    </w:rPr>
  </w:style>
  <w:style w:type="paragraph" w:customStyle="1" w:styleId="15">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12</Pages>
  <Words>4384</Words>
  <Characters>4614</Characters>
  <TotalTime>1</TotalTime>
  <ScaleCrop>false</ScaleCrop>
  <LinksUpToDate>false</LinksUpToDate>
  <CharactersWithSpaces>4689</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2018-12-01T01:47:00Z</dcterms:created>
  <dc:creator>admin</dc:creator>
  <cp:lastModifiedBy>丽丽</cp:lastModifiedBy>
  <dcterms:modified xsi:type="dcterms:W3CDTF">2025-02-15T05:33:44Z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EA006A6CF8989E82FBBCAE67AC9305AB_43</vt:lpwstr>
  </property>
  <property fmtid="{D5CDD505-2E9C-101B-9397-08002B2CF9AE}" pid="4" name="KSOTemplateDocerSaveRecord">
    <vt:lpwstr>eyJoZGlkIjoiOTlhNTlmMWMwY2NkZGNhOTM0ZTIzOTMwM2UwMjVlYzgiLCJ1c2VySWQiOiI2MDAwNDk2NTIifQ==</vt:lpwstr>
  </property>
</Properties>
</file>