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408213">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bookmarkStart w:id="0" w:name="_Toc23279"/>
      <w:bookmarkStart w:id="1" w:name="_Toc24629"/>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广元市昭化区太公镇小学</w:t>
      </w:r>
      <w:bookmarkEnd w:id="0"/>
      <w:bookmarkEnd w:id="1"/>
    </w:p>
    <w:p w14:paraId="63EA6301">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2025年部门预算编制说明</w:t>
      </w:r>
    </w:p>
    <w:p w14:paraId="31C65EE8">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14:textFill>
            <w14:solidFill>
              <w14:schemeClr w14:val="tx1"/>
            </w14:solidFill>
          </w14:textFill>
        </w:rPr>
        <w:t>目   录</w:t>
      </w:r>
    </w:p>
    <w:sdt>
      <w:sdtPr>
        <w:rPr>
          <w:rFonts w:ascii="宋体" w:hAnsi="宋体" w:eastAsia="宋体" w:cs="Times New Roman"/>
          <w:color w:val="auto"/>
          <w:kern w:val="2"/>
          <w:sz w:val="21"/>
          <w:szCs w:val="24"/>
          <w:lang w:val="en-US" w:eastAsia="zh-CN" w:bidi="ar-SA"/>
        </w:rPr>
        <w:id w:val="147463144"/>
        <w:docPartObj>
          <w:docPartGallery w:val="Table of Contents"/>
          <w:docPartUnique/>
        </w:docPartObj>
      </w:sdtPr>
      <w:sdtEndPr>
        <w:rPr>
          <w:rFonts w:hint="eastAsia" w:ascii="宋体" w:hAnsi="宋体" w:eastAsia="宋体" w:cs="宋体"/>
          <w:b/>
          <w:i w:val="0"/>
          <w:caps w:val="0"/>
          <w:color w:val="000000" w:themeColor="text1"/>
          <w:spacing w:val="0"/>
          <w:kern w:val="0"/>
          <w:sz w:val="24"/>
          <w:szCs w:val="28"/>
          <w:highlight w:val="none"/>
          <w:shd w:val="clear" w:color="auto" w:fill="FFFFFF"/>
          <w:lang w:val="en-US" w:eastAsia="zh-CN" w:bidi="ar-SA"/>
          <w14:textFill>
            <w14:solidFill>
              <w14:schemeClr w14:val="tx1"/>
            </w14:solidFill>
          </w14:textFill>
        </w:rPr>
      </w:sdtEndPr>
      <w:sdtContent>
        <w:p w14:paraId="0DFBAE33">
          <w:pPr>
            <w:spacing w:before="0" w:beforeLines="0" w:after="0" w:afterLines="0" w:line="240" w:lineRule="auto"/>
            <w:ind w:left="0" w:leftChars="0" w:right="0" w:rightChars="0" w:firstLine="0" w:firstLineChars="0"/>
            <w:jc w:val="center"/>
          </w:pPr>
        </w:p>
        <w:p w14:paraId="1C0A2D70">
          <w:pPr>
            <w:pStyle w:val="16"/>
            <w:tabs>
              <w:tab w:val="right" w:leader="dot" w:pos="8845"/>
            </w:tabs>
            <w:rPr>
              <w:rFonts w:hint="eastAsia" w:ascii="仿宋_GB2312" w:hAnsi="仿宋_GB2312" w:eastAsia="仿宋_GB2312" w:cs="仿宋_GB2312"/>
              <w:color w:val="auto"/>
              <w:kern w:val="2"/>
              <w:sz w:val="32"/>
              <w:szCs w:val="32"/>
              <w:lang w:val="en-US" w:eastAsia="zh-CN" w:bidi="ar-SA"/>
            </w:rPr>
          </w:pPr>
          <w:r>
            <w:rPr>
              <w:rFonts w:hint="eastAsia" w:ascii="宋体" w:hAnsi="宋体" w:eastAsia="宋体" w:cs="宋体"/>
              <w:i w:val="0"/>
              <w:caps w:val="0"/>
              <w:color w:val="000000" w:themeColor="text1"/>
              <w:spacing w:val="0"/>
              <w:kern w:val="0"/>
              <w:sz w:val="28"/>
              <w:szCs w:val="28"/>
              <w:highlight w:val="none"/>
              <w:lang w:val="en-US" w:eastAsia="zh-CN"/>
              <w14:textFill>
                <w14:solidFill>
                  <w14:schemeClr w14:val="tx1"/>
                </w14:solidFill>
              </w14:textFill>
            </w:rPr>
            <w:fldChar w:fldCharType="begin"/>
          </w:r>
          <w:r>
            <w:rPr>
              <w:rFonts w:hint="eastAsia" w:ascii="宋体" w:hAnsi="宋体" w:eastAsia="宋体" w:cs="宋体"/>
              <w:i w:val="0"/>
              <w:caps w:val="0"/>
              <w:color w:val="000000" w:themeColor="text1"/>
              <w:spacing w:val="0"/>
              <w:kern w:val="0"/>
              <w:sz w:val="28"/>
              <w:szCs w:val="28"/>
              <w:highlight w:val="none"/>
              <w:lang w:val="en-US" w:eastAsia="zh-CN"/>
              <w14:textFill>
                <w14:solidFill>
                  <w14:schemeClr w14:val="tx1"/>
                </w14:solidFill>
              </w14:textFill>
            </w:rPr>
            <w:instrText xml:space="preserve">TOC \o "1-2" \h \u</w:instrText>
          </w:r>
          <w:r>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fldChar w:fldCharType="separate"/>
          </w:r>
          <w:r>
            <w:fldChar w:fldCharType="begin"/>
          </w:r>
          <w:r>
            <w:instrText xml:space="preserve"> HYPERLINK \l "_Toc8223" </w:instrText>
          </w:r>
          <w:r>
            <w:fldChar w:fldCharType="separate"/>
          </w:r>
          <w:r>
            <w:rPr>
              <w:rFonts w:hint="eastAsia" w:ascii="仿宋_GB2312" w:hAnsi="仿宋_GB2312" w:eastAsia="仿宋_GB2312" w:cs="仿宋_GB2312"/>
              <w:color w:val="auto"/>
              <w:kern w:val="2"/>
              <w:sz w:val="32"/>
              <w:szCs w:val="32"/>
              <w:lang w:val="en-US" w:eastAsia="zh-CN" w:bidi="ar-SA"/>
            </w:rPr>
            <w:t>一、基本职能及主要工作</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_Toc8223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5E38730F">
          <w:pPr>
            <w:pStyle w:val="1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"_Toc1630" </w:instrText>
          </w:r>
          <w:r>
            <w:fldChar w:fldCharType="separate"/>
          </w:r>
          <w:r>
            <w:rPr>
              <w:rFonts w:hint="eastAsia" w:ascii="仿宋_GB2312" w:hAnsi="仿宋_GB2312" w:eastAsia="仿宋_GB2312" w:cs="仿宋_GB2312"/>
              <w:color w:val="auto"/>
              <w:kern w:val="2"/>
              <w:sz w:val="32"/>
              <w:szCs w:val="32"/>
              <w:lang w:val="en-US" w:eastAsia="zh-CN" w:bidi="ar-SA"/>
            </w:rPr>
            <w:t>（一）单位职能简介</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_Toc1630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1DBB635C">
          <w:pPr>
            <w:pStyle w:val="1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"_Toc25624" </w:instrText>
          </w:r>
          <w:r>
            <w:fldChar w:fldCharType="separate"/>
          </w:r>
          <w:r>
            <w:rPr>
              <w:rFonts w:hint="eastAsia" w:ascii="仿宋_GB2312" w:hAnsi="仿宋_GB2312" w:eastAsia="仿宋_GB2312" w:cs="仿宋_GB2312"/>
              <w:color w:val="auto"/>
              <w:kern w:val="2"/>
              <w:sz w:val="32"/>
              <w:szCs w:val="32"/>
              <w:lang w:val="en-US" w:eastAsia="zh-CN" w:bidi="ar-SA"/>
            </w:rPr>
            <w:t>（二）2025年重点工作</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_Toc25624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0AAEBF03">
          <w:pPr>
            <w:pStyle w:val="16"/>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"_Toc2018" </w:instrText>
          </w:r>
          <w:r>
            <w:fldChar w:fldCharType="separate"/>
          </w:r>
          <w:r>
            <w:rPr>
              <w:rFonts w:hint="eastAsia" w:ascii="仿宋_GB2312" w:hAnsi="仿宋_GB2312" w:eastAsia="仿宋_GB2312" w:cs="仿宋_GB2312"/>
              <w:color w:val="auto"/>
              <w:kern w:val="2"/>
              <w:sz w:val="32"/>
              <w:szCs w:val="32"/>
              <w:lang w:val="en-US" w:eastAsia="zh-CN" w:bidi="ar-SA"/>
            </w:rPr>
            <w:t>二、部门预算单位构成</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_Toc2018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4</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72AEE85C">
          <w:pPr>
            <w:pStyle w:val="16"/>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"_Toc25847" </w:instrText>
          </w:r>
          <w:r>
            <w:fldChar w:fldCharType="separate"/>
          </w:r>
          <w:r>
            <w:rPr>
              <w:rFonts w:hint="eastAsia" w:ascii="仿宋_GB2312" w:hAnsi="仿宋_GB2312" w:eastAsia="仿宋_GB2312" w:cs="仿宋_GB2312"/>
              <w:color w:val="auto"/>
              <w:kern w:val="2"/>
              <w:sz w:val="32"/>
              <w:szCs w:val="32"/>
              <w:lang w:val="en-US" w:eastAsia="zh-CN" w:bidi="ar-SA"/>
            </w:rPr>
            <w:t>三、收支预算情况说明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_Toc25847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4</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1122A439">
          <w:pPr>
            <w:pStyle w:val="1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"_Toc6383" </w:instrText>
          </w:r>
          <w:r>
            <w:fldChar w:fldCharType="separate"/>
          </w:r>
          <w:r>
            <w:rPr>
              <w:rFonts w:hint="eastAsia" w:ascii="仿宋_GB2312" w:hAnsi="仿宋_GB2312" w:eastAsia="仿宋_GB2312" w:cs="仿宋_GB2312"/>
              <w:color w:val="auto"/>
              <w:kern w:val="2"/>
              <w:sz w:val="32"/>
              <w:szCs w:val="32"/>
              <w:lang w:val="en-US" w:eastAsia="zh-CN" w:bidi="ar-SA"/>
            </w:rPr>
            <w:t>（一）收入预算情况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_Toc6383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4</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2B071D15">
          <w:pPr>
            <w:pStyle w:val="1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"_Toc2829" </w:instrText>
          </w:r>
          <w:r>
            <w:fldChar w:fldCharType="separate"/>
          </w:r>
          <w:r>
            <w:rPr>
              <w:rFonts w:hint="eastAsia" w:ascii="仿宋_GB2312" w:hAnsi="仿宋_GB2312" w:eastAsia="仿宋_GB2312" w:cs="仿宋_GB2312"/>
              <w:color w:val="auto"/>
              <w:kern w:val="2"/>
              <w:sz w:val="32"/>
              <w:szCs w:val="32"/>
              <w:lang w:val="en-US" w:eastAsia="zh-CN" w:bidi="ar-SA"/>
            </w:rPr>
            <w:t>（二）支出预算情况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_Toc2829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4</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330D3734">
          <w:pPr>
            <w:pStyle w:val="16"/>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"_Toc31629" </w:instrText>
          </w:r>
          <w:r>
            <w:fldChar w:fldCharType="separate"/>
          </w:r>
          <w:r>
            <w:rPr>
              <w:rFonts w:hint="eastAsia" w:ascii="仿宋_GB2312" w:hAnsi="仿宋_GB2312" w:eastAsia="仿宋_GB2312" w:cs="仿宋_GB2312"/>
              <w:color w:val="auto"/>
              <w:kern w:val="2"/>
              <w:sz w:val="32"/>
              <w:szCs w:val="32"/>
              <w:lang w:val="en-US" w:eastAsia="zh-CN" w:bidi="ar-SA"/>
            </w:rPr>
            <w:t>四、财政拨款收支预算情况说明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_Toc31629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24ACA90A">
          <w:pPr>
            <w:pStyle w:val="16"/>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"_Toc17073" </w:instrText>
          </w:r>
          <w:r>
            <w:fldChar w:fldCharType="separate"/>
          </w:r>
          <w:r>
            <w:rPr>
              <w:rFonts w:hint="eastAsia" w:ascii="仿宋_GB2312" w:hAnsi="仿宋_GB2312" w:eastAsia="仿宋_GB2312" w:cs="仿宋_GB2312"/>
              <w:color w:val="auto"/>
              <w:kern w:val="2"/>
              <w:sz w:val="32"/>
              <w:szCs w:val="32"/>
              <w:lang w:val="en-US" w:eastAsia="zh-CN" w:bidi="ar-SA"/>
            </w:rPr>
            <w:t>五、一般公共预算当年拨款情况说明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_Toc17073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772F400C">
          <w:pPr>
            <w:pStyle w:val="1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"_Toc7115" </w:instrText>
          </w:r>
          <w:r>
            <w:fldChar w:fldCharType="separate"/>
          </w:r>
          <w:r>
            <w:rPr>
              <w:rFonts w:hint="eastAsia" w:ascii="仿宋_GB2312" w:hAnsi="仿宋_GB2312" w:eastAsia="仿宋_GB2312" w:cs="仿宋_GB2312"/>
              <w:color w:val="auto"/>
              <w:kern w:val="2"/>
              <w:sz w:val="32"/>
              <w:szCs w:val="32"/>
              <w:lang w:val="en-US" w:eastAsia="zh-CN" w:bidi="ar-SA"/>
            </w:rPr>
            <w:t>（一）一般公共预算当年拨款规模变化情况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_Toc7115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3BF472B5">
          <w:pPr>
            <w:pStyle w:val="1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"_Toc23453" </w:instrText>
          </w:r>
          <w:r>
            <w:fldChar w:fldCharType="separate"/>
          </w:r>
          <w:r>
            <w:rPr>
              <w:rFonts w:hint="eastAsia" w:ascii="仿宋_GB2312" w:hAnsi="仿宋_GB2312" w:eastAsia="仿宋_GB2312" w:cs="仿宋_GB2312"/>
              <w:color w:val="auto"/>
              <w:kern w:val="2"/>
              <w:sz w:val="32"/>
              <w:szCs w:val="32"/>
              <w:lang w:val="en-US" w:eastAsia="zh-CN" w:bidi="ar-SA"/>
            </w:rPr>
            <w:t>（二）一般公共预算当年拨款结构情况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_Toc23453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51BE9CEF">
          <w:pPr>
            <w:pStyle w:val="1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"_Toc30396" </w:instrText>
          </w:r>
          <w:r>
            <w:fldChar w:fldCharType="separate"/>
          </w:r>
          <w:r>
            <w:rPr>
              <w:rFonts w:hint="eastAsia" w:ascii="仿宋_GB2312" w:hAnsi="仿宋_GB2312" w:eastAsia="仿宋_GB2312" w:cs="仿宋_GB2312"/>
              <w:color w:val="auto"/>
              <w:kern w:val="2"/>
              <w:sz w:val="32"/>
              <w:szCs w:val="32"/>
              <w:lang w:val="en-US" w:eastAsia="zh-CN" w:bidi="ar-SA"/>
            </w:rPr>
            <w:t>（三） 一般公共预算当年拨款具体使用情况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_Toc30396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5D81AE40">
          <w:pPr>
            <w:pStyle w:val="16"/>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"_Toc8655" </w:instrText>
          </w:r>
          <w:r>
            <w:fldChar w:fldCharType="separate"/>
          </w:r>
          <w:r>
            <w:rPr>
              <w:rFonts w:hint="eastAsia" w:ascii="仿宋_GB2312" w:hAnsi="仿宋_GB2312" w:eastAsia="仿宋_GB2312" w:cs="仿宋_GB2312"/>
              <w:color w:val="auto"/>
              <w:kern w:val="2"/>
              <w:sz w:val="32"/>
              <w:szCs w:val="32"/>
              <w:lang w:val="en-US" w:eastAsia="zh-CN" w:bidi="ar-SA"/>
            </w:rPr>
            <w:t>六、一般公共预算基本支出情况说明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_Toc8655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645498C3">
          <w:pPr>
            <w:pStyle w:val="16"/>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"_Toc18100" </w:instrText>
          </w:r>
          <w:r>
            <w:fldChar w:fldCharType="separate"/>
          </w:r>
          <w:r>
            <w:rPr>
              <w:rFonts w:hint="eastAsia" w:ascii="仿宋_GB2312" w:hAnsi="仿宋_GB2312" w:eastAsia="仿宋_GB2312" w:cs="仿宋_GB2312"/>
              <w:color w:val="auto"/>
              <w:kern w:val="2"/>
              <w:sz w:val="32"/>
              <w:szCs w:val="32"/>
              <w:lang w:val="en-US" w:eastAsia="zh-CN" w:bidi="ar-SA"/>
            </w:rPr>
            <w:t>七、“三公”经费财政拨款预算安排情况说明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_Toc18100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2C301588">
          <w:pPr>
            <w:pStyle w:val="16"/>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"_Toc7712" </w:instrText>
          </w:r>
          <w:r>
            <w:fldChar w:fldCharType="separate"/>
          </w:r>
          <w:r>
            <w:rPr>
              <w:rFonts w:hint="eastAsia" w:ascii="仿宋_GB2312" w:hAnsi="仿宋_GB2312" w:eastAsia="仿宋_GB2312" w:cs="仿宋_GB2312"/>
              <w:color w:val="auto"/>
              <w:kern w:val="2"/>
              <w:sz w:val="32"/>
              <w:szCs w:val="32"/>
              <w:lang w:val="en-US" w:eastAsia="zh-CN" w:bidi="ar-SA"/>
            </w:rPr>
            <w:t>八、政府性基金预算支出情况说明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_Toc7712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77ED1330">
          <w:pPr>
            <w:pStyle w:val="16"/>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"_Toc16238" </w:instrText>
          </w:r>
          <w:r>
            <w:fldChar w:fldCharType="separate"/>
          </w:r>
          <w:r>
            <w:rPr>
              <w:rFonts w:hint="eastAsia" w:ascii="仿宋_GB2312" w:hAnsi="仿宋_GB2312" w:eastAsia="仿宋_GB2312" w:cs="仿宋_GB2312"/>
              <w:color w:val="auto"/>
              <w:kern w:val="2"/>
              <w:sz w:val="32"/>
              <w:szCs w:val="32"/>
              <w:lang w:val="en-US" w:eastAsia="zh-CN" w:bidi="ar-SA"/>
            </w:rPr>
            <w:t>九、国有资本经营预算支出情况说明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_Toc16238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62CD29AB">
          <w:pPr>
            <w:pStyle w:val="16"/>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"_Toc30548" </w:instrText>
          </w:r>
          <w:r>
            <w:fldChar w:fldCharType="separate"/>
          </w:r>
          <w:r>
            <w:rPr>
              <w:rFonts w:hint="eastAsia" w:ascii="仿宋_GB2312" w:hAnsi="仿宋_GB2312" w:eastAsia="仿宋_GB2312" w:cs="仿宋_GB2312"/>
              <w:color w:val="auto"/>
              <w:kern w:val="2"/>
              <w:sz w:val="32"/>
              <w:szCs w:val="32"/>
              <w:lang w:val="en-US" w:eastAsia="zh-CN" w:bidi="ar-SA"/>
            </w:rPr>
            <w:t>十、其他重要事项的情况说明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_Toc30548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6C1681C5">
          <w:pPr>
            <w:pStyle w:val="16"/>
            <w:tabs>
              <w:tab w:val="right" w:leader="dot" w:pos="8845"/>
            </w:tabs>
            <w:rPr>
              <w:b/>
            </w:rPr>
          </w:pPr>
          <w:r>
            <w:fldChar w:fldCharType="begin"/>
          </w:r>
          <w:r>
            <w:instrText xml:space="preserve"> HYPERLINK \l "_Toc26163" </w:instrText>
          </w:r>
          <w:r>
            <w:fldChar w:fldCharType="separate"/>
          </w:r>
          <w:r>
            <w:rPr>
              <w:rFonts w:hint="eastAsia" w:ascii="仿宋_GB2312" w:hAnsi="仿宋_GB2312" w:eastAsia="仿宋_GB2312" w:cs="仿宋_GB2312"/>
              <w:color w:val="auto"/>
              <w:kern w:val="2"/>
              <w:sz w:val="32"/>
              <w:szCs w:val="32"/>
              <w:lang w:val="en-US" w:eastAsia="zh-CN" w:bidi="ar-SA"/>
            </w:rPr>
            <w:t>十一、名词解释</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_Toc26163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5BE1C841">
          <w:pPr>
            <w:pStyle w:val="17"/>
            <w:tabs>
              <w:tab w:val="right" w:leader="dot" w:pos="8845"/>
            </w:tabs>
            <w:ind w:left="0" w:leftChars="0" w:firstLine="0" w:firstLineChars="0"/>
          </w:pPr>
        </w:p>
        <w:p w14:paraId="36CAA549">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482" w:firstLineChars="200"/>
            <w:jc w:val="both"/>
            <w:rPr>
              <w:rFonts w:hint="eastAsia" w:ascii="宋体" w:hAnsi="宋体" w:eastAsia="宋体" w:cs="宋体"/>
              <w:b/>
              <w:i w:val="0"/>
              <w:caps w:val="0"/>
              <w:color w:val="000000" w:themeColor="text1"/>
              <w:spacing w:val="0"/>
              <w:kern w:val="0"/>
              <w:sz w:val="24"/>
              <w:szCs w:val="28"/>
              <w:highlight w:val="none"/>
              <w:shd w:val="clear" w:color="auto" w:fill="FFFFFF"/>
              <w:lang w:val="en-US" w:eastAsia="zh-CN"/>
              <w14:textFill>
                <w14:solidFill>
                  <w14:schemeClr w14:val="tx1"/>
                </w14:solidFill>
              </w14:textFill>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14:textFill>
                <w14:solidFill>
                  <w14:schemeClr w14:val="tx1"/>
                </w14:solidFill>
              </w14:textFill>
            </w:rPr>
            <w:fldChar w:fldCharType="end"/>
          </w:r>
        </w:p>
      </w:sdtContent>
    </w:sdt>
    <w:p w14:paraId="3D834EE1">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482" w:firstLineChars="200"/>
        <w:jc w:val="both"/>
        <w:rPr>
          <w:rFonts w:hint="eastAsia" w:ascii="宋体" w:hAnsi="宋体" w:eastAsia="宋体" w:cs="宋体"/>
          <w:b/>
          <w:i w:val="0"/>
          <w:caps w:val="0"/>
          <w:color w:val="000000" w:themeColor="text1"/>
          <w:spacing w:val="0"/>
          <w:kern w:val="0"/>
          <w:sz w:val="24"/>
          <w:szCs w:val="28"/>
          <w:highlight w:val="none"/>
          <w:shd w:val="clear" w:color="auto" w:fill="FFFFFF"/>
          <w:lang w:val="en-US" w:eastAsia="zh-CN"/>
          <w14:textFill>
            <w14:solidFill>
              <w14:schemeClr w14:val="tx1"/>
            </w14:solidFill>
          </w14:textFill>
        </w:rPr>
      </w:pPr>
    </w:p>
    <w:p w14:paraId="35BCBD32">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D0E8BD3">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49A74B7">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CC9E773">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F18D6A7">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EF59319">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04EF23E0">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F3769FC">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B383026">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40FB108F">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BAF6E10">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0EA0290">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268FE642">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D9B151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 w:name="_Toc8223"/>
      <w:r>
        <w:rPr>
          <w:rFonts w:hint="eastAsia" w:ascii="黑体" w:hAnsi="黑体" w:eastAsia="黑体" w:cs="黑体"/>
          <w:sz w:val="32"/>
          <w:szCs w:val="32"/>
          <w:lang w:val="en-US" w:eastAsia="zh-CN"/>
        </w:rPr>
        <w:t>一、基本职能及主要工作</w:t>
      </w:r>
      <w:bookmarkEnd w:id="2"/>
    </w:p>
    <w:p w14:paraId="1BB903F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1630"/>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3"/>
    </w:p>
    <w:p w14:paraId="4F3AF90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1.贯彻党的教育方针，坚持社会主义办学方向，实行教育与生产劳动相结合，对学生进行德育、智育、体育、美育和劳动等方面的教育。</w:t>
      </w:r>
    </w:p>
    <w:p w14:paraId="292B943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2.负责配合政府依法动员、组织适龄儿童、少年入学，严格控制学生辍学，依法保证适龄儿童、少年接受九年义务教育。</w:t>
      </w:r>
    </w:p>
    <w:p w14:paraId="357C2CF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3.负责依法制定学校章程，并按照章程自主管理。</w:t>
      </w:r>
    </w:p>
    <w:p w14:paraId="7884945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4.负责制定学校教育发展规划，并抓好组织和实施工作。</w:t>
      </w:r>
    </w:p>
    <w:p w14:paraId="23B064F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5.负责按照教育主管部门发布的指导性教学计划、教学大纲，组织实施教育教学活动。</w:t>
      </w:r>
    </w:p>
    <w:p w14:paraId="14D8A1E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6.负责学籍管理并对学生实施奖励或处分。</w:t>
      </w:r>
    </w:p>
    <w:p w14:paraId="6EF89E6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7.负责依法制定本校教师及其他职工聘任制度，并对教师及其他员工实施包括奖励、处分在内的具体管理活动。</w:t>
      </w:r>
    </w:p>
    <w:p w14:paraId="429D569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8.负责科学管理、合理使用学校的设施和经费，并积极筹措资金，改善办学条件。</w:t>
      </w:r>
    </w:p>
    <w:p w14:paraId="05E7E28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9.负责维护学校、师生的合法权益，有权拒绝任何组织和个人对教育教学活动的非法干扰。</w:t>
      </w:r>
    </w:p>
    <w:p w14:paraId="4C0EA66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10.依法接受各级教育行政部门的检查指导和人民群众的监督。</w:t>
      </w:r>
    </w:p>
    <w:p w14:paraId="32DE6AE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11.承办上级交办的其他事项。</w:t>
      </w:r>
    </w:p>
    <w:p w14:paraId="0E0A197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4" w:name="_Toc25624"/>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w:t>
      </w:r>
      <w:r>
        <w:rPr>
          <w:rFonts w:hint="eastAsia" w:ascii="楷体_GB2312" w:hAnsi="楷体_GB2312" w:eastAsia="楷体_GB2312" w:cs="楷体_GB2312"/>
          <w:sz w:val="32"/>
          <w:szCs w:val="32"/>
          <w:lang w:val="en-US" w:eastAsia="zh-CN"/>
        </w:rPr>
        <w:t>5</w:t>
      </w:r>
      <w:r>
        <w:rPr>
          <w:rFonts w:hint="eastAsia" w:ascii="楷体_GB2312" w:hAnsi="楷体_GB2312" w:eastAsia="楷体_GB2312" w:cs="楷体_GB2312"/>
          <w:sz w:val="32"/>
          <w:szCs w:val="32"/>
        </w:rPr>
        <w:t>年重点工作</w:t>
      </w:r>
      <w:bookmarkEnd w:id="4"/>
    </w:p>
    <w:p w14:paraId="1FA00DCE">
      <w:pPr>
        <w:keepNext w:val="0"/>
        <w:keepLines w:val="0"/>
        <w:pageBreakBefore w:val="0"/>
        <w:kinsoku/>
        <w:wordWrap/>
        <w:overflowPunct/>
        <w:topLinePunct w:val="0"/>
        <w:autoSpaceDE/>
        <w:autoSpaceDN/>
        <w:bidi w:val="0"/>
        <w:adjustRightInd/>
        <w:snapToGrid/>
        <w:spacing w:line="572"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2025年，我单位</w:t>
      </w:r>
      <w:r>
        <w:rPr>
          <w:rFonts w:hint="eastAsia" w:ascii="仿宋" w:hAnsi="仿宋" w:eastAsia="仿宋" w:cs="仿宋"/>
          <w:color w:val="auto"/>
          <w:sz w:val="32"/>
          <w:szCs w:val="32"/>
          <w:lang w:eastAsia="zh-CN"/>
        </w:rPr>
        <w:t>将继续致力于育人模式变革探索，“五育”并举，引导学生全面发展；继续致力于</w:t>
      </w:r>
      <w:r>
        <w:rPr>
          <w:rFonts w:hint="eastAsia" w:ascii="仿宋" w:hAnsi="仿宋" w:eastAsia="仿宋" w:cs="仿宋"/>
          <w:color w:val="auto"/>
          <w:sz w:val="32"/>
          <w:szCs w:val="32"/>
        </w:rPr>
        <w:t>精细</w:t>
      </w:r>
      <w:r>
        <w:rPr>
          <w:rFonts w:hint="eastAsia" w:ascii="仿宋" w:hAnsi="仿宋" w:eastAsia="仿宋" w:cs="仿宋"/>
          <w:color w:val="auto"/>
          <w:sz w:val="32"/>
          <w:szCs w:val="32"/>
          <w:lang w:eastAsia="zh-CN"/>
        </w:rPr>
        <w:t>管理</w:t>
      </w:r>
      <w:r>
        <w:rPr>
          <w:rFonts w:hint="eastAsia" w:ascii="仿宋" w:hAnsi="仿宋" w:eastAsia="仿宋" w:cs="仿宋"/>
          <w:color w:val="auto"/>
          <w:sz w:val="32"/>
          <w:szCs w:val="32"/>
        </w:rPr>
        <w:t>、内涵</w:t>
      </w:r>
      <w:r>
        <w:rPr>
          <w:rFonts w:hint="eastAsia" w:ascii="仿宋" w:hAnsi="仿宋" w:eastAsia="仿宋" w:cs="仿宋"/>
          <w:color w:val="auto"/>
          <w:sz w:val="32"/>
          <w:szCs w:val="32"/>
          <w:lang w:eastAsia="zh-CN"/>
        </w:rPr>
        <w:t>发展，把学校建成师生幸福成长的摇篮；继续致力于文化立魂、特色发展，培育校园精神，做靓学校名片；继续致力于办好老百姓家门口的学校，提升办学条件，提高办学效益，做好民生服务工程，稳定生源。</w:t>
      </w:r>
    </w:p>
    <w:p w14:paraId="2777740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5" w:name="_Toc21048"/>
      <w:bookmarkStart w:id="6" w:name="_Toc10397"/>
      <w:r>
        <w:rPr>
          <w:rFonts w:hint="eastAsia" w:ascii="仿宋" w:hAnsi="仿宋" w:eastAsia="仿宋" w:cs="仿宋"/>
          <w:color w:val="auto"/>
          <w:sz w:val="32"/>
          <w:szCs w:val="32"/>
        </w:rPr>
        <w:t>对新一年的工作，</w:t>
      </w:r>
      <w:r>
        <w:rPr>
          <w:rFonts w:hint="eastAsia" w:ascii="仿宋" w:hAnsi="仿宋" w:eastAsia="仿宋" w:cs="仿宋"/>
          <w:color w:val="auto"/>
          <w:sz w:val="32"/>
          <w:szCs w:val="32"/>
          <w:lang w:eastAsia="zh-CN"/>
        </w:rPr>
        <w:t>我们将</w:t>
      </w:r>
      <w:r>
        <w:rPr>
          <w:rFonts w:hint="eastAsia" w:ascii="仿宋" w:hAnsi="仿宋" w:eastAsia="仿宋" w:cs="仿宋"/>
          <w:color w:val="auto"/>
          <w:sz w:val="32"/>
          <w:szCs w:val="32"/>
        </w:rPr>
        <w:t>全力完成上级下达的所有年度目标任务，倾力做好控辍保学及生源巩固工作</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稳步推进学校工作持续健康发展。</w:t>
      </w:r>
      <w:bookmarkEnd w:id="5"/>
      <w:bookmarkEnd w:id="6"/>
    </w:p>
    <w:p w14:paraId="3DD2808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7" w:name="_Toc2018"/>
      <w:r>
        <w:rPr>
          <w:rFonts w:hint="eastAsia" w:ascii="黑体" w:hAnsi="黑体" w:eastAsia="黑体" w:cs="黑体"/>
          <w:sz w:val="32"/>
          <w:szCs w:val="32"/>
          <w:lang w:val="en-US" w:eastAsia="zh-CN"/>
        </w:rPr>
        <w:t>二、部门预算单位构成</w:t>
      </w:r>
      <w:bookmarkEnd w:id="7"/>
    </w:p>
    <w:p w14:paraId="1187006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我单位为广元市昭化区教育局的下属二级预算单位，属于公益一类事业单位，无下属机构。</w:t>
      </w:r>
    </w:p>
    <w:p w14:paraId="4A81C41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8" w:name="_Toc25847"/>
      <w:r>
        <w:rPr>
          <w:rFonts w:hint="eastAsia" w:ascii="黑体" w:hAnsi="黑体" w:eastAsia="黑体" w:cs="黑体"/>
          <w:sz w:val="32"/>
          <w:szCs w:val="32"/>
          <w:lang w:val="en-US" w:eastAsia="zh-CN"/>
        </w:rPr>
        <w:t>三、收支预算情况说明</w:t>
      </w:r>
      <w:bookmarkEnd w:id="8"/>
    </w:p>
    <w:p w14:paraId="34F6EB6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按照综合预算的原则，太公镇小学所有收入和支出均纳入部门预算管理。收入包括：一般公共预算拨款收入；支出包括：教育支出。太公小学2025年收支预算总数708.54万元，比2024年收支预算总数增加14.06万元，主要原因是项目支出增加。</w:t>
      </w:r>
    </w:p>
    <w:p w14:paraId="658C39E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9" w:name="_Toc6383"/>
      <w:r>
        <w:rPr>
          <w:rFonts w:hint="eastAsia" w:ascii="楷体_GB2312" w:hAnsi="楷体_GB2312" w:eastAsia="楷体_GB2312" w:cs="楷体_GB2312"/>
          <w:sz w:val="32"/>
          <w:szCs w:val="32"/>
          <w:lang w:val="en-US" w:eastAsia="zh-CN"/>
        </w:rPr>
        <w:t>（一）收入预算情况</w:t>
      </w:r>
      <w:bookmarkEnd w:id="9"/>
    </w:p>
    <w:p w14:paraId="6D7B74F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太公镇小学2025年收入预算708.54万元，其中：一般公共预算拨款收入708.54万元，占100%。</w:t>
      </w:r>
    </w:p>
    <w:p w14:paraId="54FDC06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2829"/>
      <w:r>
        <w:rPr>
          <w:rFonts w:hint="eastAsia" w:ascii="楷体_GB2312" w:hAnsi="楷体_GB2312" w:eastAsia="楷体_GB2312" w:cs="楷体_GB2312"/>
          <w:sz w:val="32"/>
          <w:szCs w:val="32"/>
          <w:lang w:val="en-US" w:eastAsia="zh-CN"/>
        </w:rPr>
        <w:t>（二）支出预算情况</w:t>
      </w:r>
      <w:bookmarkEnd w:id="10"/>
    </w:p>
    <w:p w14:paraId="475ED57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太公镇小学2025年支出预算708.54万元，其中：基本支出</w:t>
      </w:r>
      <w:r>
        <w:rPr>
          <w:rFonts w:hint="eastAsia" w:ascii="仿宋_GB2312" w:hAnsi="仿宋_GB2312" w:eastAsia="仿宋_GB2312" w:cs="仿宋_GB2312"/>
          <w:sz w:val="32"/>
          <w:szCs w:val="32"/>
          <w:lang w:val="en-US" w:eastAsia="zh-CN"/>
        </w:rPr>
        <w:tab/>
      </w:r>
      <w:r>
        <w:rPr>
          <w:rFonts w:hint="eastAsia" w:ascii="仿宋_GB2312" w:hAnsi="仿宋_GB2312" w:eastAsia="仿宋_GB2312" w:cs="仿宋_GB2312"/>
          <w:sz w:val="32"/>
          <w:szCs w:val="32"/>
          <w:lang w:val="en-US" w:eastAsia="zh-CN"/>
        </w:rPr>
        <w:t>630.48万元，占88.98%；项目支出78.06万元，占11.02%</w:t>
      </w:r>
      <w:r>
        <w:rPr>
          <w:rFonts w:hint="eastAsia" w:ascii="仿宋_GB2312" w:hAnsi="仿宋_GB2312" w:eastAsia="仿宋_GB2312" w:cs="仿宋_GB2312"/>
          <w:b w:val="0"/>
          <w:bCs w:val="0"/>
          <w:sz w:val="32"/>
          <w:szCs w:val="32"/>
          <w:lang w:val="en-US" w:eastAsia="zh-CN"/>
        </w:rPr>
        <w:t>。</w:t>
      </w:r>
    </w:p>
    <w:p w14:paraId="15758C9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1" w:name="_Toc31629"/>
      <w:r>
        <w:rPr>
          <w:rFonts w:hint="eastAsia" w:ascii="黑体" w:hAnsi="黑体" w:eastAsia="黑体" w:cs="黑体"/>
          <w:sz w:val="32"/>
          <w:szCs w:val="32"/>
          <w:lang w:val="en-US" w:eastAsia="zh-CN"/>
        </w:rPr>
        <w:t>四、财政拨款收支预算情况说明</w:t>
      </w:r>
      <w:bookmarkEnd w:id="11"/>
    </w:p>
    <w:p w14:paraId="0D1CDBC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太公镇小学2025年财政拨款收支预算总数708.54万元，比2024年财政拨款收支预算总数增加14.06万元，主要原因是项目支出增加。</w:t>
      </w:r>
    </w:p>
    <w:p w14:paraId="4793EA8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收入包括：本年一般公共预算拨款收入708.54万元；支出包括：教育支出708.54万元。</w:t>
      </w:r>
    </w:p>
    <w:p w14:paraId="5EFC828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2" w:name="_Toc17073"/>
      <w:r>
        <w:rPr>
          <w:rFonts w:hint="eastAsia" w:ascii="黑体" w:hAnsi="黑体" w:eastAsia="黑体" w:cs="黑体"/>
          <w:sz w:val="32"/>
          <w:szCs w:val="32"/>
          <w:lang w:val="en-US" w:eastAsia="zh-CN"/>
        </w:rPr>
        <w:t>五、一般公共预算当年拨款情况说明</w:t>
      </w:r>
      <w:bookmarkEnd w:id="12"/>
    </w:p>
    <w:p w14:paraId="4C05019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3" w:name="_Toc7115"/>
      <w:r>
        <w:rPr>
          <w:rFonts w:hint="eastAsia" w:ascii="楷体_GB2312" w:hAnsi="楷体_GB2312" w:eastAsia="楷体_GB2312" w:cs="楷体_GB2312"/>
          <w:sz w:val="32"/>
          <w:szCs w:val="32"/>
          <w:lang w:val="en-US" w:eastAsia="zh-CN"/>
        </w:rPr>
        <w:t>（一）一般公共预算当年拨款规模变化情况</w:t>
      </w:r>
      <w:bookmarkEnd w:id="13"/>
    </w:p>
    <w:p w14:paraId="1E527CF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太公镇小学2025年一般公共预算当年拨款708.54万元，比2024年预算数增加14.06万元，主要原因是项目支出增加。</w:t>
      </w:r>
    </w:p>
    <w:p w14:paraId="330B1D6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 w:name="_Toc23453"/>
      <w:r>
        <w:rPr>
          <w:rFonts w:hint="eastAsia" w:ascii="楷体_GB2312" w:hAnsi="楷体_GB2312" w:eastAsia="楷体_GB2312" w:cs="楷体_GB2312"/>
          <w:sz w:val="32"/>
          <w:szCs w:val="32"/>
          <w:lang w:val="en-US" w:eastAsia="zh-CN"/>
        </w:rPr>
        <w:t>（二）一般公共预算当年拨款结构情况</w:t>
      </w:r>
      <w:bookmarkEnd w:id="14"/>
    </w:p>
    <w:p w14:paraId="4AF916D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教育支出708.54万元，占100%。</w:t>
      </w:r>
    </w:p>
    <w:p w14:paraId="012D05A8">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30396"/>
      <w:r>
        <w:rPr>
          <w:rFonts w:hint="eastAsia" w:ascii="楷体_GB2312" w:hAnsi="楷体_GB2312" w:eastAsia="楷体_GB2312" w:cs="楷体_GB2312"/>
          <w:sz w:val="32"/>
          <w:szCs w:val="32"/>
          <w:lang w:val="en-US" w:eastAsia="zh-CN"/>
        </w:rPr>
        <w:t>一般公共预算当年拨款具体使用情况</w:t>
      </w:r>
      <w:bookmarkEnd w:id="15"/>
    </w:p>
    <w:p w14:paraId="05AAB2F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教育支出（类）普通教育（款）学前教育（项）2025年预算数为25.46万元，主要用于：我校学前教育机构的基本支出，包括基本工资、津贴补贴、基础绩效奖等人员经费以及机构运行所需的办公费、印刷费、维修（护）费、工会经费等运行补助经费。</w:t>
      </w:r>
    </w:p>
    <w:p w14:paraId="08CF0E1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教育支出（类）普通教育（款）小学教育（项）2025年预算数为683.08万元，主要用于：我校小学教育机构的基本支出，包括基本工资、津贴补贴、基础绩效奖等人员经费以及机构运行所需的办公费、印刷费、维修（护）费、工会经费等运行补助经费。</w:t>
      </w:r>
    </w:p>
    <w:p w14:paraId="5723C38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6" w:name="_Toc8655"/>
      <w:r>
        <w:rPr>
          <w:rFonts w:hint="eastAsia" w:ascii="黑体" w:hAnsi="黑体" w:eastAsia="黑体" w:cs="黑体"/>
          <w:sz w:val="32"/>
          <w:szCs w:val="32"/>
          <w:lang w:val="en-US" w:eastAsia="zh-CN"/>
        </w:rPr>
        <w:t>六、一般公共预算基本支出情况说明</w:t>
      </w:r>
      <w:bookmarkEnd w:id="16"/>
    </w:p>
    <w:p w14:paraId="14F15D1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太公镇小学2025年一般公共预算基本支出630.48万元，其中：</w:t>
      </w:r>
    </w:p>
    <w:p w14:paraId="623F8D1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人员经费630.48万元，主要包括：基本工资、津贴补贴、奖金、绩效工资、社会保险缴费、住房公积金、生活补助、奖励金等支出。</w:t>
      </w:r>
    </w:p>
    <w:p w14:paraId="6432284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公用经费0万元。</w:t>
      </w:r>
    </w:p>
    <w:p w14:paraId="0DC172F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7" w:name="_Toc18100"/>
      <w:r>
        <w:rPr>
          <w:rFonts w:hint="eastAsia" w:ascii="黑体" w:hAnsi="黑体" w:eastAsia="黑体" w:cs="黑体"/>
          <w:sz w:val="32"/>
          <w:szCs w:val="32"/>
          <w:lang w:val="en-US" w:eastAsia="zh-CN"/>
        </w:rPr>
        <w:t>七、“三公”经费财政拨款预算安排情况说明</w:t>
      </w:r>
      <w:bookmarkEnd w:id="17"/>
    </w:p>
    <w:p w14:paraId="1E7A531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太公镇小学2025年“三公”经费财政拨款预算数0万元，其中：公务接待费0万元，公务用车购置及运行维护费0万元，因公出国（境）经费0万元。</w:t>
      </w:r>
    </w:p>
    <w:p w14:paraId="6F19987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8" w:name="_Toc20046"/>
      <w:bookmarkStart w:id="19" w:name="_Toc21336"/>
      <w:bookmarkStart w:id="20" w:name="_Toc11783"/>
      <w:r>
        <w:rPr>
          <w:rFonts w:hint="eastAsia" w:ascii="楷体_GB2312" w:hAnsi="楷体_GB2312" w:eastAsia="楷体_GB2312" w:cs="楷体_GB2312"/>
          <w:sz w:val="32"/>
          <w:szCs w:val="32"/>
          <w:lang w:val="en-US" w:eastAsia="zh-CN"/>
        </w:rPr>
        <w:t>（一）公务接待费</w:t>
      </w:r>
      <w:bookmarkEnd w:id="18"/>
      <w:bookmarkEnd w:id="19"/>
      <w:bookmarkEnd w:id="20"/>
    </w:p>
    <w:p w14:paraId="25FCBDC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公务接待费与2024年预算相比持平。</w:t>
      </w:r>
    </w:p>
    <w:p w14:paraId="599D841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2025年公务接待费计划用于执行接待考察调研、检查指导等公务活动开支的交通费、住宿费、用餐费等。</w:t>
      </w:r>
    </w:p>
    <w:p w14:paraId="105B4AEF">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5339"/>
      <w:bookmarkStart w:id="22" w:name="_Toc8003"/>
      <w:bookmarkStart w:id="23" w:name="_Toc12904"/>
      <w:r>
        <w:rPr>
          <w:rFonts w:hint="eastAsia" w:ascii="楷体_GB2312" w:hAnsi="楷体_GB2312" w:eastAsia="楷体_GB2312" w:cs="楷体_GB2312"/>
          <w:sz w:val="32"/>
          <w:szCs w:val="32"/>
          <w:lang w:val="en-US" w:eastAsia="zh-CN"/>
        </w:rPr>
        <w:t>公务用车购置及运行维护费</w:t>
      </w:r>
      <w:bookmarkEnd w:id="21"/>
      <w:bookmarkEnd w:id="22"/>
      <w:bookmarkEnd w:id="23"/>
    </w:p>
    <w:p w14:paraId="457EB0F7">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公务用车购置及运行维护费与2024年预算相比持平。</w:t>
      </w:r>
    </w:p>
    <w:p w14:paraId="4359234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14:paraId="6BFF157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2025年未安排公务用车购置费。</w:t>
      </w:r>
    </w:p>
    <w:p w14:paraId="393CD5D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2025年安排公务用车运行维护费0万元。</w:t>
      </w:r>
    </w:p>
    <w:p w14:paraId="2B75F837">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24" w:name="_Toc7481"/>
      <w:bookmarkStart w:id="25" w:name="_Toc24943"/>
      <w:bookmarkStart w:id="26" w:name="_Toc28165"/>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24"/>
      <w:bookmarkEnd w:id="25"/>
      <w:bookmarkEnd w:id="26"/>
    </w:p>
    <w:p w14:paraId="6B917BA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因公出国（境）经费与2024年预算相比持平。</w:t>
      </w:r>
    </w:p>
    <w:p w14:paraId="36F9439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7" w:name="_Toc7712"/>
      <w:r>
        <w:rPr>
          <w:rFonts w:hint="eastAsia" w:ascii="黑体" w:hAnsi="黑体" w:eastAsia="黑体" w:cs="黑体"/>
          <w:sz w:val="32"/>
          <w:szCs w:val="32"/>
          <w:lang w:val="en-US" w:eastAsia="zh-CN"/>
        </w:rPr>
        <w:t>八、政府性基金预算支出情况说明</w:t>
      </w:r>
      <w:bookmarkEnd w:id="27"/>
    </w:p>
    <w:p w14:paraId="1E7D46A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太公镇小学2025年无政府性基金预算拨款安排的支出。</w:t>
      </w:r>
    </w:p>
    <w:p w14:paraId="0157852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8" w:name="_Toc16238"/>
      <w:r>
        <w:rPr>
          <w:rFonts w:hint="eastAsia" w:ascii="黑体" w:hAnsi="黑体" w:eastAsia="黑体" w:cs="黑体"/>
          <w:sz w:val="32"/>
          <w:szCs w:val="32"/>
          <w:lang w:val="en-US" w:eastAsia="zh-CN"/>
        </w:rPr>
        <w:t>九、国有资本经营预算支出情况说明</w:t>
      </w:r>
      <w:bookmarkEnd w:id="28"/>
    </w:p>
    <w:p w14:paraId="03A6652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太公镇小学2025年无国有资本经营预算拨款安排的支出。</w:t>
      </w:r>
    </w:p>
    <w:p w14:paraId="50AEB47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9" w:name="_Toc30548"/>
      <w:r>
        <w:rPr>
          <w:rFonts w:hint="eastAsia" w:ascii="黑体" w:hAnsi="黑体" w:eastAsia="黑体" w:cs="黑体"/>
          <w:sz w:val="32"/>
          <w:szCs w:val="32"/>
          <w:lang w:val="en-US" w:eastAsia="zh-CN"/>
        </w:rPr>
        <w:t>十、其他重要事项的情况说明</w:t>
      </w:r>
      <w:bookmarkEnd w:id="29"/>
    </w:p>
    <w:p w14:paraId="2B321B9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0" w:name="_Toc22112"/>
      <w:bookmarkStart w:id="31" w:name="_Toc19282"/>
      <w:bookmarkStart w:id="32" w:name="_Toc24295"/>
      <w:r>
        <w:rPr>
          <w:rFonts w:hint="eastAsia" w:ascii="楷体_GB2312" w:hAnsi="楷体_GB2312" w:eastAsia="楷体_GB2312" w:cs="楷体_GB2312"/>
          <w:sz w:val="32"/>
          <w:szCs w:val="32"/>
          <w:lang w:val="en-US" w:eastAsia="zh-CN"/>
        </w:rPr>
        <w:t>（一）机关运行经费</w:t>
      </w:r>
      <w:bookmarkEnd w:id="30"/>
      <w:bookmarkEnd w:id="31"/>
      <w:bookmarkEnd w:id="32"/>
    </w:p>
    <w:p w14:paraId="4546E00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2025年，本单位属公益一类事业单位，无机关运行经费。</w:t>
      </w:r>
    </w:p>
    <w:p w14:paraId="4D14CD0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3" w:name="_Toc22132"/>
      <w:bookmarkStart w:id="34" w:name="_Toc10509"/>
      <w:bookmarkStart w:id="35" w:name="_Toc27976"/>
      <w:r>
        <w:rPr>
          <w:rFonts w:hint="eastAsia" w:ascii="楷体_GB2312" w:hAnsi="楷体_GB2312" w:eastAsia="楷体_GB2312" w:cs="楷体_GB2312"/>
          <w:sz w:val="32"/>
          <w:szCs w:val="32"/>
          <w:lang w:val="en-US" w:eastAsia="zh-CN"/>
        </w:rPr>
        <w:t>（二）政府采购情况</w:t>
      </w:r>
      <w:bookmarkEnd w:id="33"/>
      <w:bookmarkEnd w:id="34"/>
      <w:bookmarkEnd w:id="35"/>
    </w:p>
    <w:p w14:paraId="77B82D0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2025年，太公镇小学安排政府采购预算0万元。</w:t>
      </w:r>
    </w:p>
    <w:p w14:paraId="48C2382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6" w:name="_Toc25512"/>
      <w:bookmarkStart w:id="37" w:name="_Toc10818"/>
      <w:bookmarkStart w:id="38" w:name="_Toc7695"/>
      <w:r>
        <w:rPr>
          <w:rFonts w:hint="eastAsia" w:ascii="楷体_GB2312" w:hAnsi="楷体_GB2312" w:eastAsia="楷体_GB2312" w:cs="楷体_GB2312"/>
          <w:sz w:val="32"/>
          <w:szCs w:val="32"/>
          <w:lang w:val="en-US" w:eastAsia="zh-CN"/>
        </w:rPr>
        <w:t>（三）国有资产占有使用情况</w:t>
      </w:r>
      <w:bookmarkEnd w:id="36"/>
      <w:bookmarkEnd w:id="37"/>
      <w:bookmarkEnd w:id="38"/>
    </w:p>
    <w:p w14:paraId="364B7E1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截至2024年底，太公镇小学共有车辆0辆，单位无价值200万元以上的大型设备。</w:t>
      </w:r>
    </w:p>
    <w:p w14:paraId="2EA2E21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2025年部门预算未安排购置车辆及单位价值200万元以上大型设备。</w:t>
      </w:r>
    </w:p>
    <w:p w14:paraId="11F1EF4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9" w:name="_Toc16668"/>
      <w:bookmarkStart w:id="40" w:name="_Toc28584"/>
      <w:bookmarkStart w:id="41" w:name="_Toc11569"/>
      <w:r>
        <w:rPr>
          <w:rFonts w:hint="eastAsia" w:ascii="楷体_GB2312" w:hAnsi="楷体_GB2312" w:eastAsia="楷体_GB2312" w:cs="楷体_GB2312"/>
          <w:sz w:val="32"/>
          <w:szCs w:val="32"/>
          <w:lang w:val="en-US" w:eastAsia="zh-CN"/>
        </w:rPr>
        <w:t>（四）绩效目标设置情况</w:t>
      </w:r>
      <w:bookmarkEnd w:id="39"/>
      <w:bookmarkEnd w:id="40"/>
      <w:bookmarkEnd w:id="41"/>
    </w:p>
    <w:p w14:paraId="7109B17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太公镇小学开展绩效目标管理的项目14个，涉及预算708.54万元。其中：人员类项目9个，涉及预算630.48万元；运转类项目5个，涉及预算78.06万元；特定目标类项目0个，涉及预算0万元。因部分项目内容涉密，不予公开。</w:t>
      </w:r>
    </w:p>
    <w:p w14:paraId="383BAC5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2" w:name="_Toc26163"/>
      <w:r>
        <w:rPr>
          <w:rFonts w:hint="eastAsia" w:ascii="黑体" w:hAnsi="黑体" w:eastAsia="黑体" w:cs="黑体"/>
          <w:sz w:val="32"/>
          <w:szCs w:val="32"/>
          <w:lang w:val="en-US" w:eastAsia="zh-CN"/>
        </w:rPr>
        <w:t>十一、名词解释</w:t>
      </w:r>
      <w:bookmarkEnd w:id="42"/>
    </w:p>
    <w:p w14:paraId="23DE32E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指区级</w:t>
      </w:r>
      <w:bookmarkStart w:id="46" w:name="_GoBack"/>
      <w:bookmarkEnd w:id="46"/>
      <w:r>
        <w:rPr>
          <w:rFonts w:hint="eastAsia" w:ascii="仿宋_GB2312" w:hAnsi="仿宋_GB2312" w:eastAsia="仿宋_GB2312" w:cs="仿宋_GB2312"/>
          <w:sz w:val="32"/>
          <w:szCs w:val="32"/>
          <w:lang w:val="en-US" w:eastAsia="zh-CN"/>
        </w:rPr>
        <w:t>财政当年安排的财政预算收入。按现行管理制度，部门预算中反映的财政拨款包括一般公共预算拨款和政府性基金预算拨款。</w:t>
      </w:r>
    </w:p>
    <w:p w14:paraId="59BEE60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14:paraId="2974A4D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指除上述“一般公共预算拨款收入和事业收入”等以外的收入，银行存款利息收入等。</w:t>
      </w:r>
    </w:p>
    <w:p w14:paraId="35A70CC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（五）教育支出（类）普通教育（款）学前教育（项）：</w:t>
      </w:r>
      <w:r>
        <w:rPr>
          <w:rFonts w:hint="eastAsia" w:ascii="仿宋_GB2312" w:hAnsi="仿宋_GB2312" w:eastAsia="仿宋_GB2312" w:cs="仿宋_GB2312"/>
          <w:sz w:val="32"/>
          <w:szCs w:val="32"/>
          <w:lang w:val="en-US" w:eastAsia="zh-CN"/>
        </w:rPr>
        <w:t>指全区学前教育发展的基本支出，包括基本工资、津贴补贴等人员经费以及办公费、印刷费、水电费等日常公用经费。</w:t>
      </w:r>
    </w:p>
    <w:p w14:paraId="6A17DE1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（六）教育支出（类）普通教育（款）小学教育（项）：</w:t>
      </w:r>
      <w:r>
        <w:rPr>
          <w:rFonts w:hint="eastAsia" w:ascii="仿宋_GB2312" w:hAnsi="仿宋_GB2312" w:eastAsia="仿宋_GB2312" w:cs="仿宋_GB2312"/>
          <w:sz w:val="32"/>
          <w:szCs w:val="32"/>
          <w:lang w:val="en-US" w:eastAsia="zh-CN"/>
        </w:rPr>
        <w:t>指全区小学教育发展的基本支出，包括基本工资、津贴补贴等人员经费以及办公费、印刷费、水电费等日常公用经费。　</w:t>
      </w:r>
      <w:r>
        <w:rPr>
          <w:rFonts w:hint="eastAsia" w:ascii="楷体_GB2312" w:hAnsi="楷体_GB2312" w:eastAsia="楷体_GB2312" w:cs="楷体_GB2312"/>
          <w:sz w:val="32"/>
          <w:szCs w:val="32"/>
          <w:lang w:val="en-US" w:eastAsia="zh-CN"/>
        </w:rPr>
        <w:t>　</w:t>
      </w:r>
    </w:p>
    <w:p w14:paraId="13A1D67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（七）社会保障和就业（类）行政事业单位养老支出（款）机关事业单位职业年金缴费支出（项）：</w:t>
      </w:r>
      <w:r>
        <w:rPr>
          <w:rFonts w:hint="eastAsia" w:ascii="仿宋_GB2312" w:hAnsi="仿宋_GB2312" w:eastAsia="仿宋_GB2312" w:cs="仿宋_GB2312"/>
          <w:sz w:val="32"/>
          <w:szCs w:val="32"/>
          <w:lang w:val="en-US" w:eastAsia="zh-CN"/>
        </w:rPr>
        <w:t>指部门实施养老保险制度由单位缴纳的职业年金的支出。</w:t>
      </w:r>
    </w:p>
    <w:p w14:paraId="5BD513D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（八）卫生健康（类）行政事业单位医疗（款）事业单位医疗（项）：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p>
    <w:p w14:paraId="5960EC2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（九）住房保障（类）住房改革支出（款）住房公积金（项）：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p>
    <w:p w14:paraId="5061E89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（十）基本支出：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p>
    <w:p w14:paraId="74A5E1B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　　（十一）项目支出：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14:paraId="15B39E0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（十二）“三公”经费：</w:t>
      </w:r>
      <w:r>
        <w:rPr>
          <w:rFonts w:hint="eastAsia" w:ascii="仿宋_GB2312" w:hAnsi="仿宋_GB2312" w:eastAsia="仿宋_GB2312" w:cs="仿宋_GB2312"/>
          <w:sz w:val="32"/>
          <w:szCs w:val="32"/>
          <w:lang w:val="en-US" w:eastAsia="zh-CN"/>
        </w:rPr>
        <w:t>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5A8F6B5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 单位预算公开表</w:t>
      </w:r>
    </w:p>
    <w:p w14:paraId="4CEB373D">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left="1600" w:leftChars="0" w:firstLine="0" w:firstLineChars="0"/>
        <w:textAlignment w:val="auto"/>
        <w:outlineLvl w:val="1"/>
        <w:rPr>
          <w:rFonts w:hint="eastAsia" w:ascii="仿宋_GB2312" w:hAnsi="仿宋_GB2312" w:eastAsia="仿宋_GB2312" w:cs="仿宋_GB2312"/>
          <w:sz w:val="32"/>
          <w:szCs w:val="32"/>
          <w:lang w:val="en-US" w:eastAsia="zh-CN"/>
        </w:rPr>
      </w:pPr>
      <w:bookmarkStart w:id="43" w:name="_Toc7435"/>
      <w:bookmarkStart w:id="44" w:name="_Toc26346"/>
      <w:bookmarkStart w:id="45" w:name="_Toc21192"/>
      <w:r>
        <w:rPr>
          <w:rFonts w:hint="eastAsia" w:ascii="仿宋_GB2312" w:hAnsi="仿宋_GB2312" w:eastAsia="仿宋_GB2312" w:cs="仿宋_GB2312"/>
          <w:sz w:val="32"/>
          <w:szCs w:val="32"/>
          <w:lang w:val="en-US" w:eastAsia="zh-CN"/>
        </w:rPr>
        <w:t>单位预算项目绩效目标表</w:t>
      </w:r>
      <w:bookmarkEnd w:id="43"/>
      <w:bookmarkEnd w:id="44"/>
      <w:bookmarkEnd w:id="45"/>
    </w:p>
    <w:p w14:paraId="42A4A3B8">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6564B76-2EAA-4145-B7D6-A8C959DD285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Segoe Print"/>
    <w:panose1 w:val="020B0604020202020204"/>
    <w:charset w:val="00"/>
    <w:family w:val="auto"/>
    <w:pitch w:val="default"/>
    <w:sig w:usb0="00000000" w:usb1="00000000" w:usb2="00000000" w:usb3="00000000" w:csb0="6000009F" w:csb1="DFD70000"/>
  </w:font>
  <w:font w:name="Segoe Print">
    <w:panose1 w:val="02000600000000000000"/>
    <w:charset w:val="00"/>
    <w:family w:val="auto"/>
    <w:pitch w:val="default"/>
    <w:sig w:usb0="0000028F" w:usb1="00000000" w:usb2="00000000" w:usb3="00000000" w:csb0="2000009F" w:csb1="4701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embedRegular r:id="rId2" w:fontKey="{0C762974-EC2A-4E6D-BA79-07FA50BC63DD}"/>
  </w:font>
  <w:font w:name="仿宋_GB2312">
    <w:altName w:val="仿宋"/>
    <w:panose1 w:val="02010609030101010101"/>
    <w:charset w:val="86"/>
    <w:family w:val="auto"/>
    <w:pitch w:val="default"/>
    <w:sig w:usb0="00000000" w:usb1="00000000" w:usb2="00000000" w:usb3="00000000" w:csb0="00040000" w:csb1="00000000"/>
    <w:embedRegular r:id="rId3" w:fontKey="{8CEB00FE-A58B-4181-9517-C84F5D5A1ADF}"/>
  </w:font>
  <w:font w:name="仿宋">
    <w:panose1 w:val="02010609060101010101"/>
    <w:charset w:val="86"/>
    <w:family w:val="auto"/>
    <w:pitch w:val="default"/>
    <w:sig w:usb0="800002BF" w:usb1="38CF7CFA" w:usb2="00000016" w:usb3="00000000" w:csb0="00040001" w:csb1="00000000"/>
    <w:embedRegular r:id="rId4" w:fontKey="{6C6CB337-81D5-4DCB-95D4-70C8361F8759}"/>
  </w:font>
  <w:font w:name="楷体_GB2312">
    <w:altName w:val="楷体"/>
    <w:panose1 w:val="02010609030101010101"/>
    <w:charset w:val="86"/>
    <w:family w:val="auto"/>
    <w:pitch w:val="default"/>
    <w:sig w:usb0="00000000" w:usb1="00000000" w:usb2="00000000" w:usb3="00000000" w:csb0="00040000" w:csb1="00000000"/>
    <w:embedRegular r:id="rId5" w:fontKey="{8826FF77-9BA1-4701-A48A-D9E74A6129D4}"/>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892C0">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18"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59C959B0">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l1uVLQAAAABQEAAA8AAAAAAAAAAQAgAAAAIgAAAGRycy9kb3ducmV2LnhtbFBL&#10;AQIUABQAAAAIAIdO4kADbXOS/gEAAAAEAAAOAAAAAAAAAAEAIAAAAB8BAABkcnMvZTJvRG9jLnht&#10;bFBLBQYAAAAABgAGAFkBAACPBQAAAAA=&#10;">
              <v:fill on="f" focussize="0,0"/>
              <v:stroke on="f"/>
              <v:imagedata o:title=""/>
              <o:lock v:ext="edit" aspectratio="f"/>
              <v:textbox inset="0mm,0mm,0mm,0mm" style="mso-fit-shape-to-text:t;">
                <w:txbxContent>
                  <w:p w14:paraId="59C959B0">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EEC346"/>
    <w:multiLevelType w:val="singleLevel"/>
    <w:tmpl w:val="0DEEC346"/>
    <w:lvl w:ilvl="0" w:tentative="0">
      <w:start w:val="3"/>
      <w:numFmt w:val="chineseCounting"/>
      <w:suff w:val="nothing"/>
      <w:lvlText w:val="（%1）"/>
      <w:lvlJc w:val="left"/>
      <w:rPr>
        <w:rFonts w:hint="eastAsia"/>
      </w:rPr>
    </w:lvl>
  </w:abstractNum>
  <w:abstractNum w:abstractNumId="1">
    <w:nsid w:val="4B82448F"/>
    <w:multiLevelType w:val="singleLevel"/>
    <w:tmpl w:val="4B82448F"/>
    <w:lvl w:ilvl="0" w:tentative="0">
      <w:start w:val="2"/>
      <w:numFmt w:val="chineseCounting"/>
      <w:suff w:val="nothing"/>
      <w:lvlText w:val="（%1）"/>
      <w:lvlJc w:val="left"/>
      <w:rPr>
        <w:rFonts w:hint="eastAsia"/>
      </w:rPr>
    </w:lvl>
  </w:abstractNum>
  <w:abstractNum w:abstractNumId="2">
    <w:nsid w:val="76C07A07"/>
    <w:multiLevelType w:val="singleLevel"/>
    <w:tmpl w:val="76C07A07"/>
    <w:lvl w:ilvl="0" w:tentative="0">
      <w:start w:val="2"/>
      <w:numFmt w:val="decimal"/>
      <w:lvlText w:val="%1."/>
      <w:lvlJc w:val="left"/>
      <w:pPr>
        <w:tabs>
          <w:tab w:val="left" w:pos="312"/>
        </w:tabs>
        <w:ind w:left="1600" w:leftChars="0" w:firstLine="0" w:firstLineChars="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YmQ3N2FhZmE1Yjg0OGFkNTU5NTg3M2QzNjJlMDgifQ=="/>
  </w:docVars>
  <w:rsids>
    <w:rsidRoot w:val="00000000"/>
    <w:rsid w:val="69A865DD"/>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2">
    <w:name w:val="Default Paragraph Font"/>
    <w:autoRedefine/>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caption"/>
    <w:basedOn w:val="1"/>
    <w:autoRedefine/>
    <w:qFormat/>
    <w:uiPriority w:val="0"/>
    <w:pPr>
      <w:widowControl w:val="0"/>
      <w:suppressLineNumbers/>
      <w:suppressAutoHyphens/>
      <w:spacing w:before="120" w:after="120"/>
    </w:pPr>
    <w:rPr>
      <w:i/>
      <w:iCs/>
      <w:sz w:val="24"/>
      <w:szCs w:val="24"/>
    </w:rPr>
  </w:style>
  <w:style w:type="paragraph" w:styleId="3">
    <w:name w:val="Body Text"/>
    <w:basedOn w:val="1"/>
    <w:autoRedefine/>
    <w:qFormat/>
    <w:uiPriority w:val="0"/>
    <w:pPr>
      <w:spacing w:before="0" w:after="140" w:line="276" w:lineRule="auto"/>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List"/>
    <w:basedOn w:val="3"/>
    <w:autoRedefine/>
    <w:qFormat/>
    <w:uiPriority w:val="0"/>
  </w:style>
  <w:style w:type="paragraph" w:styleId="8">
    <w:name w:val="toc 2"/>
    <w:basedOn w:val="1"/>
    <w:next w:val="1"/>
    <w:qFormat/>
    <w:uiPriority w:val="0"/>
    <w:pPr>
      <w:ind w:left="420" w:leftChars="200"/>
    </w:pPr>
  </w:style>
  <w:style w:type="paragraph" w:styleId="9">
    <w:name w:val="Normal (Web)"/>
    <w:basedOn w:val="1"/>
    <w:autoRedefine/>
    <w:qFormat/>
    <w:uiPriority w:val="0"/>
    <w:rPr>
      <w:sz w:val="24"/>
    </w:rPr>
  </w:style>
  <w:style w:type="table" w:styleId="11">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默认段落字体1"/>
    <w:autoRedefine/>
    <w:qFormat/>
    <w:uiPriority w:val="0"/>
  </w:style>
  <w:style w:type="paragraph" w:customStyle="1" w:styleId="14">
    <w:name w:val="Heading"/>
    <w:basedOn w:val="1"/>
    <w:next w:val="3"/>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5">
    <w:name w:val="Index"/>
    <w:basedOn w:val="1"/>
    <w:autoRedefine/>
    <w:qFormat/>
    <w:uiPriority w:val="0"/>
    <w:pPr>
      <w:widowControl w:val="0"/>
      <w:suppressLineNumbers/>
      <w:suppressAutoHyphens/>
    </w:pPr>
  </w:style>
  <w:style w:type="paragraph" w:customStyle="1" w:styleId="16">
    <w:name w:val="WPSOffice手动目录 1"/>
    <w:qFormat/>
    <w:uiPriority w:val="0"/>
    <w:pPr>
      <w:ind w:leftChars="0"/>
    </w:pPr>
    <w:rPr>
      <w:rFonts w:ascii="Times New Roman" w:hAnsi="Times New Roman" w:eastAsia="宋体" w:cs="Times New Roman"/>
      <w:sz w:val="20"/>
      <w:szCs w:val="20"/>
    </w:rPr>
  </w:style>
  <w:style w:type="paragraph" w:customStyle="1" w:styleId="1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3162</Words>
  <Characters>3385</Characters>
  <TotalTime>12</TotalTime>
  <ScaleCrop>false</ScaleCrop>
  <LinksUpToDate>false</LinksUpToDate>
  <CharactersWithSpaces>3455</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丽丽</cp:lastModifiedBy>
  <dcterms:modified xsi:type="dcterms:W3CDTF">2025-02-15T05:31:09Z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96081F72B7444D3C8C1C7DDAED24732C_13</vt:lpwstr>
  </property>
  <property fmtid="{D5CDD505-2E9C-101B-9397-08002B2CF9AE}" pid="4" name="KSOTemplateDocerSaveRecord">
    <vt:lpwstr>eyJoZGlkIjoiOTlhNTlmMWMwY2NkZGNhOTM0ZTIzOTMwM2UwMjVlYzgiLCJ1c2VySWQiOiI2MDAwNDk2NTIifQ==</vt:lpwstr>
  </property>
</Properties>
</file>