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A424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黑体" w:hAnsi="黑体" w:eastAsia="黑体" w:cs="黑体"/>
          <w:b w:val="0"/>
          <w:bCs w:val="0"/>
          <w:i w:val="0"/>
          <w:caps w:val="0"/>
          <w:color w:val="000000" w:themeColor="text1"/>
          <w:spacing w:val="0"/>
          <w:sz w:val="44"/>
          <w:szCs w:val="44"/>
          <w:highlight w:val="none"/>
          <w:lang w:val="en-US"/>
          <w14:textFill>
            <w14:solidFill>
              <w14:schemeClr w14:val="tx1"/>
            </w14:solidFill>
          </w14:textFill>
        </w:rPr>
      </w:pPr>
      <w:bookmarkStart w:id="0" w:name="_Toc18966"/>
      <w:bookmarkStart w:id="1" w:name="_Toc15491"/>
      <w: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广元市昭化区红岩镇白果小学</w:t>
      </w:r>
      <w:bookmarkEnd w:id="0"/>
      <w:bookmarkEnd w:id="1"/>
    </w:p>
    <w:p w14:paraId="3D460A5C">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213E80B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p w14:paraId="261F6FD4">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6886"/>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SA"/>
          <w14:textFill>
            <w14:solidFill>
              <w14:schemeClr w14:val="tx1"/>
            </w14:solidFill>
          </w14:textFill>
        </w:rPr>
      </w:sdtEndPr>
      <w:sdtContent>
        <w:p w14:paraId="5FAF1AF3">
          <w:pPr>
            <w:spacing w:before="0" w:beforeLines="0" w:after="0" w:afterLines="0" w:line="240" w:lineRule="auto"/>
            <w:ind w:left="0" w:leftChars="0" w:right="0" w:rightChars="0" w:firstLine="0" w:firstLineChars="0"/>
            <w:jc w:val="center"/>
          </w:pPr>
        </w:p>
        <w:p w14:paraId="4E837831">
          <w:pPr>
            <w:pStyle w:val="16"/>
            <w:tabs>
              <w:tab w:val="right" w:leader="dot" w:pos="8845"/>
            </w:tabs>
            <w:rPr>
              <w:rFonts w:hint="eastAsia" w:ascii="仿宋" w:hAnsi="仿宋" w:eastAsia="仿宋" w:cs="仿宋"/>
              <w:b/>
              <w:sz w:val="32"/>
              <w:szCs w:val="32"/>
            </w:rPr>
          </w:pPr>
          <w:r>
            <w:rPr>
              <w:rFonts w:hint="eastAsia" w:ascii="宋体" w:hAnsi="宋体" w:eastAsia="宋体" w:cs="宋体"/>
              <w:i w:val="0"/>
              <w:caps w:val="0"/>
              <w:color w:val="000000" w:themeColor="text1"/>
              <w:spacing w:val="0"/>
              <w:kern w:val="0"/>
              <w:sz w:val="28"/>
              <w:szCs w:val="28"/>
              <w:highlight w:val="none"/>
              <w:lang w:val="en-US" w:eastAsia="zh-CN"/>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lang w:val="en-US" w:eastAsia="zh-CN"/>
              <w14:textFill>
                <w14:solidFill>
                  <w14:schemeClr w14:val="tx1"/>
                </w14:solidFill>
              </w14:textFill>
            </w:rPr>
            <w:instrText xml:space="preserve">TOC \o "1-2" \h \u</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fldChar w:fldCharType="separate"/>
          </w:r>
          <w:r>
            <w:fldChar w:fldCharType="begin"/>
          </w:r>
          <w:r>
            <w:instrText xml:space="preserve"> HYPERLINK \l "_Toc847" </w:instrText>
          </w:r>
          <w: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_Toc847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63150710">
          <w:pPr>
            <w:pStyle w:val="17"/>
            <w:tabs>
              <w:tab w:val="right" w:leader="dot" w:pos="8845"/>
            </w:tabs>
            <w:rPr>
              <w:rFonts w:hint="eastAsia" w:ascii="仿宋" w:hAnsi="仿宋" w:eastAsia="仿宋" w:cs="仿宋"/>
              <w:sz w:val="32"/>
              <w:szCs w:val="32"/>
            </w:rPr>
          </w:pPr>
          <w:r>
            <w:fldChar w:fldCharType="begin"/>
          </w:r>
          <w:r>
            <w:instrText xml:space="preserve"> HYPERLINK \l "_Toc10969" </w:instrText>
          </w:r>
          <w: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_Toc10969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A02E1F9">
          <w:pPr>
            <w:pStyle w:val="17"/>
            <w:tabs>
              <w:tab w:val="right" w:leader="dot" w:pos="8845"/>
            </w:tabs>
            <w:rPr>
              <w:rFonts w:hint="eastAsia" w:ascii="仿宋" w:hAnsi="仿宋" w:eastAsia="仿宋" w:cs="仿宋"/>
              <w:sz w:val="32"/>
              <w:szCs w:val="32"/>
            </w:rPr>
          </w:pPr>
          <w:r>
            <w:fldChar w:fldCharType="begin"/>
          </w:r>
          <w:r>
            <w:instrText xml:space="preserve"> HYPERLINK \l "_Toc31499" </w:instrText>
          </w:r>
          <w:r>
            <w:fldChar w:fldCharType="separate"/>
          </w:r>
          <w:r>
            <w:rPr>
              <w:rFonts w:hint="eastAsia" w:ascii="仿宋" w:hAnsi="仿宋" w:eastAsia="仿宋" w:cs="仿宋"/>
              <w:sz w:val="32"/>
              <w:szCs w:val="32"/>
            </w:rPr>
            <w:t>（二）</w:t>
          </w:r>
          <w:r>
            <w:rPr>
              <w:rFonts w:hint="eastAsia" w:ascii="仿宋" w:hAnsi="仿宋" w:eastAsia="仿宋" w:cs="仿宋"/>
              <w:sz w:val="32"/>
              <w:szCs w:val="32"/>
              <w:lang w:val="en-US"/>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_Toc31499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0B6C51F">
          <w:pPr>
            <w:pStyle w:val="16"/>
            <w:tabs>
              <w:tab w:val="right" w:leader="dot" w:pos="8845"/>
            </w:tabs>
            <w:rPr>
              <w:rFonts w:hint="eastAsia" w:ascii="仿宋" w:hAnsi="仿宋" w:eastAsia="仿宋" w:cs="仿宋"/>
              <w:b/>
              <w:sz w:val="32"/>
              <w:szCs w:val="32"/>
            </w:rPr>
          </w:pPr>
          <w:r>
            <w:fldChar w:fldCharType="begin"/>
          </w:r>
          <w:r>
            <w:instrText xml:space="preserve"> HYPERLINK \l "_Toc13492" </w:instrText>
          </w:r>
          <w: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_Toc13492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9084A27">
          <w:pPr>
            <w:pStyle w:val="16"/>
            <w:tabs>
              <w:tab w:val="right" w:leader="dot" w:pos="8845"/>
            </w:tabs>
            <w:rPr>
              <w:rFonts w:hint="eastAsia" w:ascii="仿宋" w:hAnsi="仿宋" w:eastAsia="仿宋" w:cs="仿宋"/>
              <w:b/>
              <w:sz w:val="32"/>
              <w:szCs w:val="32"/>
            </w:rPr>
          </w:pPr>
          <w:r>
            <w:fldChar w:fldCharType="begin"/>
          </w:r>
          <w:r>
            <w:instrText xml:space="preserve"> HYPERLINK \l "_Toc19691" </w:instrText>
          </w:r>
          <w: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_Toc19691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6D09E997">
          <w:pPr>
            <w:pStyle w:val="17"/>
            <w:tabs>
              <w:tab w:val="right" w:leader="dot" w:pos="8845"/>
            </w:tabs>
            <w:rPr>
              <w:rFonts w:hint="eastAsia" w:ascii="仿宋" w:hAnsi="仿宋" w:eastAsia="仿宋" w:cs="仿宋"/>
              <w:sz w:val="32"/>
              <w:szCs w:val="32"/>
            </w:rPr>
          </w:pPr>
          <w:r>
            <w:fldChar w:fldCharType="begin"/>
          </w:r>
          <w:r>
            <w:instrText xml:space="preserve"> HYPERLINK \l "_Toc10471" </w:instrText>
          </w:r>
          <w: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_Toc10471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42784C3">
          <w:pPr>
            <w:pStyle w:val="17"/>
            <w:tabs>
              <w:tab w:val="right" w:leader="dot" w:pos="8845"/>
            </w:tabs>
            <w:rPr>
              <w:rFonts w:hint="eastAsia" w:ascii="仿宋" w:hAnsi="仿宋" w:eastAsia="仿宋" w:cs="仿宋"/>
              <w:sz w:val="32"/>
              <w:szCs w:val="32"/>
            </w:rPr>
          </w:pPr>
          <w:r>
            <w:fldChar w:fldCharType="begin"/>
          </w:r>
          <w:r>
            <w:instrText xml:space="preserve"> HYPERLINK \l "_Toc2683" </w:instrText>
          </w:r>
          <w: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_Toc2683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20AC821">
          <w:pPr>
            <w:pStyle w:val="16"/>
            <w:tabs>
              <w:tab w:val="right" w:leader="dot" w:pos="8845"/>
            </w:tabs>
            <w:rPr>
              <w:rFonts w:hint="eastAsia" w:ascii="仿宋" w:hAnsi="仿宋" w:eastAsia="仿宋" w:cs="仿宋"/>
              <w:b/>
              <w:sz w:val="32"/>
              <w:szCs w:val="32"/>
            </w:rPr>
          </w:pPr>
          <w:r>
            <w:fldChar w:fldCharType="begin"/>
          </w:r>
          <w:r>
            <w:instrText xml:space="preserve"> HYPERLINK \l "_Toc6867" </w:instrText>
          </w:r>
          <w: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_Toc6867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AFF5086">
          <w:pPr>
            <w:pStyle w:val="16"/>
            <w:tabs>
              <w:tab w:val="right" w:leader="dot" w:pos="8845"/>
            </w:tabs>
            <w:rPr>
              <w:rFonts w:hint="eastAsia" w:ascii="仿宋" w:hAnsi="仿宋" w:eastAsia="仿宋" w:cs="仿宋"/>
              <w:b/>
              <w:sz w:val="32"/>
              <w:szCs w:val="32"/>
            </w:rPr>
          </w:pPr>
          <w:r>
            <w:fldChar w:fldCharType="begin"/>
          </w:r>
          <w:r>
            <w:instrText xml:space="preserve"> HYPERLINK \l "_Toc18819" </w:instrText>
          </w:r>
          <w: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_Toc18819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2A9C27B">
          <w:pPr>
            <w:pStyle w:val="17"/>
            <w:tabs>
              <w:tab w:val="right" w:leader="dot" w:pos="8845"/>
            </w:tabs>
            <w:rPr>
              <w:rFonts w:hint="eastAsia" w:ascii="仿宋" w:hAnsi="仿宋" w:eastAsia="仿宋" w:cs="仿宋"/>
              <w:sz w:val="32"/>
              <w:szCs w:val="32"/>
            </w:rPr>
          </w:pPr>
          <w:r>
            <w:fldChar w:fldCharType="begin"/>
          </w:r>
          <w:r>
            <w:instrText xml:space="preserve"> HYPERLINK \l "_Toc24957" </w:instrText>
          </w:r>
          <w: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_Toc24957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D8135EA">
          <w:pPr>
            <w:pStyle w:val="17"/>
            <w:tabs>
              <w:tab w:val="right" w:leader="dot" w:pos="8845"/>
            </w:tabs>
            <w:rPr>
              <w:rFonts w:hint="eastAsia" w:ascii="仿宋" w:hAnsi="仿宋" w:eastAsia="仿宋" w:cs="仿宋"/>
              <w:sz w:val="32"/>
              <w:szCs w:val="32"/>
            </w:rPr>
          </w:pPr>
          <w:r>
            <w:fldChar w:fldCharType="begin"/>
          </w:r>
          <w:r>
            <w:instrText xml:space="preserve"> HYPERLINK \l "_Toc9183" </w:instrText>
          </w:r>
          <w: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_Toc9183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89E7A29">
          <w:pPr>
            <w:pStyle w:val="17"/>
            <w:tabs>
              <w:tab w:val="right" w:leader="dot" w:pos="8845"/>
            </w:tabs>
            <w:rPr>
              <w:rFonts w:hint="eastAsia" w:ascii="仿宋" w:hAnsi="仿宋" w:eastAsia="仿宋" w:cs="仿宋"/>
              <w:sz w:val="32"/>
              <w:szCs w:val="32"/>
            </w:rPr>
          </w:pPr>
          <w:r>
            <w:fldChar w:fldCharType="begin"/>
          </w:r>
          <w:r>
            <w:instrText xml:space="preserve"> HYPERLINK \l "_Toc6777" </w:instrText>
          </w:r>
          <w: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_Toc6777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33FB3CE">
          <w:pPr>
            <w:pStyle w:val="16"/>
            <w:tabs>
              <w:tab w:val="right" w:leader="dot" w:pos="8845"/>
            </w:tabs>
            <w:rPr>
              <w:rFonts w:hint="eastAsia" w:ascii="仿宋" w:hAnsi="仿宋" w:eastAsia="仿宋" w:cs="仿宋"/>
              <w:b/>
              <w:sz w:val="32"/>
              <w:szCs w:val="32"/>
            </w:rPr>
          </w:pPr>
          <w:r>
            <w:fldChar w:fldCharType="begin"/>
          </w:r>
          <w:r>
            <w:instrText xml:space="preserve"> HYPERLINK \l "_Toc10071" </w:instrText>
          </w:r>
          <w: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_Toc10071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8C228AF">
          <w:pPr>
            <w:pStyle w:val="16"/>
            <w:tabs>
              <w:tab w:val="right" w:leader="dot" w:pos="8845"/>
            </w:tabs>
            <w:rPr>
              <w:rFonts w:hint="eastAsia" w:ascii="仿宋" w:hAnsi="仿宋" w:eastAsia="仿宋" w:cs="仿宋"/>
              <w:b/>
              <w:sz w:val="32"/>
              <w:szCs w:val="32"/>
            </w:rPr>
          </w:pPr>
          <w:r>
            <w:fldChar w:fldCharType="begin"/>
          </w:r>
          <w:r>
            <w:instrText xml:space="preserve"> HYPERLINK \l "_Toc28909" </w:instrText>
          </w:r>
          <w: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_Toc28909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663DD8CA">
          <w:pPr>
            <w:pStyle w:val="16"/>
            <w:tabs>
              <w:tab w:val="right" w:leader="dot" w:pos="8845"/>
            </w:tabs>
            <w:rPr>
              <w:rFonts w:hint="eastAsia" w:ascii="仿宋" w:hAnsi="仿宋" w:eastAsia="仿宋" w:cs="仿宋"/>
              <w:b/>
              <w:sz w:val="32"/>
              <w:szCs w:val="32"/>
            </w:rPr>
          </w:pPr>
          <w:r>
            <w:fldChar w:fldCharType="begin"/>
          </w:r>
          <w:r>
            <w:instrText xml:space="preserve"> HYPERLINK \l "_Toc15922" </w:instrText>
          </w:r>
          <w: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_Toc15922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6D2E3ED1">
          <w:pPr>
            <w:pStyle w:val="16"/>
            <w:tabs>
              <w:tab w:val="right" w:leader="dot" w:pos="8845"/>
            </w:tabs>
            <w:rPr>
              <w:rFonts w:hint="eastAsia" w:ascii="仿宋" w:hAnsi="仿宋" w:eastAsia="仿宋" w:cs="仿宋"/>
              <w:b/>
              <w:sz w:val="32"/>
              <w:szCs w:val="32"/>
            </w:rPr>
          </w:pPr>
          <w:r>
            <w:fldChar w:fldCharType="begin"/>
          </w:r>
          <w:r>
            <w:instrText xml:space="preserve"> HYPERLINK \l "_Toc19683" </w:instrText>
          </w:r>
          <w: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_Toc19683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36A95605">
          <w:pPr>
            <w:pStyle w:val="16"/>
            <w:tabs>
              <w:tab w:val="right" w:leader="dot" w:pos="8845"/>
            </w:tabs>
            <w:rPr>
              <w:rFonts w:hint="eastAsia" w:ascii="仿宋" w:hAnsi="仿宋" w:eastAsia="仿宋" w:cs="仿宋"/>
              <w:sz w:val="32"/>
              <w:szCs w:val="32"/>
            </w:rPr>
          </w:pPr>
          <w:r>
            <w:fldChar w:fldCharType="begin"/>
          </w:r>
          <w:r>
            <w:instrText xml:space="preserve"> HYPERLINK \l "_Toc14466" </w:instrText>
          </w:r>
          <w: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_Toc14466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3EC308FC">
          <w:pPr>
            <w:pStyle w:val="16"/>
            <w:tabs>
              <w:tab w:val="right" w:leader="dot" w:pos="8845"/>
            </w:tabs>
            <w:rPr>
              <w:b/>
            </w:rPr>
          </w:pPr>
          <w:r>
            <w:fldChar w:fldCharType="begin"/>
          </w:r>
          <w:r>
            <w:instrText xml:space="preserve"> HYPERLINK \l "_Toc25353" </w:instrText>
          </w:r>
          <w: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_Toc25353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137B4C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14:textFill>
                <w14:solidFill>
                  <w14:schemeClr w14:val="tx1"/>
                </w14:solidFill>
              </w14:textFill>
            </w:rPr>
            <w:fldChar w:fldCharType="end"/>
          </w:r>
        </w:p>
      </w:sdtContent>
    </w:sdt>
    <w:p w14:paraId="643D128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3ADDF2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0DF449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86E129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C01548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0E3F52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ECC6C1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796833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FD4BEF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8A2C6A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CFDFE8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F89D09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794992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6DD0F1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7E925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847"/>
      <w:bookmarkStart w:id="3" w:name="_Toc5964"/>
      <w:r>
        <w:rPr>
          <w:rFonts w:hint="eastAsia" w:ascii="黑体" w:hAnsi="黑体" w:eastAsia="黑体" w:cs="黑体"/>
          <w:sz w:val="32"/>
          <w:szCs w:val="32"/>
          <w:lang w:val="en-US" w:eastAsia="zh-CN"/>
        </w:rPr>
        <w:t>一、基本职能及主要工作</w:t>
      </w:r>
      <w:bookmarkEnd w:id="2"/>
      <w:bookmarkEnd w:id="3"/>
    </w:p>
    <w:p w14:paraId="49BFF0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31833"/>
      <w:bookmarkStart w:id="5" w:name="_Toc10969"/>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4"/>
      <w:bookmarkEnd w:id="5"/>
    </w:p>
    <w:p w14:paraId="562427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180360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275A16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0C80B2E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0C6964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4EAE54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694B41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5ADBB3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1A3049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53E294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40A83A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65796C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3D694B49">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outlineLvl w:val="1"/>
        <w:rPr>
          <w:rFonts w:hint="eastAsia" w:ascii="楷体_GB2312" w:hAnsi="楷体_GB2312" w:eastAsia="楷体_GB2312" w:cs="楷体_GB2312"/>
          <w:sz w:val="32"/>
          <w:szCs w:val="32"/>
        </w:rPr>
      </w:pPr>
      <w:bookmarkStart w:id="6" w:name="_Toc24555"/>
      <w:bookmarkStart w:id="7" w:name="_Toc31499"/>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6"/>
      <w:bookmarkEnd w:id="7"/>
    </w:p>
    <w:p w14:paraId="5B2923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更新教育理念：定期组织教师参加现代教育思想和教学策略培训，每学期开展2次校内教学研讨活动，鼓励教师分享创新教学经验，提升教学效能和创新意识。</w:t>
      </w:r>
    </w:p>
    <w:p w14:paraId="29F952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优化教学计划：依据学生的学习情况和个性特点，为每个班级制定详细的分层教学方案，针对学习困难学生和学有余力</w:t>
      </w:r>
      <w:r>
        <w:rPr>
          <w:rFonts w:hint="eastAsia" w:ascii="仿宋" w:hAnsi="仿宋" w:eastAsia="仿宋" w:cs="仿宋"/>
          <w:sz w:val="32"/>
          <w:szCs w:val="32"/>
          <w:lang w:val="en-US" w:eastAsia="zh-CN"/>
        </w:rPr>
        <w:t>的</w:t>
      </w:r>
      <w:r>
        <w:rPr>
          <w:rFonts w:hint="eastAsia" w:ascii="仿宋" w:hAnsi="仿宋" w:eastAsia="仿宋" w:cs="仿宋"/>
          <w:sz w:val="32"/>
          <w:szCs w:val="32"/>
        </w:rPr>
        <w:t>学生分别提供个性化辅导和拓展学习资源，确保每位学生都能得到有效教育。</w:t>
      </w:r>
    </w:p>
    <w:p w14:paraId="39BAB2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强化素质教育：增加科技、艺术、体育等兴趣课程的课时，每周安排至少2节兴趣课程；组织各类学科竞赛和文体活动，如科技创新大赛、校园文化艺术节、运动会等，激发学生的创新精神和实践能力。</w:t>
      </w:r>
    </w:p>
    <w:p w14:paraId="61FAE6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提升教学质量：建立每月教学评估制度，通过课堂观察、学生作业和考试成绩分析等方式，及时反馈教学问题；每学期邀请教研室或名师工作室到校进行1 - 2次教学督导，提出改进建议，提高教学质量。</w:t>
      </w:r>
    </w:p>
    <w:p w14:paraId="5D6242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深化家校协作：每学期召开2 - 3次家长会，搭建家校沟通平台；成立家长志愿者团队，参与学校活动和学生管理，共同促进学生成长。</w:t>
      </w:r>
    </w:p>
    <w:p w14:paraId="2DD8CB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提高师资能力：制定教师年度培训计划，支持教师参加各类线上线下培训课程，每年每位教师参加培训时长不少于40学时；组织教师参加教学技能比赛，以赛促教，提升教学能力。</w:t>
      </w:r>
    </w:p>
    <w:p w14:paraId="4FC3F2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建立教师评价体系：设立多元化的教师评价机制，包括教学质量、学生评价、同行评价等；每学期评选优秀教师，给予表彰和奖励，激励教师积极发展。</w:t>
      </w:r>
    </w:p>
    <w:p w14:paraId="0E89174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促进教师团队合作：成立学科教学团队，每周开展一次集体备课和教学研讨活动；鼓励教师跨学科合作，共同开发综合课程，提升整体教学团队水平。</w:t>
      </w:r>
    </w:p>
    <w:p w14:paraId="18B25B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改善教师福利：合理调整教师的绩效工资，完善福利待遇，如提供健康体检、节日慰问等；关注教师心理健康，定期组织心理辅导活动，增强教师的满意度和归属感。</w:t>
      </w:r>
    </w:p>
    <w:p w14:paraId="495D1D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完善学生管理机制：修订学生行为准则和奖惩制度，明确学生行为规范和奖惩标准；加强学生自主管理，每周进行一次班级纪律和卫生评比，营造良好的学习氛围。</w:t>
      </w:r>
    </w:p>
    <w:p w14:paraId="64A603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关注学生心理健康：利用少队课等，每周开展1 - 2次心理健康教育。发挥“悄悄话”信箱的作用，针对学生提出的问题，及时解决。</w:t>
      </w:r>
    </w:p>
    <w:p w14:paraId="3B06E3C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发掘学生兴趣潜能：继续开展兴趣社团活动，坚持做好做实两个非遗社团，每周至少安排2次社团活动时间；组织学生参加校外兴趣比赛，展示学生特长，激发学生兴趣。</w:t>
      </w:r>
    </w:p>
    <w:p w14:paraId="4691D0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强化班级管理：加强班级文化建设，完善班徽绘制；每月开展一次主题班会，培养学生的集体荣誉感和团队合作精神。</w:t>
      </w:r>
    </w:p>
    <w:p w14:paraId="4EC616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更新教学设施：完成长寿桥教育集团捐赠的多媒体教学设备采购与安装；积极争取资金，完成学生宿舍的治漏，为学生提供更优质的教育条件。</w:t>
      </w:r>
    </w:p>
    <w:p w14:paraId="4AF0BF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打造优美校园：加强校园绿化和美化工作，种植花草树木，打造校园景观带；开展校园环境卫生整治活动，每周进行一次校园卫生大扫除，创造干净、舒适、美观的学习和生活环境。</w:t>
      </w:r>
    </w:p>
    <w:p w14:paraId="1C9ED6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强化安全管理：完善校园安全制度，明确各岗位安全职责；每月进行一次安全隐患排查，及时整改安全问题；加强安全教育，每周开展一次安全教育课，每月组织一次安全演练，提高学生的安全意识和自我保护能力。</w:t>
      </w:r>
    </w:p>
    <w:p w14:paraId="382926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加强社会合作：与当地社区、企业建立合作关系，开展社会实践活动，如参观工厂、社区服务等，拓宽学生的社会视野；邀请社会人士到校举办讲座，如法制讲座、科普讲座等，丰富学生的知识储备。</w:t>
      </w:r>
    </w:p>
    <w:p w14:paraId="13E8D8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建立家校沟通桥梁：利用微信公众号、家长群等平台，及时发布学校通知和学生在校情况；每学期开展家长开放日活动，邀请家长走进课堂，了解学生的学习情况，增强家长对学生教育和学习的参与度。</w:t>
      </w:r>
    </w:p>
    <w:p w14:paraId="6BFA1E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完善财务管理制度：建立健全财务预算、核算和监督制度，严格执行财务审批流程；定期公开学校财务收支情况，接受师生和家长的监督。</w:t>
      </w:r>
    </w:p>
    <w:p w14:paraId="704F62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提高后勤管理效率：加强后勤人员培训，提高服务意识和业务能力；优化物资采购和仓储管理流程，建立物资库存管理系统，提高物资管理效率。</w:t>
      </w:r>
    </w:p>
    <w:p w14:paraId="0F6931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29877"/>
      <w:bookmarkStart w:id="9" w:name="_Toc13492"/>
      <w:r>
        <w:rPr>
          <w:rFonts w:hint="eastAsia" w:ascii="黑体" w:hAnsi="黑体" w:eastAsia="黑体" w:cs="黑体"/>
          <w:sz w:val="32"/>
          <w:szCs w:val="32"/>
          <w:lang w:val="en-US" w:eastAsia="zh-CN"/>
        </w:rPr>
        <w:t>二、部门预算单位构成</w:t>
      </w:r>
      <w:bookmarkEnd w:id="8"/>
      <w:bookmarkEnd w:id="9"/>
    </w:p>
    <w:p w14:paraId="3AC7EA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27859F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0" w:name="_Toc19691"/>
      <w:bookmarkStart w:id="11" w:name="_Toc20676"/>
      <w:r>
        <w:rPr>
          <w:rFonts w:hint="eastAsia" w:ascii="黑体" w:hAnsi="黑体" w:eastAsia="黑体" w:cs="黑体"/>
          <w:sz w:val="32"/>
          <w:szCs w:val="32"/>
          <w:lang w:val="en-US" w:eastAsia="zh-CN"/>
        </w:rPr>
        <w:t>三、收支预算情况说明</w:t>
      </w:r>
      <w:bookmarkEnd w:id="10"/>
      <w:bookmarkEnd w:id="11"/>
    </w:p>
    <w:p w14:paraId="026612B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白果小学所有收入和支出均纳入部门预算管理。收入包括：一般公共预算拨款收入；支出包括：教育支出。白果小学2025年收支预算总数397.43万元，比2024年收支预算总数增加4.34万元，主要原因是基本支出预算增加。</w:t>
      </w:r>
    </w:p>
    <w:p w14:paraId="09CC58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8837"/>
      <w:bookmarkStart w:id="13" w:name="_Toc10471"/>
      <w:r>
        <w:rPr>
          <w:rFonts w:hint="eastAsia" w:ascii="楷体_GB2312" w:hAnsi="楷体_GB2312" w:eastAsia="楷体_GB2312" w:cs="楷体_GB2312"/>
          <w:sz w:val="32"/>
          <w:szCs w:val="32"/>
          <w:lang w:val="en-US" w:eastAsia="zh-CN"/>
        </w:rPr>
        <w:t>（一）收入预算情况</w:t>
      </w:r>
      <w:bookmarkEnd w:id="12"/>
      <w:bookmarkEnd w:id="13"/>
    </w:p>
    <w:p w14:paraId="1DA450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白果小学2025年收入预算397.43万元，其中：一般公共预算拨款收入397.43万元，占100%。</w:t>
      </w:r>
    </w:p>
    <w:p w14:paraId="728625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7144"/>
      <w:bookmarkStart w:id="15" w:name="_Toc2683"/>
      <w:r>
        <w:rPr>
          <w:rFonts w:hint="eastAsia" w:ascii="楷体_GB2312" w:hAnsi="楷体_GB2312" w:eastAsia="楷体_GB2312" w:cs="楷体_GB2312"/>
          <w:sz w:val="32"/>
          <w:szCs w:val="32"/>
          <w:lang w:val="en-US" w:eastAsia="zh-CN"/>
        </w:rPr>
        <w:t>（二）支出预算情况</w:t>
      </w:r>
      <w:bookmarkEnd w:id="14"/>
      <w:bookmarkEnd w:id="15"/>
    </w:p>
    <w:p w14:paraId="0E3C072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白果小学2025年支出预算397.43万元，其中：基本支出370.35万元，占93.19%；项目支出27.08万元，占6.81%</w:t>
      </w:r>
      <w:r>
        <w:rPr>
          <w:rFonts w:hint="eastAsia" w:ascii="仿宋_GB2312" w:hAnsi="仿宋_GB2312" w:eastAsia="仿宋_GB2312" w:cs="仿宋_GB2312"/>
          <w:b w:val="0"/>
          <w:bCs w:val="0"/>
          <w:sz w:val="32"/>
          <w:szCs w:val="32"/>
          <w:lang w:val="en-US" w:eastAsia="zh-CN"/>
        </w:rPr>
        <w:t>。</w:t>
      </w:r>
    </w:p>
    <w:p w14:paraId="001E960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6867"/>
      <w:bookmarkStart w:id="17" w:name="_Toc17017"/>
      <w:r>
        <w:rPr>
          <w:rFonts w:hint="eastAsia" w:ascii="黑体" w:hAnsi="黑体" w:eastAsia="黑体" w:cs="黑体"/>
          <w:sz w:val="32"/>
          <w:szCs w:val="32"/>
          <w:lang w:val="en-US" w:eastAsia="zh-CN"/>
        </w:rPr>
        <w:t>四、财政拨款收支预算情况说明</w:t>
      </w:r>
      <w:bookmarkEnd w:id="16"/>
      <w:bookmarkEnd w:id="17"/>
    </w:p>
    <w:p w14:paraId="32CC6E5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白果小学2025年财政拨款收支预算总数397.43万元，比2024年财政拨款收支预算总数增加4.34万元，主要原因是基本支出增加。</w:t>
      </w:r>
    </w:p>
    <w:p w14:paraId="5FDE2DF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收入包括：本年一般公共预算拨款收入397.43万元；支出包括：教育支出397.43万元。</w:t>
      </w:r>
    </w:p>
    <w:p w14:paraId="082116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4989"/>
      <w:bookmarkStart w:id="19" w:name="_Toc18819"/>
      <w:r>
        <w:rPr>
          <w:rFonts w:hint="eastAsia" w:ascii="黑体" w:hAnsi="黑体" w:eastAsia="黑体" w:cs="黑体"/>
          <w:sz w:val="32"/>
          <w:szCs w:val="32"/>
          <w:lang w:val="en-US" w:eastAsia="zh-CN"/>
        </w:rPr>
        <w:t>五、一般公共预算当年拨款情况说明</w:t>
      </w:r>
      <w:bookmarkEnd w:id="18"/>
      <w:bookmarkEnd w:id="19"/>
    </w:p>
    <w:p w14:paraId="6C8FDD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25385"/>
      <w:bookmarkStart w:id="21" w:name="_Toc24957"/>
      <w:r>
        <w:rPr>
          <w:rFonts w:hint="eastAsia" w:ascii="楷体_GB2312" w:hAnsi="楷体_GB2312" w:eastAsia="楷体_GB2312" w:cs="楷体_GB2312"/>
          <w:sz w:val="32"/>
          <w:szCs w:val="32"/>
          <w:lang w:val="en-US" w:eastAsia="zh-CN"/>
        </w:rPr>
        <w:t>（一）一般公共预算当年拨款规模变化情况</w:t>
      </w:r>
      <w:bookmarkEnd w:id="20"/>
      <w:bookmarkEnd w:id="21"/>
    </w:p>
    <w:p w14:paraId="6D835D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白果小学2025年一般公共预算当年拨款397.43万元，比2024年预算数增加4.34万元，主要原因是基本支出增加。</w:t>
      </w:r>
    </w:p>
    <w:p w14:paraId="4FD7EC2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31288"/>
      <w:bookmarkStart w:id="23" w:name="_Toc9183"/>
      <w:r>
        <w:rPr>
          <w:rFonts w:hint="eastAsia" w:ascii="楷体_GB2312" w:hAnsi="楷体_GB2312" w:eastAsia="楷体_GB2312" w:cs="楷体_GB2312"/>
          <w:sz w:val="32"/>
          <w:szCs w:val="32"/>
          <w:lang w:val="en-US" w:eastAsia="zh-CN"/>
        </w:rPr>
        <w:t>（二）一般公共预算当年拨款结构情况</w:t>
      </w:r>
      <w:bookmarkEnd w:id="22"/>
      <w:bookmarkEnd w:id="23"/>
    </w:p>
    <w:p w14:paraId="06FBD3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教育支出397.43万元，占100%。</w:t>
      </w:r>
    </w:p>
    <w:p w14:paraId="3DAD34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6777"/>
      <w:bookmarkStart w:id="25" w:name="_Toc30742"/>
      <w:r>
        <w:rPr>
          <w:rFonts w:hint="eastAsia" w:ascii="楷体_GB2312" w:hAnsi="楷体_GB2312" w:eastAsia="楷体_GB2312" w:cs="楷体_GB2312"/>
          <w:sz w:val="32"/>
          <w:szCs w:val="32"/>
          <w:lang w:val="en-US" w:eastAsia="zh-CN"/>
        </w:rPr>
        <w:t>（三）一般公共预算当年拨款具体使用情况</w:t>
      </w:r>
      <w:bookmarkEnd w:id="24"/>
      <w:bookmarkEnd w:id="25"/>
    </w:p>
    <w:p w14:paraId="356C81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教育支出（类）普通教育（款）学前教育（项）2025年预算数为</w:t>
      </w:r>
      <w:r>
        <w:rPr>
          <w:rFonts w:hint="eastAsia" w:ascii="仿宋_GB2312" w:hAnsi="仿宋_GB2312" w:eastAsia="仿宋_GB2312" w:cs="仿宋_GB2312"/>
          <w:sz w:val="32"/>
          <w:szCs w:val="32"/>
          <w:lang w:val="en-US" w:eastAsia="zh-CN"/>
        </w:rPr>
        <w:t>1.68</w:t>
      </w:r>
      <w:r>
        <w:rPr>
          <w:rFonts w:hint="default" w:ascii="仿宋_GB2312" w:hAnsi="仿宋_GB2312" w:eastAsia="仿宋_GB2312" w:cs="仿宋_GB2312"/>
          <w:sz w:val="32"/>
          <w:szCs w:val="32"/>
          <w:lang w:val="en-US" w:eastAsia="zh-CN"/>
        </w:rPr>
        <w:t>万元，主要用于：学前教育机构的基本支出，包括基本工资、津贴补贴、基础绩效奖等人员经费以及机构运行所需的办公费、印刷费、维修（护）费、工会经费等运行补助经费。</w:t>
      </w:r>
    </w:p>
    <w:p w14:paraId="2BB4A1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教育支出（类）普通教育（款）小学教育（项）2025年预算数为</w:t>
      </w:r>
      <w:r>
        <w:rPr>
          <w:rFonts w:hint="eastAsia" w:ascii="仿宋_GB2312" w:hAnsi="仿宋_GB2312" w:eastAsia="仿宋_GB2312" w:cs="仿宋_GB2312"/>
          <w:sz w:val="32"/>
          <w:szCs w:val="32"/>
          <w:lang w:val="en-US" w:eastAsia="zh-CN"/>
        </w:rPr>
        <w:t>395.75</w:t>
      </w:r>
      <w:r>
        <w:rPr>
          <w:rFonts w:hint="default" w:ascii="仿宋_GB2312" w:hAnsi="仿宋_GB2312" w:eastAsia="仿宋_GB2312" w:cs="仿宋_GB2312"/>
          <w:sz w:val="32"/>
          <w:szCs w:val="32"/>
          <w:lang w:val="en-US" w:eastAsia="zh-CN"/>
        </w:rPr>
        <w:t>万元，主要用于：小学教育机构的基本支出，包括基本工资、津贴补贴、基础绩效奖等人员经费以及机构运行所需的办公费、印刷费、维修（护）费、工会经费等运行补助经费。</w:t>
      </w:r>
    </w:p>
    <w:p w14:paraId="3BA8D3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6" w:name="_Toc10071"/>
      <w:bookmarkStart w:id="27" w:name="_Toc5195"/>
      <w:r>
        <w:rPr>
          <w:rFonts w:hint="eastAsia" w:ascii="黑体" w:hAnsi="黑体" w:eastAsia="黑体" w:cs="黑体"/>
          <w:sz w:val="32"/>
          <w:szCs w:val="32"/>
          <w:lang w:val="en-US" w:eastAsia="zh-CN"/>
        </w:rPr>
        <w:t>六、一般公共预算基本支出情况说明</w:t>
      </w:r>
      <w:bookmarkEnd w:id="26"/>
      <w:bookmarkEnd w:id="27"/>
    </w:p>
    <w:p w14:paraId="16270F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白果小学2025年一般公共预算基本支出370.35万元，其中：</w:t>
      </w:r>
    </w:p>
    <w:p w14:paraId="57C4D7F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人员经费370.35万元，主要包括：基本工资、津贴补贴、奖金、绩效工资、社会保险缴费、住房公积金、其他工资福利支出、生活补助、奖励金等支出。    </w:t>
      </w:r>
    </w:p>
    <w:p w14:paraId="3337D46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 xml:space="preserve">    公用经费0万元。</w:t>
      </w:r>
    </w:p>
    <w:p w14:paraId="24D867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8" w:name="_Toc28909"/>
      <w:bookmarkStart w:id="29" w:name="_Toc8560"/>
      <w:r>
        <w:rPr>
          <w:rFonts w:hint="eastAsia" w:ascii="黑体" w:hAnsi="黑体" w:eastAsia="黑体" w:cs="黑体"/>
          <w:sz w:val="32"/>
          <w:szCs w:val="32"/>
          <w:lang w:val="en-US" w:eastAsia="zh-CN"/>
        </w:rPr>
        <w:t>七、“三公”经费财政拨款预算安排情况说明</w:t>
      </w:r>
      <w:bookmarkEnd w:id="28"/>
      <w:bookmarkEnd w:id="29"/>
    </w:p>
    <w:p w14:paraId="082076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白果小学2025年“三公”经费财政拨款预算数0万元，其中：公务接待费0万元，公务用车购置及运行维护费0万元，因公出国（境）经费0万元。</w:t>
      </w:r>
    </w:p>
    <w:p w14:paraId="4A39CC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11047"/>
      <w:bookmarkStart w:id="31" w:name="_Toc15627"/>
      <w:r>
        <w:rPr>
          <w:rFonts w:hint="eastAsia" w:ascii="楷体_GB2312" w:hAnsi="楷体_GB2312" w:eastAsia="楷体_GB2312" w:cs="楷体_GB2312"/>
          <w:sz w:val="32"/>
          <w:szCs w:val="32"/>
          <w:lang w:val="en-US" w:eastAsia="zh-CN"/>
        </w:rPr>
        <w:t>（一）公务接待费</w:t>
      </w:r>
      <w:bookmarkEnd w:id="30"/>
      <w:bookmarkEnd w:id="31"/>
    </w:p>
    <w:p w14:paraId="32743A8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0D054C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44DA52A2">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2" w:name="_Toc12735"/>
      <w:bookmarkStart w:id="33" w:name="_Toc14139"/>
      <w:r>
        <w:rPr>
          <w:rFonts w:hint="eastAsia" w:ascii="楷体_GB2312" w:hAnsi="楷体_GB2312" w:eastAsia="楷体_GB2312" w:cs="楷体_GB2312"/>
          <w:sz w:val="32"/>
          <w:szCs w:val="32"/>
          <w:lang w:val="en-US" w:eastAsia="zh-CN"/>
        </w:rPr>
        <w:t>公务用车购置及运行维护费</w:t>
      </w:r>
      <w:bookmarkEnd w:id="32"/>
      <w:bookmarkEnd w:id="33"/>
    </w:p>
    <w:p w14:paraId="5ADD1E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266808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63B8CE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7FFB5F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1B4A4AE7">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34" w:name="_Toc8514"/>
      <w:bookmarkStart w:id="35" w:name="_Toc3437"/>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4"/>
      <w:bookmarkEnd w:id="35"/>
    </w:p>
    <w:p w14:paraId="4736945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661E8B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6" w:name="_Toc23191"/>
      <w:bookmarkStart w:id="37" w:name="_Toc15922"/>
      <w:r>
        <w:rPr>
          <w:rFonts w:hint="eastAsia" w:ascii="黑体" w:hAnsi="黑体" w:eastAsia="黑体" w:cs="黑体"/>
          <w:sz w:val="32"/>
          <w:szCs w:val="32"/>
          <w:lang w:val="en-US" w:eastAsia="zh-CN"/>
        </w:rPr>
        <w:t>八、政府性基金预算支出情况说明</w:t>
      </w:r>
      <w:bookmarkEnd w:id="36"/>
      <w:bookmarkEnd w:id="37"/>
    </w:p>
    <w:p w14:paraId="1BC068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白果小学2025年无政府性基金预算拨款安排的支出。</w:t>
      </w:r>
    </w:p>
    <w:p w14:paraId="013F60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8" w:name="_Toc19683"/>
      <w:bookmarkStart w:id="39" w:name="_Toc8656"/>
      <w:r>
        <w:rPr>
          <w:rFonts w:hint="eastAsia" w:ascii="黑体" w:hAnsi="黑体" w:eastAsia="黑体" w:cs="黑体"/>
          <w:sz w:val="32"/>
          <w:szCs w:val="32"/>
          <w:lang w:val="en-US" w:eastAsia="zh-CN"/>
        </w:rPr>
        <w:t>九、国有资本经营预算支出情况说明</w:t>
      </w:r>
      <w:bookmarkEnd w:id="38"/>
      <w:bookmarkEnd w:id="39"/>
    </w:p>
    <w:p w14:paraId="6A3693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白果小学2025年无国有资本经营预算拨款安排的支出。</w:t>
      </w:r>
    </w:p>
    <w:p w14:paraId="66FC21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0" w:name="_Toc14466"/>
      <w:bookmarkStart w:id="41" w:name="_Toc9769"/>
      <w:r>
        <w:rPr>
          <w:rFonts w:hint="eastAsia" w:ascii="黑体" w:hAnsi="黑体" w:eastAsia="黑体" w:cs="黑体"/>
          <w:sz w:val="32"/>
          <w:szCs w:val="32"/>
          <w:lang w:val="en-US" w:eastAsia="zh-CN"/>
        </w:rPr>
        <w:t>十、其他重要事项的情况说明</w:t>
      </w:r>
      <w:bookmarkEnd w:id="40"/>
      <w:bookmarkEnd w:id="41"/>
    </w:p>
    <w:p w14:paraId="5AE1C77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2" w:name="_Toc32380"/>
      <w:bookmarkStart w:id="43" w:name="_Toc12290"/>
      <w:r>
        <w:rPr>
          <w:rFonts w:hint="eastAsia" w:ascii="楷体_GB2312" w:hAnsi="楷体_GB2312" w:eastAsia="楷体_GB2312" w:cs="楷体_GB2312"/>
          <w:sz w:val="32"/>
          <w:szCs w:val="32"/>
          <w:lang w:val="en-US" w:eastAsia="zh-CN"/>
        </w:rPr>
        <w:t>（一）机关运行经费</w:t>
      </w:r>
      <w:bookmarkEnd w:id="42"/>
      <w:bookmarkEnd w:id="43"/>
    </w:p>
    <w:p w14:paraId="31677F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46AD5A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4" w:name="_Toc25147"/>
      <w:bookmarkStart w:id="45" w:name="_Toc7934"/>
      <w:r>
        <w:rPr>
          <w:rFonts w:hint="eastAsia" w:ascii="楷体_GB2312" w:hAnsi="楷体_GB2312" w:eastAsia="楷体_GB2312" w:cs="楷体_GB2312"/>
          <w:sz w:val="32"/>
          <w:szCs w:val="32"/>
          <w:lang w:val="en-US" w:eastAsia="zh-CN"/>
        </w:rPr>
        <w:t>（二）政府采购情况</w:t>
      </w:r>
      <w:bookmarkEnd w:id="44"/>
      <w:bookmarkEnd w:id="45"/>
    </w:p>
    <w:p w14:paraId="349795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2025年，白果小学安排政府采购预算0万元。</w:t>
      </w:r>
    </w:p>
    <w:p w14:paraId="1F1748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6" w:name="_Toc25958"/>
      <w:bookmarkStart w:id="47" w:name="_Toc30945"/>
      <w:r>
        <w:rPr>
          <w:rFonts w:hint="eastAsia" w:ascii="楷体_GB2312" w:hAnsi="楷体_GB2312" w:eastAsia="楷体_GB2312" w:cs="楷体_GB2312"/>
          <w:sz w:val="32"/>
          <w:szCs w:val="32"/>
          <w:lang w:val="en-US" w:eastAsia="zh-CN"/>
        </w:rPr>
        <w:t>（三）国有资产占有使用情况</w:t>
      </w:r>
      <w:bookmarkEnd w:id="46"/>
      <w:bookmarkEnd w:id="47"/>
    </w:p>
    <w:p w14:paraId="3DF3AF4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截至2024年底，白果小学共有车辆0辆。单位无价值200万元以上的大型设备。</w:t>
      </w:r>
    </w:p>
    <w:p w14:paraId="687F7B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3F7720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8" w:name="_Toc20836"/>
      <w:bookmarkStart w:id="49" w:name="_Toc8796"/>
      <w:r>
        <w:rPr>
          <w:rFonts w:hint="eastAsia" w:ascii="楷体_GB2312" w:hAnsi="楷体_GB2312" w:eastAsia="楷体_GB2312" w:cs="楷体_GB2312"/>
          <w:sz w:val="32"/>
          <w:szCs w:val="32"/>
          <w:lang w:val="en-US" w:eastAsia="zh-CN"/>
        </w:rPr>
        <w:t>（四）绩效目标设置情况</w:t>
      </w:r>
      <w:bookmarkEnd w:id="48"/>
      <w:bookmarkEnd w:id="49"/>
    </w:p>
    <w:p w14:paraId="5F6B7F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白果小学开展绩效目标管理的项目15个，涉及预算397.43万元。其中：人员类项目11个，涉及预算370.35万元；运转类项目4个，涉及预算27.08万元；特定目标类项目0个，涉及预算0万元。因部分项目内容涉密，不予公开。</w:t>
      </w:r>
    </w:p>
    <w:p w14:paraId="7DE096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0" w:name="_Toc17737"/>
      <w:bookmarkStart w:id="51" w:name="_Toc25353"/>
      <w:r>
        <w:rPr>
          <w:rFonts w:hint="eastAsia" w:ascii="黑体" w:hAnsi="黑体" w:eastAsia="黑体" w:cs="黑体"/>
          <w:sz w:val="32"/>
          <w:szCs w:val="32"/>
          <w:lang w:val="en-US" w:eastAsia="zh-CN"/>
        </w:rPr>
        <w:t>十一、名词解释</w:t>
      </w:r>
      <w:bookmarkEnd w:id="50"/>
      <w:bookmarkEnd w:id="51"/>
    </w:p>
    <w:p w14:paraId="05716A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指财政当年安排的财政预算收入。按现行管理制度，部门预算中反映的财政拨款包括一般公共预算拨款和政府性基金预算拨款。</w:t>
      </w:r>
    </w:p>
    <w:p w14:paraId="49B78F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4AADAF3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574A73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 w:hAnsi="楷体" w:eastAsia="楷体" w:cs="楷体"/>
          <w:b/>
          <w:bCs/>
          <w:sz w:val="32"/>
          <w:szCs w:val="32"/>
          <w:lang w:val="en-US" w:eastAsia="zh-CN"/>
        </w:rPr>
        <w:t>（五）教育支出（类）普通教育（款）学前教育（项）</w:t>
      </w:r>
      <w:r>
        <w:rPr>
          <w:rFonts w:hint="eastAsia" w:ascii="仿宋" w:hAnsi="仿宋" w:eastAsia="仿宋" w:cs="仿宋"/>
          <w:b/>
          <w:bCs/>
          <w:sz w:val="32"/>
          <w:szCs w:val="32"/>
          <w:lang w:val="en-US" w:eastAsia="zh-CN"/>
        </w:rPr>
        <w:t>：</w:t>
      </w:r>
      <w:r>
        <w:rPr>
          <w:rFonts w:hint="eastAsia" w:ascii="仿宋" w:hAnsi="仿宋" w:eastAsia="仿宋" w:cs="仿宋"/>
          <w:sz w:val="32"/>
          <w:szCs w:val="32"/>
          <w:lang w:val="en-US" w:eastAsia="zh-CN"/>
        </w:rPr>
        <w:t>指学前教育发展的基本支出，包括基本工资、津贴补贴等人员经费以及办公费、印刷费、水电费等日常公用经费。</w:t>
      </w:r>
    </w:p>
    <w:p w14:paraId="5B71C972">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sz w:val="32"/>
          <w:szCs w:val="32"/>
          <w:lang w:val="en-US" w:eastAsia="zh-CN"/>
        </w:rPr>
      </w:pPr>
      <w:r>
        <w:rPr>
          <w:rFonts w:hint="eastAsia" w:ascii="楷体" w:hAnsi="楷体" w:eastAsia="楷体" w:cs="楷体"/>
          <w:b/>
          <w:bCs/>
          <w:sz w:val="32"/>
          <w:szCs w:val="32"/>
          <w:lang w:val="en-US" w:eastAsia="zh-CN"/>
        </w:rPr>
        <w:t>（六）教育支出（类）普通教育（款）小学教育（项）：</w:t>
      </w:r>
      <w:r>
        <w:rPr>
          <w:rFonts w:hint="eastAsia" w:ascii="仿宋" w:hAnsi="仿宋" w:eastAsia="仿宋" w:cs="仿宋"/>
          <w:sz w:val="32"/>
          <w:szCs w:val="32"/>
          <w:lang w:val="en-US" w:eastAsia="zh-CN"/>
        </w:rPr>
        <w:t>指小学教育发展的基本支出，包括基本工资、津贴补贴等人员经费以及办公费、印刷费、水电费等日常公用经费。　　</w:t>
      </w:r>
    </w:p>
    <w:p w14:paraId="3BC8F30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（七）社会保障和就业（类）行政事业单位养老支出（款）机关事业单位基本养老保险缴费支出（项）：</w:t>
      </w:r>
      <w:r>
        <w:rPr>
          <w:rFonts w:hint="eastAsia" w:ascii="仿宋" w:hAnsi="仿宋" w:eastAsia="仿宋" w:cs="仿宋"/>
          <w:b w:val="0"/>
          <w:bCs w:val="0"/>
          <w:sz w:val="32"/>
          <w:szCs w:val="32"/>
          <w:lang w:val="en-US" w:eastAsia="zh-CN"/>
        </w:rPr>
        <w:t>指部门实施养老保险制度由单位缴纳的养老保险的支出。</w:t>
      </w:r>
    </w:p>
    <w:p w14:paraId="40253121">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（八）社会保障和就业（类）行政事业单位养老支出（款）机关事业单位职业年金缴费支出（项）：</w:t>
      </w:r>
      <w:r>
        <w:rPr>
          <w:rFonts w:hint="eastAsia" w:ascii="仿宋" w:hAnsi="仿宋" w:eastAsia="仿宋" w:cs="仿宋"/>
          <w:b w:val="0"/>
          <w:bCs w:val="0"/>
          <w:sz w:val="32"/>
          <w:szCs w:val="32"/>
          <w:lang w:val="en-US" w:eastAsia="zh-CN"/>
        </w:rPr>
        <w:t>指部门实施养老保险制度由单位缴纳的职业年金的支出。</w:t>
      </w:r>
    </w:p>
    <w:p w14:paraId="7A365FD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（九）卫生健康（类）行政事业单位医疗（款）事业单位医疗（项）：</w:t>
      </w:r>
      <w:r>
        <w:rPr>
          <w:rFonts w:hint="eastAsia" w:ascii="仿宋" w:hAnsi="仿宋" w:eastAsia="仿宋" w:cs="仿宋"/>
          <w:b w:val="0"/>
          <w:bCs w:val="0"/>
          <w:sz w:val="32"/>
          <w:szCs w:val="32"/>
          <w:lang w:val="en-US" w:eastAsia="zh-CN"/>
        </w:rPr>
        <w:t>指事业单位用于单位应缴纳基本医疗保险支出。</w:t>
      </w:r>
    </w:p>
    <w:p w14:paraId="443348C7">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（十）住房保障（类）住房改革支出（款）住房公积金（项）：</w:t>
      </w:r>
      <w:r>
        <w:rPr>
          <w:rFonts w:hint="eastAsia" w:ascii="仿宋" w:hAnsi="仿宋" w:eastAsia="仿宋" w:cs="仿宋"/>
          <w:b w:val="0"/>
          <w:bCs w:val="0"/>
          <w:sz w:val="32"/>
          <w:szCs w:val="32"/>
          <w:lang w:val="en-US" w:eastAsia="zh-CN"/>
        </w:rPr>
        <w:t>指按照《住房公积金管理条例》的规定，由单位及其在职职工缴存的长期住房储金。</w:t>
      </w:r>
    </w:p>
    <w:p w14:paraId="3A1FE5B5">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（十一）基本支出：</w:t>
      </w:r>
      <w:r>
        <w:rPr>
          <w:rFonts w:hint="eastAsia" w:ascii="仿宋" w:hAnsi="仿宋" w:eastAsia="仿宋" w:cs="仿宋"/>
          <w:b w:val="0"/>
          <w:bCs w:val="0"/>
          <w:sz w:val="32"/>
          <w:szCs w:val="32"/>
          <w:lang w:val="en-US" w:eastAsia="zh-CN"/>
        </w:rPr>
        <w:t>指为保证机构正常运转，完成日常工作任务而发生的人员支出和公用支出。</w:t>
      </w:r>
    </w:p>
    <w:p w14:paraId="5B5DF9D6">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（十二）项目支出：</w:t>
      </w:r>
      <w:r>
        <w:rPr>
          <w:rFonts w:hint="eastAsia" w:ascii="仿宋" w:hAnsi="仿宋" w:eastAsia="仿宋" w:cs="仿宋"/>
          <w:b w:val="0"/>
          <w:bCs w:val="0"/>
          <w:sz w:val="32"/>
          <w:szCs w:val="32"/>
          <w:lang w:val="en-US" w:eastAsia="zh-CN"/>
        </w:rPr>
        <w:t>指在基本支出之外为完成特定行政任务和事业发展目标所发生的支出。</w:t>
      </w:r>
    </w:p>
    <w:p w14:paraId="1C5C18D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（十三）“三公”经费：</w:t>
      </w:r>
      <w:r>
        <w:rPr>
          <w:rFonts w:hint="eastAsia" w:ascii="仿宋" w:hAnsi="仿宋" w:eastAsia="仿宋" w:cs="仿宋"/>
          <w:b w:val="0"/>
          <w:bCs w:val="0"/>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w:t>
      </w:r>
      <w:bookmarkStart w:id="52" w:name="_GoBack"/>
      <w:bookmarkEnd w:id="52"/>
      <w:r>
        <w:rPr>
          <w:rFonts w:hint="eastAsia" w:ascii="仿宋" w:hAnsi="仿宋" w:eastAsia="仿宋" w:cs="仿宋"/>
          <w:b w:val="0"/>
          <w:bCs w:val="0"/>
          <w:sz w:val="32"/>
          <w:szCs w:val="32"/>
          <w:lang w:val="en-US" w:eastAsia="zh-CN"/>
        </w:rPr>
        <w:t>（含外宾接待）支出。</w:t>
      </w:r>
    </w:p>
    <w:p w14:paraId="12CB08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sz w:val="32"/>
          <w:szCs w:val="32"/>
          <w:lang w:val="en-US" w:eastAsia="zh-CN"/>
        </w:rPr>
      </w:pPr>
    </w:p>
    <w:p w14:paraId="699DA64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sz w:val="32"/>
          <w:szCs w:val="32"/>
          <w:lang w:val="en-US" w:eastAsia="zh-CN"/>
        </w:rPr>
      </w:pPr>
    </w:p>
    <w:p w14:paraId="0A19CC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0889A2FB">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76865771">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5F1E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9"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523DEDA">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CXxhE9/gEAAAAEAAAOAAAAAAAAAAEAIAAAAB8BAABkcnMvZTJvRG9jLnht&#10;bFBLBQYAAAAABgAGAFkBAACPBQAAAAA=&#10;">
              <v:fill on="f" focussize="0,0"/>
              <v:stroke on="f"/>
              <v:imagedata o:title=""/>
              <o:lock v:ext="edit" aspectratio="f"/>
              <v:textbox inset="0mm,0mm,0mm,0mm" style="mso-fit-shape-to-text:t;">
                <w:txbxContent>
                  <w:p w14:paraId="7523DEDA">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FADE07"/>
    <w:multiLevelType w:val="singleLevel"/>
    <w:tmpl w:val="ABFADE07"/>
    <w:lvl w:ilvl="0" w:tentative="0">
      <w:start w:val="2"/>
      <w:numFmt w:val="decimal"/>
      <w:lvlText w:val="%1."/>
      <w:lvlJc w:val="left"/>
      <w:pPr>
        <w:tabs>
          <w:tab w:val="left" w:pos="312"/>
        </w:tabs>
        <w:ind w:left="1600" w:leftChars="0" w:firstLine="0" w:firstLineChars="0"/>
      </w:pPr>
    </w:lvl>
  </w:abstractNum>
  <w:abstractNum w:abstractNumId="1">
    <w:nsid w:val="0BAF083B"/>
    <w:multiLevelType w:val="singleLevel"/>
    <w:tmpl w:val="0BAF083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0YzhjY2NjZDFiNDU4YWRlNzhlYzAzNWY2YTY2MmUifQ=="/>
  </w:docVars>
  <w:rsids>
    <w:rsidRoot w:val="00000000"/>
    <w:rsid w:val="3E851F1A"/>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List"/>
    <w:basedOn w:val="3"/>
    <w:autoRedefine/>
    <w:qFormat/>
    <w:uiPriority w:val="0"/>
  </w:style>
  <w:style w:type="paragraph" w:styleId="8">
    <w:name w:val="toc 2"/>
    <w:basedOn w:val="1"/>
    <w:next w:val="1"/>
    <w:autoRedefine/>
    <w:qFormat/>
    <w:uiPriority w:val="0"/>
    <w:pPr>
      <w:ind w:left="420" w:leftChars="200"/>
    </w:pPr>
  </w:style>
  <w:style w:type="paragraph" w:styleId="9">
    <w:name w:val="Normal (Web)"/>
    <w:basedOn w:val="1"/>
    <w:autoRedefine/>
    <w:qFormat/>
    <w:uiPriority w:val="0"/>
    <w:rPr>
      <w:sz w:val="24"/>
    </w:rPr>
  </w:style>
  <w:style w:type="table" w:styleId="11">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默认段落字体1"/>
    <w:autoRedefine/>
    <w:qFormat/>
    <w:uiPriority w:val="0"/>
  </w:style>
  <w:style w:type="paragraph" w:customStyle="1" w:styleId="14">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autoRedefine/>
    <w:qFormat/>
    <w:uiPriority w:val="0"/>
    <w:pPr>
      <w:ind w:leftChars="0"/>
    </w:pPr>
    <w:rPr>
      <w:rFonts w:ascii="Times New Roman" w:hAnsi="Times New Roman" w:eastAsia="宋体" w:cs="Times New Roman"/>
      <w:sz w:val="20"/>
      <w:szCs w:val="20"/>
    </w:rPr>
  </w:style>
  <w:style w:type="paragraph" w:customStyle="1" w:styleId="17">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4509</Words>
  <Characters>4727</Characters>
  <TotalTime>0</TotalTime>
  <ScaleCrop>false</ScaleCrop>
  <LinksUpToDate>false</LinksUpToDate>
  <CharactersWithSpaces>4808</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2025-02-15T05:29:44Z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8EB92EAD57654E7081A28CAF414743EA_13</vt:lpwstr>
  </property>
  <property fmtid="{D5CDD505-2E9C-101B-9397-08002B2CF9AE}" pid="4" name="KSOTemplateDocerSaveRecord">
    <vt:lpwstr>eyJoZGlkIjoiOTlhNTlmMWMwY2NkZGNhOTM0ZTIzOTMwM2UwMjVlYzgiLCJ1c2VySWQiOiI2MDAwNDk2NTIifQ==</vt:lpwstr>
  </property>
</Properties>
</file>