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FFC01B">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right="0"/>
        <w:jc w:val="cente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14:textFill>
            <w14:solidFill>
              <w14:schemeClr w14:val="tx1"/>
            </w14:solidFill>
          </w14:textFill>
        </w:rPr>
      </w:pPr>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14:textFill>
            <w14:solidFill>
              <w14:schemeClr w14:val="tx1"/>
            </w14:solidFill>
          </w14:textFill>
        </w:rPr>
        <w:t>广元市昭化区卫子镇梅树小学</w:t>
      </w:r>
    </w:p>
    <w:p w14:paraId="5A326BC7">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right="0"/>
        <w:jc w:val="cente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14:textFill>
            <w14:solidFill>
              <w14:schemeClr w14:val="tx1"/>
            </w14:solidFill>
          </w14:textFill>
        </w:rPr>
      </w:pPr>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14:textFill>
            <w14:solidFill>
              <w14:schemeClr w14:val="tx1"/>
            </w14:solidFill>
          </w14:textFill>
        </w:rPr>
        <w:t>2025年部门预算编制说明</w:t>
      </w:r>
    </w:p>
    <w:p w14:paraId="510725C6">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right="0"/>
        <w:jc w:val="cente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14:textFill>
            <w14:solidFill>
              <w14:schemeClr w14:val="tx1"/>
            </w14:solidFill>
          </w14:textFill>
        </w:rPr>
      </w:pPr>
    </w:p>
    <w:sdt>
      <w:sdtPr>
        <w:rPr>
          <w:rFonts w:ascii="宋体" w:hAnsi="宋体" w:eastAsia="宋体" w:cs="Times New Roman"/>
          <w:color w:val="auto"/>
          <w:kern w:val="2"/>
          <w:sz w:val="28"/>
          <w:szCs w:val="36"/>
          <w:lang w:val="en-US" w:eastAsia="zh-CN" w:bidi="ar-SA"/>
        </w:rPr>
        <w:id w:val="147467533"/>
        <w:docPartObj>
          <w:docPartGallery w:val="Table of Contents"/>
          <w:docPartUnique/>
        </w:docPartObj>
      </w:sdtPr>
      <w:sdtEndPr>
        <w:rPr>
          <w:rFonts w:hint="eastAsia" w:ascii="仿宋_GB2312" w:hAnsi="仿宋_GB2312" w:eastAsia="仿宋_GB2312" w:cs="仿宋_GB2312"/>
          <w:color w:val="auto"/>
          <w:kern w:val="2"/>
          <w:sz w:val="32"/>
          <w:szCs w:val="32"/>
          <w:lang w:val="en-US" w:eastAsia="zh-CN" w:bidi="ar-SA"/>
        </w:rPr>
      </w:sdtEndPr>
      <w:sdtContent>
        <w:p w14:paraId="151C67CE">
          <w:pPr>
            <w:spacing w:before="0" w:beforeLines="0" w:after="0" w:afterLines="0" w:line="240" w:lineRule="auto"/>
            <w:ind w:left="0" w:leftChars="0" w:right="0" w:rightChars="0" w:firstLine="0" w:firstLineChars="0"/>
            <w:jc w:val="center"/>
            <w:rPr>
              <w:sz w:val="28"/>
              <w:szCs w:val="36"/>
            </w:rPr>
          </w:pPr>
          <w:r>
            <w:rPr>
              <w:rFonts w:ascii="宋体" w:hAnsi="宋体" w:eastAsia="宋体"/>
              <w:sz w:val="28"/>
              <w:szCs w:val="36"/>
            </w:rPr>
            <w:t>目</w:t>
          </w:r>
          <w:r>
            <w:rPr>
              <w:rFonts w:hint="eastAsia" w:ascii="宋体" w:hAnsi="宋体"/>
              <w:sz w:val="28"/>
              <w:szCs w:val="36"/>
              <w:lang w:val="en-US" w:eastAsia="zh-CN"/>
            </w:rPr>
            <w:t xml:space="preserve"> </w:t>
          </w:r>
          <w:r>
            <w:rPr>
              <w:rFonts w:ascii="宋体" w:hAnsi="宋体" w:eastAsia="宋体"/>
              <w:sz w:val="28"/>
              <w:szCs w:val="36"/>
            </w:rPr>
            <w:t>录</w:t>
          </w:r>
        </w:p>
        <w:p w14:paraId="542FB324">
          <w:pPr>
            <w:pStyle w:val="7"/>
            <w:tabs>
              <w:tab w:val="right" w:leader="dot" w:pos="8845"/>
            </w:tabs>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TOC \o "1-2" \h \u</w:instrText>
          </w:r>
          <w:r>
            <w:rPr>
              <w:rFonts w:hint="eastAsia" w:ascii="仿宋_GB2312" w:hAnsi="仿宋_GB2312" w:eastAsia="仿宋_GB2312" w:cs="仿宋_GB2312"/>
              <w:color w:val="auto"/>
              <w:kern w:val="2"/>
              <w:sz w:val="32"/>
              <w:szCs w:val="32"/>
              <w:lang w:val="en-US" w:eastAsia="zh-CN" w:bidi="ar-SA"/>
            </w:rPr>
            <w:fldChar w:fldCharType="separate"/>
          </w:r>
          <w:r>
            <w:fldChar w:fldCharType="begin"/>
          </w:r>
          <w:r>
            <w:instrText xml:space="preserve"> HYPERLINK \l "_Toc25391" </w:instrText>
          </w:r>
          <w:r>
            <w:fldChar w:fldCharType="separate"/>
          </w:r>
          <w:r>
            <w:rPr>
              <w:rFonts w:hint="eastAsia" w:ascii="仿宋_GB2312" w:hAnsi="仿宋_GB2312" w:eastAsia="仿宋_GB2312" w:cs="仿宋_GB2312"/>
              <w:color w:val="auto"/>
              <w:kern w:val="2"/>
              <w:sz w:val="32"/>
              <w:szCs w:val="32"/>
              <w:lang w:val="en-US" w:eastAsia="zh-CN" w:bidi="ar-SA"/>
            </w:rPr>
            <w:t>一、基本职能及主要工作</w:t>
          </w:r>
          <w:r>
            <w:rPr>
              <w:rFonts w:hint="eastAsia" w:ascii="仿宋_GB2312" w:hAnsi="仿宋_GB2312" w:eastAsia="仿宋_GB2312" w:cs="仿宋_GB2312"/>
              <w:color w:val="auto"/>
              <w:kern w:val="2"/>
              <w:sz w:val="32"/>
              <w:szCs w:val="32"/>
              <w:lang w:val="en-US" w:eastAsia="zh-CN" w:bidi="ar-SA"/>
            </w:rPr>
            <w:tab/>
          </w: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 PAGEREF _Toc25391 \h </w:instrText>
          </w:r>
          <w:r>
            <w:rPr>
              <w:rFonts w:hint="eastAsia" w:ascii="仿宋_GB2312" w:hAnsi="仿宋_GB2312" w:eastAsia="仿宋_GB2312" w:cs="仿宋_GB2312"/>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3</w:t>
          </w:r>
          <w:r>
            <w:rPr>
              <w:rFonts w:hint="eastAsia" w:ascii="仿宋_GB2312" w:hAnsi="仿宋_GB2312" w:eastAsia="仿宋_GB2312" w:cs="仿宋_GB2312"/>
              <w:color w:val="auto"/>
              <w:kern w:val="2"/>
              <w:sz w:val="32"/>
              <w:szCs w:val="32"/>
              <w:lang w:val="en-US" w:eastAsia="zh-CN" w:bidi="ar-SA"/>
            </w:rPr>
            <w:fldChar w:fldCharType="end"/>
          </w:r>
          <w:r>
            <w:rPr>
              <w:rFonts w:hint="eastAsia" w:ascii="仿宋_GB2312" w:hAnsi="仿宋_GB2312" w:eastAsia="仿宋_GB2312" w:cs="仿宋_GB2312"/>
              <w:color w:val="auto"/>
              <w:kern w:val="2"/>
              <w:sz w:val="32"/>
              <w:szCs w:val="32"/>
              <w:lang w:val="en-US" w:eastAsia="zh-CN" w:bidi="ar-SA"/>
            </w:rPr>
            <w:fldChar w:fldCharType="end"/>
          </w:r>
        </w:p>
        <w:p w14:paraId="0E0772D7">
          <w:pPr>
            <w:pStyle w:val="9"/>
            <w:tabs>
              <w:tab w:val="right" w:leader="dot" w:pos="8845"/>
            </w:tabs>
            <w:rPr>
              <w:rFonts w:hint="eastAsia" w:ascii="仿宋_GB2312" w:hAnsi="仿宋_GB2312" w:eastAsia="仿宋_GB2312" w:cs="仿宋_GB2312"/>
              <w:color w:val="auto"/>
              <w:kern w:val="2"/>
              <w:sz w:val="32"/>
              <w:szCs w:val="32"/>
              <w:lang w:val="en-US" w:eastAsia="zh-CN" w:bidi="ar-SA"/>
            </w:rPr>
          </w:pPr>
          <w:r>
            <w:fldChar w:fldCharType="begin"/>
          </w:r>
          <w:r>
            <w:instrText xml:space="preserve"> HYPERLINK \l "_Toc25924" </w:instrText>
          </w:r>
          <w:r>
            <w:fldChar w:fldCharType="separate"/>
          </w:r>
          <w:r>
            <w:rPr>
              <w:rFonts w:hint="eastAsia" w:ascii="仿宋_GB2312" w:hAnsi="仿宋_GB2312" w:eastAsia="仿宋_GB2312" w:cs="仿宋_GB2312"/>
              <w:color w:val="auto"/>
              <w:kern w:val="2"/>
              <w:sz w:val="32"/>
              <w:szCs w:val="32"/>
              <w:lang w:val="en-US" w:eastAsia="zh-CN" w:bidi="ar-SA"/>
            </w:rPr>
            <w:t>（一）单位职能简介</w:t>
          </w:r>
          <w:r>
            <w:rPr>
              <w:rFonts w:hint="eastAsia" w:ascii="仿宋_GB2312" w:hAnsi="仿宋_GB2312" w:eastAsia="仿宋_GB2312" w:cs="仿宋_GB2312"/>
              <w:color w:val="auto"/>
              <w:kern w:val="2"/>
              <w:sz w:val="32"/>
              <w:szCs w:val="32"/>
              <w:lang w:val="en-US" w:eastAsia="zh-CN" w:bidi="ar-SA"/>
            </w:rPr>
            <w:tab/>
          </w: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 PAGEREF _Toc25924 \h </w:instrText>
          </w:r>
          <w:r>
            <w:rPr>
              <w:rFonts w:hint="eastAsia" w:ascii="仿宋_GB2312" w:hAnsi="仿宋_GB2312" w:eastAsia="仿宋_GB2312" w:cs="仿宋_GB2312"/>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3</w:t>
          </w:r>
          <w:r>
            <w:rPr>
              <w:rFonts w:hint="eastAsia" w:ascii="仿宋_GB2312" w:hAnsi="仿宋_GB2312" w:eastAsia="仿宋_GB2312" w:cs="仿宋_GB2312"/>
              <w:color w:val="auto"/>
              <w:kern w:val="2"/>
              <w:sz w:val="32"/>
              <w:szCs w:val="32"/>
              <w:lang w:val="en-US" w:eastAsia="zh-CN" w:bidi="ar-SA"/>
            </w:rPr>
            <w:fldChar w:fldCharType="end"/>
          </w:r>
          <w:r>
            <w:rPr>
              <w:rFonts w:hint="eastAsia" w:ascii="仿宋_GB2312" w:hAnsi="仿宋_GB2312" w:eastAsia="仿宋_GB2312" w:cs="仿宋_GB2312"/>
              <w:color w:val="auto"/>
              <w:kern w:val="2"/>
              <w:sz w:val="32"/>
              <w:szCs w:val="32"/>
              <w:lang w:val="en-US" w:eastAsia="zh-CN" w:bidi="ar-SA"/>
            </w:rPr>
            <w:fldChar w:fldCharType="end"/>
          </w:r>
        </w:p>
        <w:p w14:paraId="61D9888C">
          <w:pPr>
            <w:pStyle w:val="9"/>
            <w:tabs>
              <w:tab w:val="right" w:leader="dot" w:pos="8845"/>
            </w:tabs>
            <w:rPr>
              <w:rFonts w:hint="eastAsia" w:ascii="仿宋_GB2312" w:hAnsi="仿宋_GB2312" w:eastAsia="仿宋_GB2312" w:cs="仿宋_GB2312"/>
              <w:color w:val="auto"/>
              <w:kern w:val="2"/>
              <w:sz w:val="32"/>
              <w:szCs w:val="32"/>
              <w:lang w:val="en-US" w:eastAsia="zh-CN" w:bidi="ar-SA"/>
            </w:rPr>
          </w:pPr>
          <w:r>
            <w:fldChar w:fldCharType="begin"/>
          </w:r>
          <w:r>
            <w:instrText xml:space="preserve"> HYPERLINK \l "_Toc7308" </w:instrText>
          </w:r>
          <w:r>
            <w:fldChar w:fldCharType="separate"/>
          </w:r>
          <w:r>
            <w:rPr>
              <w:rFonts w:hint="eastAsia" w:ascii="仿宋_GB2312" w:hAnsi="仿宋_GB2312" w:eastAsia="仿宋_GB2312" w:cs="仿宋_GB2312"/>
              <w:color w:val="auto"/>
              <w:kern w:val="2"/>
              <w:sz w:val="32"/>
              <w:szCs w:val="32"/>
              <w:lang w:val="en-US" w:eastAsia="zh-CN" w:bidi="ar-SA"/>
            </w:rPr>
            <w:t>（二）2025年重点工作</w:t>
          </w:r>
          <w:r>
            <w:rPr>
              <w:rFonts w:hint="eastAsia" w:ascii="仿宋_GB2312" w:hAnsi="仿宋_GB2312" w:eastAsia="仿宋_GB2312" w:cs="仿宋_GB2312"/>
              <w:color w:val="auto"/>
              <w:kern w:val="2"/>
              <w:sz w:val="32"/>
              <w:szCs w:val="32"/>
              <w:lang w:val="en-US" w:eastAsia="zh-CN" w:bidi="ar-SA"/>
            </w:rPr>
            <w:tab/>
          </w: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 PAGEREF _Toc7308 \h </w:instrText>
          </w:r>
          <w:r>
            <w:rPr>
              <w:rFonts w:hint="eastAsia" w:ascii="仿宋_GB2312" w:hAnsi="仿宋_GB2312" w:eastAsia="仿宋_GB2312" w:cs="仿宋_GB2312"/>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4</w:t>
          </w:r>
          <w:r>
            <w:rPr>
              <w:rFonts w:hint="eastAsia" w:ascii="仿宋_GB2312" w:hAnsi="仿宋_GB2312" w:eastAsia="仿宋_GB2312" w:cs="仿宋_GB2312"/>
              <w:color w:val="auto"/>
              <w:kern w:val="2"/>
              <w:sz w:val="32"/>
              <w:szCs w:val="32"/>
              <w:lang w:val="en-US" w:eastAsia="zh-CN" w:bidi="ar-SA"/>
            </w:rPr>
            <w:fldChar w:fldCharType="end"/>
          </w:r>
          <w:r>
            <w:rPr>
              <w:rFonts w:hint="eastAsia" w:ascii="仿宋_GB2312" w:hAnsi="仿宋_GB2312" w:eastAsia="仿宋_GB2312" w:cs="仿宋_GB2312"/>
              <w:color w:val="auto"/>
              <w:kern w:val="2"/>
              <w:sz w:val="32"/>
              <w:szCs w:val="32"/>
              <w:lang w:val="en-US" w:eastAsia="zh-CN" w:bidi="ar-SA"/>
            </w:rPr>
            <w:fldChar w:fldCharType="end"/>
          </w:r>
        </w:p>
        <w:p w14:paraId="65EEFA7B">
          <w:pPr>
            <w:pStyle w:val="7"/>
            <w:tabs>
              <w:tab w:val="right" w:leader="dot" w:pos="8845"/>
            </w:tabs>
            <w:rPr>
              <w:rFonts w:hint="eastAsia" w:ascii="仿宋_GB2312" w:hAnsi="仿宋_GB2312" w:eastAsia="仿宋_GB2312" w:cs="仿宋_GB2312"/>
              <w:color w:val="auto"/>
              <w:kern w:val="2"/>
              <w:sz w:val="32"/>
              <w:szCs w:val="32"/>
              <w:lang w:val="en-US" w:eastAsia="zh-CN" w:bidi="ar-SA"/>
            </w:rPr>
          </w:pPr>
          <w:r>
            <w:fldChar w:fldCharType="begin"/>
          </w:r>
          <w:r>
            <w:instrText xml:space="preserve"> HYPERLINK \l "_Toc16717" </w:instrText>
          </w:r>
          <w:r>
            <w:fldChar w:fldCharType="separate"/>
          </w:r>
          <w:r>
            <w:rPr>
              <w:rFonts w:hint="eastAsia" w:ascii="仿宋_GB2312" w:hAnsi="仿宋_GB2312" w:eastAsia="仿宋_GB2312" w:cs="仿宋_GB2312"/>
              <w:color w:val="auto"/>
              <w:kern w:val="2"/>
              <w:sz w:val="32"/>
              <w:szCs w:val="32"/>
              <w:lang w:val="en-US" w:eastAsia="zh-CN" w:bidi="ar-SA"/>
            </w:rPr>
            <w:t>二、部门预算单位构成</w:t>
          </w:r>
          <w:r>
            <w:rPr>
              <w:rFonts w:hint="eastAsia" w:ascii="仿宋_GB2312" w:hAnsi="仿宋_GB2312" w:eastAsia="仿宋_GB2312" w:cs="仿宋_GB2312"/>
              <w:color w:val="auto"/>
              <w:kern w:val="2"/>
              <w:sz w:val="32"/>
              <w:szCs w:val="32"/>
              <w:lang w:val="en-US" w:eastAsia="zh-CN" w:bidi="ar-SA"/>
            </w:rPr>
            <w:tab/>
          </w: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 PAGEREF _Toc16717 \h </w:instrText>
          </w:r>
          <w:r>
            <w:rPr>
              <w:rFonts w:hint="eastAsia" w:ascii="仿宋_GB2312" w:hAnsi="仿宋_GB2312" w:eastAsia="仿宋_GB2312" w:cs="仿宋_GB2312"/>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6</w:t>
          </w:r>
          <w:r>
            <w:rPr>
              <w:rFonts w:hint="eastAsia" w:ascii="仿宋_GB2312" w:hAnsi="仿宋_GB2312" w:eastAsia="仿宋_GB2312" w:cs="仿宋_GB2312"/>
              <w:color w:val="auto"/>
              <w:kern w:val="2"/>
              <w:sz w:val="32"/>
              <w:szCs w:val="32"/>
              <w:lang w:val="en-US" w:eastAsia="zh-CN" w:bidi="ar-SA"/>
            </w:rPr>
            <w:fldChar w:fldCharType="end"/>
          </w:r>
          <w:r>
            <w:rPr>
              <w:rFonts w:hint="eastAsia" w:ascii="仿宋_GB2312" w:hAnsi="仿宋_GB2312" w:eastAsia="仿宋_GB2312" w:cs="仿宋_GB2312"/>
              <w:color w:val="auto"/>
              <w:kern w:val="2"/>
              <w:sz w:val="32"/>
              <w:szCs w:val="32"/>
              <w:lang w:val="en-US" w:eastAsia="zh-CN" w:bidi="ar-SA"/>
            </w:rPr>
            <w:fldChar w:fldCharType="end"/>
          </w:r>
        </w:p>
        <w:p w14:paraId="065FC1D1">
          <w:pPr>
            <w:pStyle w:val="7"/>
            <w:tabs>
              <w:tab w:val="right" w:leader="dot" w:pos="8845"/>
            </w:tabs>
            <w:rPr>
              <w:rFonts w:hint="eastAsia" w:ascii="仿宋_GB2312" w:hAnsi="仿宋_GB2312" w:eastAsia="仿宋_GB2312" w:cs="仿宋_GB2312"/>
              <w:color w:val="auto"/>
              <w:kern w:val="2"/>
              <w:sz w:val="32"/>
              <w:szCs w:val="32"/>
              <w:lang w:val="en-US" w:eastAsia="zh-CN" w:bidi="ar-SA"/>
            </w:rPr>
          </w:pPr>
          <w:r>
            <w:fldChar w:fldCharType="begin"/>
          </w:r>
          <w:r>
            <w:instrText xml:space="preserve"> HYPERLINK \l "_Toc10667" </w:instrText>
          </w:r>
          <w:r>
            <w:fldChar w:fldCharType="separate"/>
          </w:r>
          <w:r>
            <w:rPr>
              <w:rFonts w:hint="eastAsia" w:ascii="仿宋_GB2312" w:hAnsi="仿宋_GB2312" w:eastAsia="仿宋_GB2312" w:cs="仿宋_GB2312"/>
              <w:color w:val="auto"/>
              <w:kern w:val="2"/>
              <w:sz w:val="32"/>
              <w:szCs w:val="32"/>
              <w:lang w:val="en-US" w:eastAsia="zh-CN" w:bidi="ar-SA"/>
            </w:rPr>
            <w:t>三、收支预算情况说明</w:t>
          </w:r>
          <w:r>
            <w:rPr>
              <w:rFonts w:hint="eastAsia" w:ascii="仿宋_GB2312" w:hAnsi="仿宋_GB2312" w:eastAsia="仿宋_GB2312" w:cs="仿宋_GB2312"/>
              <w:color w:val="auto"/>
              <w:kern w:val="2"/>
              <w:sz w:val="32"/>
              <w:szCs w:val="32"/>
              <w:lang w:val="en-US" w:eastAsia="zh-CN" w:bidi="ar-SA"/>
            </w:rPr>
            <w:tab/>
          </w: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 PAGEREF _Toc10667 \h </w:instrText>
          </w:r>
          <w:r>
            <w:rPr>
              <w:rFonts w:hint="eastAsia" w:ascii="仿宋_GB2312" w:hAnsi="仿宋_GB2312" w:eastAsia="仿宋_GB2312" w:cs="仿宋_GB2312"/>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6</w:t>
          </w:r>
          <w:r>
            <w:rPr>
              <w:rFonts w:hint="eastAsia" w:ascii="仿宋_GB2312" w:hAnsi="仿宋_GB2312" w:eastAsia="仿宋_GB2312" w:cs="仿宋_GB2312"/>
              <w:color w:val="auto"/>
              <w:kern w:val="2"/>
              <w:sz w:val="32"/>
              <w:szCs w:val="32"/>
              <w:lang w:val="en-US" w:eastAsia="zh-CN" w:bidi="ar-SA"/>
            </w:rPr>
            <w:fldChar w:fldCharType="end"/>
          </w:r>
          <w:r>
            <w:rPr>
              <w:rFonts w:hint="eastAsia" w:ascii="仿宋_GB2312" w:hAnsi="仿宋_GB2312" w:eastAsia="仿宋_GB2312" w:cs="仿宋_GB2312"/>
              <w:color w:val="auto"/>
              <w:kern w:val="2"/>
              <w:sz w:val="32"/>
              <w:szCs w:val="32"/>
              <w:lang w:val="en-US" w:eastAsia="zh-CN" w:bidi="ar-SA"/>
            </w:rPr>
            <w:fldChar w:fldCharType="end"/>
          </w:r>
        </w:p>
        <w:p w14:paraId="1456D548">
          <w:pPr>
            <w:pStyle w:val="9"/>
            <w:tabs>
              <w:tab w:val="right" w:leader="dot" w:pos="8845"/>
            </w:tabs>
            <w:rPr>
              <w:rFonts w:hint="eastAsia" w:ascii="仿宋_GB2312" w:hAnsi="仿宋_GB2312" w:eastAsia="仿宋_GB2312" w:cs="仿宋_GB2312"/>
              <w:color w:val="auto"/>
              <w:kern w:val="2"/>
              <w:sz w:val="32"/>
              <w:szCs w:val="32"/>
              <w:lang w:val="en-US" w:eastAsia="zh-CN" w:bidi="ar-SA"/>
            </w:rPr>
          </w:pPr>
          <w:r>
            <w:fldChar w:fldCharType="begin"/>
          </w:r>
          <w:r>
            <w:instrText xml:space="preserve"> HYPERLINK \l "_Toc2402" </w:instrText>
          </w:r>
          <w:r>
            <w:fldChar w:fldCharType="separate"/>
          </w:r>
          <w:r>
            <w:rPr>
              <w:rFonts w:hint="eastAsia" w:ascii="仿宋_GB2312" w:hAnsi="仿宋_GB2312" w:eastAsia="仿宋_GB2312" w:cs="仿宋_GB2312"/>
              <w:color w:val="auto"/>
              <w:kern w:val="2"/>
              <w:sz w:val="32"/>
              <w:szCs w:val="32"/>
              <w:lang w:val="en-US" w:eastAsia="zh-CN" w:bidi="ar-SA"/>
            </w:rPr>
            <w:t>（一）收入预算情况</w:t>
          </w:r>
          <w:r>
            <w:rPr>
              <w:rFonts w:hint="eastAsia" w:ascii="仿宋_GB2312" w:hAnsi="仿宋_GB2312" w:eastAsia="仿宋_GB2312" w:cs="仿宋_GB2312"/>
              <w:color w:val="auto"/>
              <w:kern w:val="2"/>
              <w:sz w:val="32"/>
              <w:szCs w:val="32"/>
              <w:lang w:val="en-US" w:eastAsia="zh-CN" w:bidi="ar-SA"/>
            </w:rPr>
            <w:tab/>
          </w: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 PAGEREF _Toc2402 \h </w:instrText>
          </w:r>
          <w:r>
            <w:rPr>
              <w:rFonts w:hint="eastAsia" w:ascii="仿宋_GB2312" w:hAnsi="仿宋_GB2312" w:eastAsia="仿宋_GB2312" w:cs="仿宋_GB2312"/>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6</w:t>
          </w:r>
          <w:r>
            <w:rPr>
              <w:rFonts w:hint="eastAsia" w:ascii="仿宋_GB2312" w:hAnsi="仿宋_GB2312" w:eastAsia="仿宋_GB2312" w:cs="仿宋_GB2312"/>
              <w:color w:val="auto"/>
              <w:kern w:val="2"/>
              <w:sz w:val="32"/>
              <w:szCs w:val="32"/>
              <w:lang w:val="en-US" w:eastAsia="zh-CN" w:bidi="ar-SA"/>
            </w:rPr>
            <w:fldChar w:fldCharType="end"/>
          </w:r>
          <w:r>
            <w:rPr>
              <w:rFonts w:hint="eastAsia" w:ascii="仿宋_GB2312" w:hAnsi="仿宋_GB2312" w:eastAsia="仿宋_GB2312" w:cs="仿宋_GB2312"/>
              <w:color w:val="auto"/>
              <w:kern w:val="2"/>
              <w:sz w:val="32"/>
              <w:szCs w:val="32"/>
              <w:lang w:val="en-US" w:eastAsia="zh-CN" w:bidi="ar-SA"/>
            </w:rPr>
            <w:fldChar w:fldCharType="end"/>
          </w:r>
        </w:p>
        <w:p w14:paraId="797484A4">
          <w:pPr>
            <w:pStyle w:val="9"/>
            <w:tabs>
              <w:tab w:val="right" w:leader="dot" w:pos="8845"/>
            </w:tabs>
            <w:rPr>
              <w:rFonts w:hint="eastAsia" w:ascii="仿宋_GB2312" w:hAnsi="仿宋_GB2312" w:eastAsia="仿宋_GB2312" w:cs="仿宋_GB2312"/>
              <w:color w:val="auto"/>
              <w:kern w:val="2"/>
              <w:sz w:val="32"/>
              <w:szCs w:val="32"/>
              <w:lang w:val="en-US" w:eastAsia="zh-CN" w:bidi="ar-SA"/>
            </w:rPr>
          </w:pPr>
          <w:r>
            <w:fldChar w:fldCharType="begin"/>
          </w:r>
          <w:r>
            <w:instrText xml:space="preserve"> HYPERLINK \l "_Toc2487" </w:instrText>
          </w:r>
          <w:r>
            <w:fldChar w:fldCharType="separate"/>
          </w:r>
          <w:r>
            <w:rPr>
              <w:rFonts w:hint="eastAsia" w:ascii="仿宋_GB2312" w:hAnsi="仿宋_GB2312" w:eastAsia="仿宋_GB2312" w:cs="仿宋_GB2312"/>
              <w:color w:val="auto"/>
              <w:kern w:val="2"/>
              <w:sz w:val="32"/>
              <w:szCs w:val="32"/>
              <w:lang w:val="en-US" w:eastAsia="zh-CN" w:bidi="ar-SA"/>
            </w:rPr>
            <w:t>（二）支出预算情况</w:t>
          </w:r>
          <w:r>
            <w:rPr>
              <w:rFonts w:hint="eastAsia" w:ascii="仿宋_GB2312" w:hAnsi="仿宋_GB2312" w:eastAsia="仿宋_GB2312" w:cs="仿宋_GB2312"/>
              <w:color w:val="auto"/>
              <w:kern w:val="2"/>
              <w:sz w:val="32"/>
              <w:szCs w:val="32"/>
              <w:lang w:val="en-US" w:eastAsia="zh-CN" w:bidi="ar-SA"/>
            </w:rPr>
            <w:tab/>
          </w: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 PAGEREF _Toc2487 \h </w:instrText>
          </w:r>
          <w:r>
            <w:rPr>
              <w:rFonts w:hint="eastAsia" w:ascii="仿宋_GB2312" w:hAnsi="仿宋_GB2312" w:eastAsia="仿宋_GB2312" w:cs="仿宋_GB2312"/>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6</w:t>
          </w:r>
          <w:r>
            <w:rPr>
              <w:rFonts w:hint="eastAsia" w:ascii="仿宋_GB2312" w:hAnsi="仿宋_GB2312" w:eastAsia="仿宋_GB2312" w:cs="仿宋_GB2312"/>
              <w:color w:val="auto"/>
              <w:kern w:val="2"/>
              <w:sz w:val="32"/>
              <w:szCs w:val="32"/>
              <w:lang w:val="en-US" w:eastAsia="zh-CN" w:bidi="ar-SA"/>
            </w:rPr>
            <w:fldChar w:fldCharType="end"/>
          </w:r>
          <w:r>
            <w:rPr>
              <w:rFonts w:hint="eastAsia" w:ascii="仿宋_GB2312" w:hAnsi="仿宋_GB2312" w:eastAsia="仿宋_GB2312" w:cs="仿宋_GB2312"/>
              <w:color w:val="auto"/>
              <w:kern w:val="2"/>
              <w:sz w:val="32"/>
              <w:szCs w:val="32"/>
              <w:lang w:val="en-US" w:eastAsia="zh-CN" w:bidi="ar-SA"/>
            </w:rPr>
            <w:fldChar w:fldCharType="end"/>
          </w:r>
        </w:p>
        <w:p w14:paraId="402C09BF">
          <w:pPr>
            <w:pStyle w:val="7"/>
            <w:tabs>
              <w:tab w:val="right" w:leader="dot" w:pos="8845"/>
            </w:tabs>
            <w:rPr>
              <w:rFonts w:hint="eastAsia" w:ascii="仿宋_GB2312" w:hAnsi="仿宋_GB2312" w:eastAsia="仿宋_GB2312" w:cs="仿宋_GB2312"/>
              <w:color w:val="auto"/>
              <w:kern w:val="2"/>
              <w:sz w:val="32"/>
              <w:szCs w:val="32"/>
              <w:lang w:val="en-US" w:eastAsia="zh-CN" w:bidi="ar-SA"/>
            </w:rPr>
          </w:pPr>
          <w:r>
            <w:fldChar w:fldCharType="begin"/>
          </w:r>
          <w:r>
            <w:instrText xml:space="preserve"> HYPERLINK \l "_Toc11383" </w:instrText>
          </w:r>
          <w:r>
            <w:fldChar w:fldCharType="separate"/>
          </w:r>
          <w:r>
            <w:rPr>
              <w:rFonts w:hint="eastAsia" w:ascii="仿宋_GB2312" w:hAnsi="仿宋_GB2312" w:eastAsia="仿宋_GB2312" w:cs="仿宋_GB2312"/>
              <w:color w:val="auto"/>
              <w:kern w:val="2"/>
              <w:sz w:val="32"/>
              <w:szCs w:val="32"/>
              <w:lang w:val="en-US" w:eastAsia="zh-CN" w:bidi="ar-SA"/>
            </w:rPr>
            <w:t>四、财政拨款收支预算情况说明</w:t>
          </w:r>
          <w:r>
            <w:rPr>
              <w:rFonts w:hint="eastAsia" w:ascii="仿宋_GB2312" w:hAnsi="仿宋_GB2312" w:eastAsia="仿宋_GB2312" w:cs="仿宋_GB2312"/>
              <w:color w:val="auto"/>
              <w:kern w:val="2"/>
              <w:sz w:val="32"/>
              <w:szCs w:val="32"/>
              <w:lang w:val="en-US" w:eastAsia="zh-CN" w:bidi="ar-SA"/>
            </w:rPr>
            <w:tab/>
          </w: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 PAGEREF _Toc11383 \h </w:instrText>
          </w:r>
          <w:r>
            <w:rPr>
              <w:rFonts w:hint="eastAsia" w:ascii="仿宋_GB2312" w:hAnsi="仿宋_GB2312" w:eastAsia="仿宋_GB2312" w:cs="仿宋_GB2312"/>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6</w:t>
          </w:r>
          <w:r>
            <w:rPr>
              <w:rFonts w:hint="eastAsia" w:ascii="仿宋_GB2312" w:hAnsi="仿宋_GB2312" w:eastAsia="仿宋_GB2312" w:cs="仿宋_GB2312"/>
              <w:color w:val="auto"/>
              <w:kern w:val="2"/>
              <w:sz w:val="32"/>
              <w:szCs w:val="32"/>
              <w:lang w:val="en-US" w:eastAsia="zh-CN" w:bidi="ar-SA"/>
            </w:rPr>
            <w:fldChar w:fldCharType="end"/>
          </w:r>
          <w:r>
            <w:rPr>
              <w:rFonts w:hint="eastAsia" w:ascii="仿宋_GB2312" w:hAnsi="仿宋_GB2312" w:eastAsia="仿宋_GB2312" w:cs="仿宋_GB2312"/>
              <w:color w:val="auto"/>
              <w:kern w:val="2"/>
              <w:sz w:val="32"/>
              <w:szCs w:val="32"/>
              <w:lang w:val="en-US" w:eastAsia="zh-CN" w:bidi="ar-SA"/>
            </w:rPr>
            <w:fldChar w:fldCharType="end"/>
          </w:r>
        </w:p>
        <w:p w14:paraId="7055023C">
          <w:pPr>
            <w:pStyle w:val="7"/>
            <w:tabs>
              <w:tab w:val="right" w:leader="dot" w:pos="8845"/>
            </w:tabs>
            <w:rPr>
              <w:rFonts w:hint="eastAsia" w:ascii="仿宋_GB2312" w:hAnsi="仿宋_GB2312" w:eastAsia="仿宋_GB2312" w:cs="仿宋_GB2312"/>
              <w:color w:val="auto"/>
              <w:kern w:val="2"/>
              <w:sz w:val="32"/>
              <w:szCs w:val="32"/>
              <w:lang w:val="en-US" w:eastAsia="zh-CN" w:bidi="ar-SA"/>
            </w:rPr>
          </w:pPr>
          <w:r>
            <w:fldChar w:fldCharType="begin"/>
          </w:r>
          <w:r>
            <w:instrText xml:space="preserve"> HYPERLINK \l "_Toc4713" </w:instrText>
          </w:r>
          <w:r>
            <w:fldChar w:fldCharType="separate"/>
          </w:r>
          <w:r>
            <w:rPr>
              <w:rFonts w:hint="eastAsia" w:ascii="仿宋_GB2312" w:hAnsi="仿宋_GB2312" w:eastAsia="仿宋_GB2312" w:cs="仿宋_GB2312"/>
              <w:color w:val="auto"/>
              <w:kern w:val="2"/>
              <w:sz w:val="32"/>
              <w:szCs w:val="32"/>
              <w:lang w:val="en-US" w:eastAsia="zh-CN" w:bidi="ar-SA"/>
            </w:rPr>
            <w:t>五、一般公共预算当年拨款情况说明</w:t>
          </w:r>
          <w:r>
            <w:rPr>
              <w:rFonts w:hint="eastAsia" w:ascii="仿宋_GB2312" w:hAnsi="仿宋_GB2312" w:eastAsia="仿宋_GB2312" w:cs="仿宋_GB2312"/>
              <w:color w:val="auto"/>
              <w:kern w:val="2"/>
              <w:sz w:val="32"/>
              <w:szCs w:val="32"/>
              <w:lang w:val="en-US" w:eastAsia="zh-CN" w:bidi="ar-SA"/>
            </w:rPr>
            <w:tab/>
          </w: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 PAGEREF _Toc4713 \h </w:instrText>
          </w:r>
          <w:r>
            <w:rPr>
              <w:rFonts w:hint="eastAsia" w:ascii="仿宋_GB2312" w:hAnsi="仿宋_GB2312" w:eastAsia="仿宋_GB2312" w:cs="仿宋_GB2312"/>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6</w:t>
          </w:r>
          <w:r>
            <w:rPr>
              <w:rFonts w:hint="eastAsia" w:ascii="仿宋_GB2312" w:hAnsi="仿宋_GB2312" w:eastAsia="仿宋_GB2312" w:cs="仿宋_GB2312"/>
              <w:color w:val="auto"/>
              <w:kern w:val="2"/>
              <w:sz w:val="32"/>
              <w:szCs w:val="32"/>
              <w:lang w:val="en-US" w:eastAsia="zh-CN" w:bidi="ar-SA"/>
            </w:rPr>
            <w:fldChar w:fldCharType="end"/>
          </w:r>
          <w:r>
            <w:rPr>
              <w:rFonts w:hint="eastAsia" w:ascii="仿宋_GB2312" w:hAnsi="仿宋_GB2312" w:eastAsia="仿宋_GB2312" w:cs="仿宋_GB2312"/>
              <w:color w:val="auto"/>
              <w:kern w:val="2"/>
              <w:sz w:val="32"/>
              <w:szCs w:val="32"/>
              <w:lang w:val="en-US" w:eastAsia="zh-CN" w:bidi="ar-SA"/>
            </w:rPr>
            <w:fldChar w:fldCharType="end"/>
          </w:r>
        </w:p>
        <w:p w14:paraId="15F105B2">
          <w:pPr>
            <w:pStyle w:val="9"/>
            <w:tabs>
              <w:tab w:val="right" w:leader="dot" w:pos="8845"/>
            </w:tabs>
            <w:rPr>
              <w:rFonts w:hint="eastAsia" w:ascii="仿宋_GB2312" w:hAnsi="仿宋_GB2312" w:eastAsia="仿宋_GB2312" w:cs="仿宋_GB2312"/>
              <w:color w:val="auto"/>
              <w:kern w:val="2"/>
              <w:sz w:val="32"/>
              <w:szCs w:val="32"/>
              <w:lang w:val="en-US" w:eastAsia="zh-CN" w:bidi="ar-SA"/>
            </w:rPr>
          </w:pPr>
          <w:r>
            <w:fldChar w:fldCharType="begin"/>
          </w:r>
          <w:r>
            <w:instrText xml:space="preserve"> HYPERLINK \l "_Toc2479" </w:instrText>
          </w:r>
          <w:r>
            <w:fldChar w:fldCharType="separate"/>
          </w:r>
          <w:r>
            <w:rPr>
              <w:rFonts w:hint="eastAsia" w:ascii="仿宋_GB2312" w:hAnsi="仿宋_GB2312" w:eastAsia="仿宋_GB2312" w:cs="仿宋_GB2312"/>
              <w:color w:val="auto"/>
              <w:kern w:val="2"/>
              <w:sz w:val="32"/>
              <w:szCs w:val="32"/>
              <w:lang w:val="en-US" w:eastAsia="zh-CN" w:bidi="ar-SA"/>
            </w:rPr>
            <w:t>（一）一般公共预算当年拨款规模变化情况</w:t>
          </w:r>
          <w:r>
            <w:rPr>
              <w:rFonts w:hint="eastAsia" w:ascii="仿宋_GB2312" w:hAnsi="仿宋_GB2312" w:eastAsia="仿宋_GB2312" w:cs="仿宋_GB2312"/>
              <w:color w:val="auto"/>
              <w:kern w:val="2"/>
              <w:sz w:val="32"/>
              <w:szCs w:val="32"/>
              <w:lang w:val="en-US" w:eastAsia="zh-CN" w:bidi="ar-SA"/>
            </w:rPr>
            <w:tab/>
          </w: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 PAGEREF _Toc2479 \h </w:instrText>
          </w:r>
          <w:r>
            <w:rPr>
              <w:rFonts w:hint="eastAsia" w:ascii="仿宋_GB2312" w:hAnsi="仿宋_GB2312" w:eastAsia="仿宋_GB2312" w:cs="仿宋_GB2312"/>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6</w:t>
          </w:r>
          <w:r>
            <w:rPr>
              <w:rFonts w:hint="eastAsia" w:ascii="仿宋_GB2312" w:hAnsi="仿宋_GB2312" w:eastAsia="仿宋_GB2312" w:cs="仿宋_GB2312"/>
              <w:color w:val="auto"/>
              <w:kern w:val="2"/>
              <w:sz w:val="32"/>
              <w:szCs w:val="32"/>
              <w:lang w:val="en-US" w:eastAsia="zh-CN" w:bidi="ar-SA"/>
            </w:rPr>
            <w:fldChar w:fldCharType="end"/>
          </w:r>
          <w:r>
            <w:rPr>
              <w:rFonts w:hint="eastAsia" w:ascii="仿宋_GB2312" w:hAnsi="仿宋_GB2312" w:eastAsia="仿宋_GB2312" w:cs="仿宋_GB2312"/>
              <w:color w:val="auto"/>
              <w:kern w:val="2"/>
              <w:sz w:val="32"/>
              <w:szCs w:val="32"/>
              <w:lang w:val="en-US" w:eastAsia="zh-CN" w:bidi="ar-SA"/>
            </w:rPr>
            <w:fldChar w:fldCharType="end"/>
          </w:r>
        </w:p>
        <w:p w14:paraId="3F6F7A1B">
          <w:pPr>
            <w:pStyle w:val="9"/>
            <w:tabs>
              <w:tab w:val="right" w:leader="dot" w:pos="8845"/>
            </w:tabs>
            <w:rPr>
              <w:rFonts w:hint="eastAsia" w:ascii="仿宋_GB2312" w:hAnsi="仿宋_GB2312" w:eastAsia="仿宋_GB2312" w:cs="仿宋_GB2312"/>
              <w:color w:val="auto"/>
              <w:kern w:val="2"/>
              <w:sz w:val="32"/>
              <w:szCs w:val="32"/>
              <w:lang w:val="en-US" w:eastAsia="zh-CN" w:bidi="ar-SA"/>
            </w:rPr>
          </w:pPr>
          <w:r>
            <w:fldChar w:fldCharType="begin"/>
          </w:r>
          <w:r>
            <w:instrText xml:space="preserve"> HYPERLINK \l "_Toc11641" </w:instrText>
          </w:r>
          <w:r>
            <w:fldChar w:fldCharType="separate"/>
          </w:r>
          <w:r>
            <w:rPr>
              <w:rFonts w:hint="eastAsia" w:ascii="仿宋_GB2312" w:hAnsi="仿宋_GB2312" w:eastAsia="仿宋_GB2312" w:cs="仿宋_GB2312"/>
              <w:color w:val="auto"/>
              <w:kern w:val="2"/>
              <w:sz w:val="32"/>
              <w:szCs w:val="32"/>
              <w:lang w:val="en-US" w:eastAsia="zh-CN" w:bidi="ar-SA"/>
            </w:rPr>
            <w:t>（二）一般公共预算当年拨款结构情况</w:t>
          </w:r>
          <w:r>
            <w:rPr>
              <w:rFonts w:hint="eastAsia" w:ascii="仿宋_GB2312" w:hAnsi="仿宋_GB2312" w:eastAsia="仿宋_GB2312" w:cs="仿宋_GB2312"/>
              <w:color w:val="auto"/>
              <w:kern w:val="2"/>
              <w:sz w:val="32"/>
              <w:szCs w:val="32"/>
              <w:lang w:val="en-US" w:eastAsia="zh-CN" w:bidi="ar-SA"/>
            </w:rPr>
            <w:tab/>
          </w: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 PAGEREF _Toc11641 \h </w:instrText>
          </w:r>
          <w:r>
            <w:rPr>
              <w:rFonts w:hint="eastAsia" w:ascii="仿宋_GB2312" w:hAnsi="仿宋_GB2312" w:eastAsia="仿宋_GB2312" w:cs="仿宋_GB2312"/>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7</w:t>
          </w:r>
          <w:r>
            <w:rPr>
              <w:rFonts w:hint="eastAsia" w:ascii="仿宋_GB2312" w:hAnsi="仿宋_GB2312" w:eastAsia="仿宋_GB2312" w:cs="仿宋_GB2312"/>
              <w:color w:val="auto"/>
              <w:kern w:val="2"/>
              <w:sz w:val="32"/>
              <w:szCs w:val="32"/>
              <w:lang w:val="en-US" w:eastAsia="zh-CN" w:bidi="ar-SA"/>
            </w:rPr>
            <w:fldChar w:fldCharType="end"/>
          </w:r>
          <w:r>
            <w:rPr>
              <w:rFonts w:hint="eastAsia" w:ascii="仿宋_GB2312" w:hAnsi="仿宋_GB2312" w:eastAsia="仿宋_GB2312" w:cs="仿宋_GB2312"/>
              <w:color w:val="auto"/>
              <w:kern w:val="2"/>
              <w:sz w:val="32"/>
              <w:szCs w:val="32"/>
              <w:lang w:val="en-US" w:eastAsia="zh-CN" w:bidi="ar-SA"/>
            </w:rPr>
            <w:fldChar w:fldCharType="end"/>
          </w:r>
        </w:p>
        <w:p w14:paraId="51C1EFF9">
          <w:pPr>
            <w:pStyle w:val="9"/>
            <w:tabs>
              <w:tab w:val="right" w:leader="dot" w:pos="8845"/>
            </w:tabs>
            <w:rPr>
              <w:rFonts w:hint="eastAsia" w:ascii="仿宋_GB2312" w:hAnsi="仿宋_GB2312" w:eastAsia="仿宋_GB2312" w:cs="仿宋_GB2312"/>
              <w:color w:val="auto"/>
              <w:kern w:val="2"/>
              <w:sz w:val="32"/>
              <w:szCs w:val="32"/>
              <w:lang w:val="en-US" w:eastAsia="zh-CN" w:bidi="ar-SA"/>
            </w:rPr>
          </w:pPr>
          <w:r>
            <w:fldChar w:fldCharType="begin"/>
          </w:r>
          <w:r>
            <w:instrText xml:space="preserve"> HYPERLINK \l "_Toc22140" </w:instrText>
          </w:r>
          <w:r>
            <w:fldChar w:fldCharType="separate"/>
          </w:r>
          <w:r>
            <w:rPr>
              <w:rFonts w:hint="eastAsia" w:ascii="仿宋_GB2312" w:hAnsi="仿宋_GB2312" w:eastAsia="仿宋_GB2312" w:cs="仿宋_GB2312"/>
              <w:color w:val="auto"/>
              <w:kern w:val="2"/>
              <w:sz w:val="32"/>
              <w:szCs w:val="32"/>
              <w:lang w:val="en-US" w:eastAsia="zh-CN" w:bidi="ar-SA"/>
            </w:rPr>
            <w:t>（三）一般公共预算当年拨款具体使用情况</w:t>
          </w:r>
          <w:r>
            <w:rPr>
              <w:rFonts w:hint="eastAsia" w:ascii="仿宋_GB2312" w:hAnsi="仿宋_GB2312" w:eastAsia="仿宋_GB2312" w:cs="仿宋_GB2312"/>
              <w:color w:val="auto"/>
              <w:kern w:val="2"/>
              <w:sz w:val="32"/>
              <w:szCs w:val="32"/>
              <w:lang w:val="en-US" w:eastAsia="zh-CN" w:bidi="ar-SA"/>
            </w:rPr>
            <w:tab/>
          </w: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 PAGEREF _Toc22140 \h </w:instrText>
          </w:r>
          <w:r>
            <w:rPr>
              <w:rFonts w:hint="eastAsia" w:ascii="仿宋_GB2312" w:hAnsi="仿宋_GB2312" w:eastAsia="仿宋_GB2312" w:cs="仿宋_GB2312"/>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7</w:t>
          </w:r>
          <w:r>
            <w:rPr>
              <w:rFonts w:hint="eastAsia" w:ascii="仿宋_GB2312" w:hAnsi="仿宋_GB2312" w:eastAsia="仿宋_GB2312" w:cs="仿宋_GB2312"/>
              <w:color w:val="auto"/>
              <w:kern w:val="2"/>
              <w:sz w:val="32"/>
              <w:szCs w:val="32"/>
              <w:lang w:val="en-US" w:eastAsia="zh-CN" w:bidi="ar-SA"/>
            </w:rPr>
            <w:fldChar w:fldCharType="end"/>
          </w:r>
          <w:r>
            <w:rPr>
              <w:rFonts w:hint="eastAsia" w:ascii="仿宋_GB2312" w:hAnsi="仿宋_GB2312" w:eastAsia="仿宋_GB2312" w:cs="仿宋_GB2312"/>
              <w:color w:val="auto"/>
              <w:kern w:val="2"/>
              <w:sz w:val="32"/>
              <w:szCs w:val="32"/>
              <w:lang w:val="en-US" w:eastAsia="zh-CN" w:bidi="ar-SA"/>
            </w:rPr>
            <w:fldChar w:fldCharType="end"/>
          </w:r>
        </w:p>
        <w:p w14:paraId="6276E40A">
          <w:pPr>
            <w:pStyle w:val="7"/>
            <w:tabs>
              <w:tab w:val="right" w:leader="dot" w:pos="8845"/>
            </w:tabs>
            <w:rPr>
              <w:rFonts w:hint="eastAsia" w:ascii="仿宋_GB2312" w:hAnsi="仿宋_GB2312" w:eastAsia="仿宋_GB2312" w:cs="仿宋_GB2312"/>
              <w:color w:val="auto"/>
              <w:kern w:val="2"/>
              <w:sz w:val="32"/>
              <w:szCs w:val="32"/>
              <w:lang w:val="en-US" w:eastAsia="zh-CN" w:bidi="ar-SA"/>
            </w:rPr>
          </w:pPr>
          <w:r>
            <w:fldChar w:fldCharType="begin"/>
          </w:r>
          <w:r>
            <w:instrText xml:space="preserve"> HYPERLINK \l "_Toc19136" </w:instrText>
          </w:r>
          <w:r>
            <w:fldChar w:fldCharType="separate"/>
          </w:r>
          <w:r>
            <w:rPr>
              <w:rFonts w:hint="eastAsia" w:ascii="仿宋_GB2312" w:hAnsi="仿宋_GB2312" w:eastAsia="仿宋_GB2312" w:cs="仿宋_GB2312"/>
              <w:color w:val="auto"/>
              <w:kern w:val="2"/>
              <w:sz w:val="32"/>
              <w:szCs w:val="32"/>
              <w:lang w:val="en-US" w:eastAsia="zh-CN" w:bidi="ar-SA"/>
            </w:rPr>
            <w:t>六、一般公共预算基本支出情况说明</w:t>
          </w:r>
          <w:r>
            <w:rPr>
              <w:rFonts w:hint="eastAsia" w:ascii="仿宋_GB2312" w:hAnsi="仿宋_GB2312" w:eastAsia="仿宋_GB2312" w:cs="仿宋_GB2312"/>
              <w:color w:val="auto"/>
              <w:kern w:val="2"/>
              <w:sz w:val="32"/>
              <w:szCs w:val="32"/>
              <w:lang w:val="en-US" w:eastAsia="zh-CN" w:bidi="ar-SA"/>
            </w:rPr>
            <w:tab/>
          </w: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 PAGEREF _Toc19136 \h </w:instrText>
          </w:r>
          <w:r>
            <w:rPr>
              <w:rFonts w:hint="eastAsia" w:ascii="仿宋_GB2312" w:hAnsi="仿宋_GB2312" w:eastAsia="仿宋_GB2312" w:cs="仿宋_GB2312"/>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7</w:t>
          </w:r>
          <w:r>
            <w:rPr>
              <w:rFonts w:hint="eastAsia" w:ascii="仿宋_GB2312" w:hAnsi="仿宋_GB2312" w:eastAsia="仿宋_GB2312" w:cs="仿宋_GB2312"/>
              <w:color w:val="auto"/>
              <w:kern w:val="2"/>
              <w:sz w:val="32"/>
              <w:szCs w:val="32"/>
              <w:lang w:val="en-US" w:eastAsia="zh-CN" w:bidi="ar-SA"/>
            </w:rPr>
            <w:fldChar w:fldCharType="end"/>
          </w:r>
          <w:r>
            <w:rPr>
              <w:rFonts w:hint="eastAsia" w:ascii="仿宋_GB2312" w:hAnsi="仿宋_GB2312" w:eastAsia="仿宋_GB2312" w:cs="仿宋_GB2312"/>
              <w:color w:val="auto"/>
              <w:kern w:val="2"/>
              <w:sz w:val="32"/>
              <w:szCs w:val="32"/>
              <w:lang w:val="en-US" w:eastAsia="zh-CN" w:bidi="ar-SA"/>
            </w:rPr>
            <w:fldChar w:fldCharType="end"/>
          </w:r>
        </w:p>
        <w:p w14:paraId="0F3E8F56">
          <w:pPr>
            <w:pStyle w:val="7"/>
            <w:tabs>
              <w:tab w:val="right" w:leader="dot" w:pos="8845"/>
            </w:tabs>
            <w:rPr>
              <w:rFonts w:hint="eastAsia" w:ascii="仿宋_GB2312" w:hAnsi="仿宋_GB2312" w:eastAsia="仿宋_GB2312" w:cs="仿宋_GB2312"/>
              <w:color w:val="auto"/>
              <w:kern w:val="2"/>
              <w:sz w:val="32"/>
              <w:szCs w:val="32"/>
              <w:lang w:val="en-US" w:eastAsia="zh-CN" w:bidi="ar-SA"/>
            </w:rPr>
          </w:pPr>
          <w:r>
            <w:fldChar w:fldCharType="begin"/>
          </w:r>
          <w:r>
            <w:instrText xml:space="preserve"> HYPERLINK \l "_Toc23225" </w:instrText>
          </w:r>
          <w:r>
            <w:fldChar w:fldCharType="separate"/>
          </w:r>
          <w:r>
            <w:rPr>
              <w:rFonts w:hint="eastAsia" w:ascii="仿宋_GB2312" w:hAnsi="仿宋_GB2312" w:eastAsia="仿宋_GB2312" w:cs="仿宋_GB2312"/>
              <w:color w:val="auto"/>
              <w:kern w:val="2"/>
              <w:sz w:val="32"/>
              <w:szCs w:val="32"/>
              <w:lang w:val="en-US" w:eastAsia="zh-CN" w:bidi="ar-SA"/>
            </w:rPr>
            <w:t>七、“三公”经费财政拨款预算安排情况说明</w:t>
          </w:r>
          <w:r>
            <w:rPr>
              <w:rFonts w:hint="eastAsia" w:ascii="仿宋_GB2312" w:hAnsi="仿宋_GB2312" w:eastAsia="仿宋_GB2312" w:cs="仿宋_GB2312"/>
              <w:color w:val="auto"/>
              <w:kern w:val="2"/>
              <w:sz w:val="32"/>
              <w:szCs w:val="32"/>
              <w:lang w:val="en-US" w:eastAsia="zh-CN" w:bidi="ar-SA"/>
            </w:rPr>
            <w:tab/>
          </w: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 PAGEREF _Toc23225 \h </w:instrText>
          </w:r>
          <w:r>
            <w:rPr>
              <w:rFonts w:hint="eastAsia" w:ascii="仿宋_GB2312" w:hAnsi="仿宋_GB2312" w:eastAsia="仿宋_GB2312" w:cs="仿宋_GB2312"/>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7</w:t>
          </w:r>
          <w:r>
            <w:rPr>
              <w:rFonts w:hint="eastAsia" w:ascii="仿宋_GB2312" w:hAnsi="仿宋_GB2312" w:eastAsia="仿宋_GB2312" w:cs="仿宋_GB2312"/>
              <w:color w:val="auto"/>
              <w:kern w:val="2"/>
              <w:sz w:val="32"/>
              <w:szCs w:val="32"/>
              <w:lang w:val="en-US" w:eastAsia="zh-CN" w:bidi="ar-SA"/>
            </w:rPr>
            <w:fldChar w:fldCharType="end"/>
          </w:r>
          <w:r>
            <w:rPr>
              <w:rFonts w:hint="eastAsia" w:ascii="仿宋_GB2312" w:hAnsi="仿宋_GB2312" w:eastAsia="仿宋_GB2312" w:cs="仿宋_GB2312"/>
              <w:color w:val="auto"/>
              <w:kern w:val="2"/>
              <w:sz w:val="32"/>
              <w:szCs w:val="32"/>
              <w:lang w:val="en-US" w:eastAsia="zh-CN" w:bidi="ar-SA"/>
            </w:rPr>
            <w:fldChar w:fldCharType="end"/>
          </w:r>
        </w:p>
        <w:p w14:paraId="0235C4F5">
          <w:pPr>
            <w:pStyle w:val="7"/>
            <w:tabs>
              <w:tab w:val="right" w:leader="dot" w:pos="8845"/>
            </w:tabs>
            <w:rPr>
              <w:rFonts w:hint="eastAsia" w:ascii="仿宋_GB2312" w:hAnsi="仿宋_GB2312" w:eastAsia="仿宋_GB2312" w:cs="仿宋_GB2312"/>
              <w:color w:val="auto"/>
              <w:kern w:val="2"/>
              <w:sz w:val="32"/>
              <w:szCs w:val="32"/>
              <w:lang w:val="en-US" w:eastAsia="zh-CN" w:bidi="ar-SA"/>
            </w:rPr>
          </w:pPr>
          <w:r>
            <w:fldChar w:fldCharType="begin"/>
          </w:r>
          <w:r>
            <w:instrText xml:space="preserve"> HYPERLINK \l "_Toc967" </w:instrText>
          </w:r>
          <w:r>
            <w:fldChar w:fldCharType="separate"/>
          </w:r>
          <w:r>
            <w:rPr>
              <w:rFonts w:hint="eastAsia" w:ascii="仿宋_GB2312" w:hAnsi="仿宋_GB2312" w:eastAsia="仿宋_GB2312" w:cs="仿宋_GB2312"/>
              <w:color w:val="auto"/>
              <w:kern w:val="2"/>
              <w:sz w:val="32"/>
              <w:szCs w:val="32"/>
              <w:lang w:val="en-US" w:eastAsia="zh-CN" w:bidi="ar-SA"/>
            </w:rPr>
            <w:t>八、政府性基金预算支出情况说明</w:t>
          </w:r>
          <w:r>
            <w:rPr>
              <w:rFonts w:hint="eastAsia" w:ascii="仿宋_GB2312" w:hAnsi="仿宋_GB2312" w:eastAsia="仿宋_GB2312" w:cs="仿宋_GB2312"/>
              <w:color w:val="auto"/>
              <w:kern w:val="2"/>
              <w:sz w:val="32"/>
              <w:szCs w:val="32"/>
              <w:lang w:val="en-US" w:eastAsia="zh-CN" w:bidi="ar-SA"/>
            </w:rPr>
            <w:tab/>
          </w: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 PAGEREF _Toc967 \h </w:instrText>
          </w:r>
          <w:r>
            <w:rPr>
              <w:rFonts w:hint="eastAsia" w:ascii="仿宋_GB2312" w:hAnsi="仿宋_GB2312" w:eastAsia="仿宋_GB2312" w:cs="仿宋_GB2312"/>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8</w:t>
          </w:r>
          <w:r>
            <w:rPr>
              <w:rFonts w:hint="eastAsia" w:ascii="仿宋_GB2312" w:hAnsi="仿宋_GB2312" w:eastAsia="仿宋_GB2312" w:cs="仿宋_GB2312"/>
              <w:color w:val="auto"/>
              <w:kern w:val="2"/>
              <w:sz w:val="32"/>
              <w:szCs w:val="32"/>
              <w:lang w:val="en-US" w:eastAsia="zh-CN" w:bidi="ar-SA"/>
            </w:rPr>
            <w:fldChar w:fldCharType="end"/>
          </w:r>
          <w:r>
            <w:rPr>
              <w:rFonts w:hint="eastAsia" w:ascii="仿宋_GB2312" w:hAnsi="仿宋_GB2312" w:eastAsia="仿宋_GB2312" w:cs="仿宋_GB2312"/>
              <w:color w:val="auto"/>
              <w:kern w:val="2"/>
              <w:sz w:val="32"/>
              <w:szCs w:val="32"/>
              <w:lang w:val="en-US" w:eastAsia="zh-CN" w:bidi="ar-SA"/>
            </w:rPr>
            <w:fldChar w:fldCharType="end"/>
          </w:r>
        </w:p>
        <w:p w14:paraId="57D26D76">
          <w:pPr>
            <w:pStyle w:val="7"/>
            <w:tabs>
              <w:tab w:val="right" w:leader="dot" w:pos="8845"/>
            </w:tabs>
            <w:rPr>
              <w:rFonts w:hint="eastAsia" w:ascii="仿宋_GB2312" w:hAnsi="仿宋_GB2312" w:eastAsia="仿宋_GB2312" w:cs="仿宋_GB2312"/>
              <w:color w:val="auto"/>
              <w:kern w:val="2"/>
              <w:sz w:val="32"/>
              <w:szCs w:val="32"/>
              <w:lang w:val="en-US" w:eastAsia="zh-CN" w:bidi="ar-SA"/>
            </w:rPr>
          </w:pPr>
          <w:r>
            <w:fldChar w:fldCharType="begin"/>
          </w:r>
          <w:r>
            <w:instrText xml:space="preserve"> HYPERLINK \l "_Toc19490" </w:instrText>
          </w:r>
          <w:r>
            <w:fldChar w:fldCharType="separate"/>
          </w:r>
          <w:r>
            <w:rPr>
              <w:rFonts w:hint="eastAsia" w:ascii="仿宋_GB2312" w:hAnsi="仿宋_GB2312" w:eastAsia="仿宋_GB2312" w:cs="仿宋_GB2312"/>
              <w:color w:val="auto"/>
              <w:kern w:val="2"/>
              <w:sz w:val="32"/>
              <w:szCs w:val="32"/>
              <w:lang w:val="en-US" w:eastAsia="zh-CN" w:bidi="ar-SA"/>
            </w:rPr>
            <w:t>九、国有资本经营预算支出情况说明</w:t>
          </w:r>
          <w:r>
            <w:rPr>
              <w:rFonts w:hint="eastAsia" w:ascii="仿宋_GB2312" w:hAnsi="仿宋_GB2312" w:eastAsia="仿宋_GB2312" w:cs="仿宋_GB2312"/>
              <w:color w:val="auto"/>
              <w:kern w:val="2"/>
              <w:sz w:val="32"/>
              <w:szCs w:val="32"/>
              <w:lang w:val="en-US" w:eastAsia="zh-CN" w:bidi="ar-SA"/>
            </w:rPr>
            <w:tab/>
          </w: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 PAGEREF _Toc19490 \h </w:instrText>
          </w:r>
          <w:r>
            <w:rPr>
              <w:rFonts w:hint="eastAsia" w:ascii="仿宋_GB2312" w:hAnsi="仿宋_GB2312" w:eastAsia="仿宋_GB2312" w:cs="仿宋_GB2312"/>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8</w:t>
          </w:r>
          <w:r>
            <w:rPr>
              <w:rFonts w:hint="eastAsia" w:ascii="仿宋_GB2312" w:hAnsi="仿宋_GB2312" w:eastAsia="仿宋_GB2312" w:cs="仿宋_GB2312"/>
              <w:color w:val="auto"/>
              <w:kern w:val="2"/>
              <w:sz w:val="32"/>
              <w:szCs w:val="32"/>
              <w:lang w:val="en-US" w:eastAsia="zh-CN" w:bidi="ar-SA"/>
            </w:rPr>
            <w:fldChar w:fldCharType="end"/>
          </w:r>
          <w:r>
            <w:rPr>
              <w:rFonts w:hint="eastAsia" w:ascii="仿宋_GB2312" w:hAnsi="仿宋_GB2312" w:eastAsia="仿宋_GB2312" w:cs="仿宋_GB2312"/>
              <w:color w:val="auto"/>
              <w:kern w:val="2"/>
              <w:sz w:val="32"/>
              <w:szCs w:val="32"/>
              <w:lang w:val="en-US" w:eastAsia="zh-CN" w:bidi="ar-SA"/>
            </w:rPr>
            <w:fldChar w:fldCharType="end"/>
          </w:r>
        </w:p>
        <w:p w14:paraId="3B522EF8">
          <w:pPr>
            <w:pStyle w:val="7"/>
            <w:tabs>
              <w:tab w:val="right" w:leader="dot" w:pos="8845"/>
            </w:tabs>
            <w:rPr>
              <w:rFonts w:hint="eastAsia" w:ascii="仿宋_GB2312" w:hAnsi="仿宋_GB2312" w:eastAsia="仿宋_GB2312" w:cs="仿宋_GB2312"/>
              <w:color w:val="auto"/>
              <w:kern w:val="2"/>
              <w:sz w:val="32"/>
              <w:szCs w:val="32"/>
              <w:lang w:val="en-US" w:eastAsia="zh-CN" w:bidi="ar-SA"/>
            </w:rPr>
          </w:pPr>
          <w:r>
            <w:fldChar w:fldCharType="begin"/>
          </w:r>
          <w:r>
            <w:instrText xml:space="preserve"> HYPERLINK \l "_Toc9768" </w:instrText>
          </w:r>
          <w:r>
            <w:fldChar w:fldCharType="separate"/>
          </w:r>
          <w:r>
            <w:rPr>
              <w:rFonts w:hint="eastAsia" w:ascii="仿宋_GB2312" w:hAnsi="仿宋_GB2312" w:eastAsia="仿宋_GB2312" w:cs="仿宋_GB2312"/>
              <w:color w:val="auto"/>
              <w:kern w:val="2"/>
              <w:sz w:val="32"/>
              <w:szCs w:val="32"/>
              <w:lang w:val="en-US" w:eastAsia="zh-CN" w:bidi="ar-SA"/>
            </w:rPr>
            <w:t>十、其他重要事项的情况说明</w:t>
          </w:r>
          <w:r>
            <w:rPr>
              <w:rFonts w:hint="eastAsia" w:ascii="仿宋_GB2312" w:hAnsi="仿宋_GB2312" w:eastAsia="仿宋_GB2312" w:cs="仿宋_GB2312"/>
              <w:color w:val="auto"/>
              <w:kern w:val="2"/>
              <w:sz w:val="32"/>
              <w:szCs w:val="32"/>
              <w:lang w:val="en-US" w:eastAsia="zh-CN" w:bidi="ar-SA"/>
            </w:rPr>
            <w:tab/>
          </w: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 PAGEREF _Toc9768 \h </w:instrText>
          </w:r>
          <w:r>
            <w:rPr>
              <w:rFonts w:hint="eastAsia" w:ascii="仿宋_GB2312" w:hAnsi="仿宋_GB2312" w:eastAsia="仿宋_GB2312" w:cs="仿宋_GB2312"/>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8</w:t>
          </w:r>
          <w:r>
            <w:rPr>
              <w:rFonts w:hint="eastAsia" w:ascii="仿宋_GB2312" w:hAnsi="仿宋_GB2312" w:eastAsia="仿宋_GB2312" w:cs="仿宋_GB2312"/>
              <w:color w:val="auto"/>
              <w:kern w:val="2"/>
              <w:sz w:val="32"/>
              <w:szCs w:val="32"/>
              <w:lang w:val="en-US" w:eastAsia="zh-CN" w:bidi="ar-SA"/>
            </w:rPr>
            <w:fldChar w:fldCharType="end"/>
          </w:r>
          <w:r>
            <w:rPr>
              <w:rFonts w:hint="eastAsia" w:ascii="仿宋_GB2312" w:hAnsi="仿宋_GB2312" w:eastAsia="仿宋_GB2312" w:cs="仿宋_GB2312"/>
              <w:color w:val="auto"/>
              <w:kern w:val="2"/>
              <w:sz w:val="32"/>
              <w:szCs w:val="32"/>
              <w:lang w:val="en-US" w:eastAsia="zh-CN" w:bidi="ar-SA"/>
            </w:rPr>
            <w:fldChar w:fldCharType="end"/>
          </w:r>
        </w:p>
        <w:p w14:paraId="04EC28B6">
          <w:pPr>
            <w:pStyle w:val="7"/>
            <w:tabs>
              <w:tab w:val="right" w:leader="dot" w:pos="8845"/>
            </w:tabs>
            <w:rPr>
              <w:rFonts w:hint="eastAsia" w:ascii="仿宋_GB2312" w:hAnsi="仿宋_GB2312" w:eastAsia="仿宋_GB2312" w:cs="仿宋_GB2312"/>
              <w:color w:val="auto"/>
              <w:kern w:val="2"/>
              <w:sz w:val="32"/>
              <w:szCs w:val="32"/>
              <w:lang w:val="en-US" w:eastAsia="zh-CN" w:bidi="ar-SA"/>
            </w:rPr>
          </w:pPr>
          <w:r>
            <w:fldChar w:fldCharType="begin"/>
          </w:r>
          <w:r>
            <w:instrText xml:space="preserve"> HYPERLINK \l "_Toc8932" </w:instrText>
          </w:r>
          <w:r>
            <w:fldChar w:fldCharType="separate"/>
          </w:r>
          <w:r>
            <w:rPr>
              <w:rFonts w:hint="eastAsia" w:ascii="仿宋_GB2312" w:hAnsi="仿宋_GB2312" w:eastAsia="仿宋_GB2312" w:cs="仿宋_GB2312"/>
              <w:color w:val="auto"/>
              <w:kern w:val="2"/>
              <w:sz w:val="32"/>
              <w:szCs w:val="32"/>
              <w:lang w:val="en-US" w:eastAsia="zh-CN" w:bidi="ar-SA"/>
            </w:rPr>
            <w:t>十一、名词解释</w:t>
          </w:r>
          <w:r>
            <w:rPr>
              <w:rFonts w:hint="eastAsia" w:ascii="仿宋_GB2312" w:hAnsi="仿宋_GB2312" w:eastAsia="仿宋_GB2312" w:cs="仿宋_GB2312"/>
              <w:color w:val="auto"/>
              <w:kern w:val="2"/>
              <w:sz w:val="32"/>
              <w:szCs w:val="32"/>
              <w:lang w:val="en-US" w:eastAsia="zh-CN" w:bidi="ar-SA"/>
            </w:rPr>
            <w:tab/>
          </w: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 PAGEREF _Toc8932 \h </w:instrText>
          </w:r>
          <w:r>
            <w:rPr>
              <w:rFonts w:hint="eastAsia" w:ascii="仿宋_GB2312" w:hAnsi="仿宋_GB2312" w:eastAsia="仿宋_GB2312" w:cs="仿宋_GB2312"/>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9</w:t>
          </w:r>
          <w:r>
            <w:rPr>
              <w:rFonts w:hint="eastAsia" w:ascii="仿宋_GB2312" w:hAnsi="仿宋_GB2312" w:eastAsia="仿宋_GB2312" w:cs="仿宋_GB2312"/>
              <w:color w:val="auto"/>
              <w:kern w:val="2"/>
              <w:sz w:val="32"/>
              <w:szCs w:val="32"/>
              <w:lang w:val="en-US" w:eastAsia="zh-CN" w:bidi="ar-SA"/>
            </w:rPr>
            <w:fldChar w:fldCharType="end"/>
          </w:r>
          <w:r>
            <w:rPr>
              <w:rFonts w:hint="eastAsia" w:ascii="仿宋_GB2312" w:hAnsi="仿宋_GB2312" w:eastAsia="仿宋_GB2312" w:cs="仿宋_GB2312"/>
              <w:color w:val="auto"/>
              <w:kern w:val="2"/>
              <w:sz w:val="32"/>
              <w:szCs w:val="32"/>
              <w:lang w:val="en-US" w:eastAsia="zh-CN" w:bidi="ar-SA"/>
            </w:rPr>
            <w:fldChar w:fldCharType="end"/>
          </w:r>
        </w:p>
        <w:p w14:paraId="7F13156F">
          <w:pPr>
            <w:jc w:val="both"/>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fldChar w:fldCharType="end"/>
          </w:r>
        </w:p>
      </w:sdtContent>
    </w:sdt>
    <w:p w14:paraId="1C135EE9">
      <w:pPr>
        <w:jc w:val="both"/>
        <w:rPr>
          <w:rFonts w:hint="eastAsia" w:ascii="仿宋_GB2312" w:hAnsi="仿宋_GB2312" w:eastAsia="仿宋_GB2312" w:cs="仿宋_GB2312"/>
          <w:b/>
          <w:i w:val="0"/>
          <w:caps w:val="0"/>
          <w:color w:val="000000" w:themeColor="text1"/>
          <w:spacing w:val="0"/>
          <w:kern w:val="2"/>
          <w:sz w:val="21"/>
          <w:szCs w:val="32"/>
          <w:highlight w:val="none"/>
          <w:lang w:val="en-US" w:eastAsia="zh-CN" w:bidi="ar-SA"/>
          <w14:textFill>
            <w14:solidFill>
              <w14:schemeClr w14:val="tx1"/>
            </w14:solidFill>
          </w14:textFill>
        </w:rPr>
      </w:pPr>
    </w:p>
    <w:p w14:paraId="08DE409F">
      <w:pPr>
        <w:pStyle w:val="10"/>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0"/>
        <w:jc w:val="both"/>
        <w:rPr>
          <w:rFonts w:hint="default" w:ascii="宋体" w:hAnsi="宋体" w:eastAsia="宋体" w:cs="宋体"/>
          <w:b/>
          <w:i w:val="0"/>
          <w:caps w:val="0"/>
          <w:color w:val="000000" w:themeColor="text1"/>
          <w:spacing w:val="0"/>
          <w:sz w:val="28"/>
          <w:szCs w:val="28"/>
          <w:highlight w:val="none"/>
          <w:shd w:val="clear" w:color="auto" w:fill="FFFFFF"/>
          <w:lang w:val="en-US" w:eastAsia="zh-CN"/>
          <w14:textFill>
            <w14:solidFill>
              <w14:schemeClr w14:val="tx1"/>
            </w14:solidFill>
          </w14:textFill>
        </w:rPr>
      </w:pPr>
      <w:r>
        <w:rPr>
          <w:rFonts w:hint="eastAsia" w:ascii="宋体" w:hAnsi="宋体" w:cs="宋体"/>
          <w:b/>
          <w:i w:val="0"/>
          <w:caps w:val="0"/>
          <w:color w:val="000000" w:themeColor="text1"/>
          <w:spacing w:val="0"/>
          <w:sz w:val="28"/>
          <w:szCs w:val="28"/>
          <w:highlight w:val="none"/>
          <w:shd w:val="clear" w:color="auto" w:fill="FFFFFF"/>
          <w:lang w:val="en-US" w:eastAsia="zh-CN"/>
          <w14:textFill>
            <w14:solidFill>
              <w14:schemeClr w14:val="tx1"/>
            </w14:solidFill>
          </w14:textFill>
        </w:rPr>
        <w:t xml:space="preserve">     </w:t>
      </w:r>
    </w:p>
    <w:p w14:paraId="5AE25984">
      <w:pPr>
        <w:pStyle w:val="10"/>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4B2443F3">
      <w:pPr>
        <w:pStyle w:val="10"/>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731F3D9C">
      <w:pPr>
        <w:pStyle w:val="10"/>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3266CB36">
      <w:pPr>
        <w:pStyle w:val="10"/>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73130ABA">
      <w:pPr>
        <w:pStyle w:val="10"/>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31AF23EE">
      <w:pPr>
        <w:pStyle w:val="10"/>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585BFF0A">
      <w:pPr>
        <w:pStyle w:val="10"/>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402D9EFF">
      <w:pPr>
        <w:pStyle w:val="10"/>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19F6EB0C">
      <w:pPr>
        <w:pStyle w:val="10"/>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03EFD4DD">
      <w:pPr>
        <w:pStyle w:val="10"/>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3C477AA5">
      <w:pPr>
        <w:pStyle w:val="10"/>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1113F90C">
      <w:pPr>
        <w:pStyle w:val="10"/>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3F272F0B">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0" w:name="_Toc25391"/>
      <w:r>
        <w:rPr>
          <w:rFonts w:hint="eastAsia" w:ascii="黑体" w:hAnsi="黑体" w:eastAsia="黑体" w:cs="黑体"/>
          <w:sz w:val="32"/>
          <w:szCs w:val="32"/>
          <w:lang w:val="en-US" w:eastAsia="zh-CN"/>
        </w:rPr>
        <w:t>一、基本职能及主要工作</w:t>
      </w:r>
      <w:bookmarkEnd w:id="0"/>
    </w:p>
    <w:p w14:paraId="3492B837">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rPr>
      </w:pPr>
      <w:bookmarkStart w:id="1" w:name="_Toc25924"/>
      <w:r>
        <w:rPr>
          <w:rFonts w:hint="eastAsia" w:ascii="楷体_GB2312" w:hAnsi="楷体_GB2312" w:eastAsia="楷体_GB2312" w:cs="楷体_GB2312"/>
          <w:sz w:val="32"/>
          <w:szCs w:val="32"/>
        </w:rPr>
        <w:t>（一）</w:t>
      </w:r>
      <w:r>
        <w:rPr>
          <w:rFonts w:hint="eastAsia" w:ascii="楷体_GB2312" w:hAnsi="楷体_GB2312" w:eastAsia="楷体_GB2312" w:cs="楷体_GB2312"/>
          <w:sz w:val="32"/>
          <w:szCs w:val="32"/>
          <w:lang w:val="en-US" w:eastAsia="zh-CN"/>
        </w:rPr>
        <w:t>单位</w:t>
      </w:r>
      <w:r>
        <w:rPr>
          <w:rFonts w:hint="eastAsia" w:ascii="楷体_GB2312" w:hAnsi="楷体_GB2312" w:eastAsia="楷体_GB2312" w:cs="楷体_GB2312"/>
          <w:sz w:val="32"/>
          <w:szCs w:val="32"/>
        </w:rPr>
        <w:t>职能简介</w:t>
      </w:r>
      <w:bookmarkEnd w:id="1"/>
    </w:p>
    <w:p w14:paraId="1110A028">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1.贯彻党的教育方针，坚持社会主义办学方向，实行教育与生产劳动相结合，对学生进行德育、智育、体育、美育和劳动等方面的教育。</w:t>
      </w:r>
    </w:p>
    <w:p w14:paraId="49E1A7B4">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2.负责配合政府依法动员、组织适龄儿童、少年入学，严格控制学生辍学，依法保证适龄儿童、少年接受九年义务教育。</w:t>
      </w:r>
    </w:p>
    <w:p w14:paraId="5E8DA8DD">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3.负责依法制定学校章程，并按照章程自主管理。</w:t>
      </w:r>
    </w:p>
    <w:p w14:paraId="154CAB99">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4.负责制定学校教育发展规划，并抓好组织和实施工作。</w:t>
      </w:r>
    </w:p>
    <w:p w14:paraId="0B185D3A">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5.负责按照教育主管部门发布的指导性教学计划、教学大纲，组织实施教育教学活动。</w:t>
      </w:r>
    </w:p>
    <w:p w14:paraId="33690E04">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6.负责学籍管理并对学生实施奖励或处分。</w:t>
      </w:r>
    </w:p>
    <w:p w14:paraId="1EA599F4">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7.负责依法制定本校教师及其他职工聘任制度，并对教师及其他员工实施包括奖励、处分在内的具体管理活动。</w:t>
      </w:r>
    </w:p>
    <w:p w14:paraId="0ACDE350">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8.负责科学管理、合理使用学校的设施和经费，并积极筹措资金，改善办学条件。</w:t>
      </w:r>
    </w:p>
    <w:p w14:paraId="3659EF31">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9.负责维护学校、师生的合法权益，有权拒绝任何组织和个人对教育教学活动的非法干扰。</w:t>
      </w:r>
    </w:p>
    <w:p w14:paraId="3485F971">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10.依法接受各级教育行政部门的检查指导和人民群众的监督。</w:t>
      </w:r>
    </w:p>
    <w:p w14:paraId="43C7C8E7">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11.承办上级交办的其他事项。</w:t>
      </w:r>
    </w:p>
    <w:p w14:paraId="34BD7577">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p>
    <w:p w14:paraId="63A6AD6E">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rPr>
      </w:pPr>
      <w:bookmarkStart w:id="2" w:name="_Toc7308"/>
      <w:r>
        <w:rPr>
          <w:rFonts w:hint="eastAsia" w:ascii="楷体_GB2312" w:hAnsi="楷体_GB2312" w:eastAsia="楷体_GB2312" w:cs="楷体_GB2312"/>
          <w:sz w:val="32"/>
          <w:szCs w:val="32"/>
        </w:rPr>
        <w:t>（二）</w:t>
      </w:r>
      <w:r>
        <w:rPr>
          <w:rFonts w:hint="eastAsia" w:ascii="楷体_GB2312" w:hAnsi="楷体_GB2312" w:eastAsia="楷体_GB2312" w:cs="楷体_GB2312"/>
          <w:sz w:val="32"/>
          <w:szCs w:val="32"/>
          <w:lang w:val="en-US"/>
        </w:rPr>
        <w:t>202</w:t>
      </w:r>
      <w:r>
        <w:rPr>
          <w:rFonts w:hint="eastAsia" w:ascii="楷体_GB2312" w:hAnsi="楷体_GB2312" w:eastAsia="楷体_GB2312" w:cs="楷体_GB2312"/>
          <w:sz w:val="32"/>
          <w:szCs w:val="32"/>
          <w:lang w:val="en-US" w:eastAsia="zh-CN"/>
        </w:rPr>
        <w:t>5</w:t>
      </w:r>
      <w:r>
        <w:rPr>
          <w:rFonts w:hint="eastAsia" w:ascii="楷体_GB2312" w:hAnsi="楷体_GB2312" w:eastAsia="楷体_GB2312" w:cs="楷体_GB2312"/>
          <w:sz w:val="32"/>
          <w:szCs w:val="32"/>
        </w:rPr>
        <w:t>年重点工作</w:t>
      </w:r>
      <w:bookmarkEnd w:id="2"/>
    </w:p>
    <w:p w14:paraId="2388CC37">
      <w:pPr>
        <w:pStyle w:val="10"/>
        <w:widowControl/>
        <w:shd w:val="clear" w:color="auto" w:fill="FFFFFF"/>
        <w:ind w:firstLine="640" w:firstLineChars="200"/>
        <w:rPr>
          <w:rFonts w:hint="eastAsia" w:ascii="仿宋" w:hAnsi="仿宋" w:eastAsia="仿宋" w:cs="仿宋"/>
          <w:color w:val="333333"/>
          <w:sz w:val="32"/>
          <w:szCs w:val="32"/>
        </w:rPr>
      </w:pPr>
      <w:r>
        <w:rPr>
          <w:rFonts w:hint="eastAsia" w:ascii="仿宋" w:hAnsi="仿宋" w:eastAsia="仿宋" w:cs="仿宋"/>
          <w:color w:val="333333"/>
          <w:sz w:val="32"/>
          <w:szCs w:val="32"/>
          <w:shd w:val="clear" w:color="auto" w:fill="FFFFFF"/>
        </w:rPr>
        <w:t>1</w:t>
      </w:r>
      <w:r>
        <w:rPr>
          <w:rFonts w:hint="eastAsia" w:ascii="仿宋" w:hAnsi="仿宋" w:eastAsia="仿宋" w:cs="仿宋"/>
          <w:color w:val="333333"/>
          <w:sz w:val="32"/>
          <w:szCs w:val="32"/>
          <w:shd w:val="clear" w:color="auto" w:fill="FFFFFF"/>
          <w:lang w:val="en-US" w:eastAsia="zh-CN"/>
        </w:rPr>
        <w:t>.</w:t>
      </w:r>
      <w:r>
        <w:rPr>
          <w:rFonts w:hint="eastAsia" w:ascii="仿宋" w:hAnsi="仿宋" w:eastAsia="仿宋" w:cs="仿宋"/>
          <w:color w:val="333333"/>
          <w:sz w:val="32"/>
          <w:szCs w:val="32"/>
          <w:shd w:val="clear" w:color="auto" w:fill="FFFFFF"/>
        </w:rPr>
        <w:t>学校管理人性化、精细化、科学化</w:t>
      </w:r>
    </w:p>
    <w:p w14:paraId="5614AA5F">
      <w:pPr>
        <w:pStyle w:val="10"/>
        <w:widowControl/>
        <w:shd w:val="clear" w:color="auto" w:fill="FFFFFF"/>
        <w:rPr>
          <w:rFonts w:hint="eastAsia" w:ascii="仿宋" w:hAnsi="仿宋" w:eastAsia="仿宋" w:cs="仿宋"/>
          <w:color w:val="333333"/>
          <w:sz w:val="32"/>
          <w:szCs w:val="32"/>
        </w:rPr>
      </w:pPr>
      <w:r>
        <w:rPr>
          <w:rFonts w:hint="eastAsia" w:ascii="仿宋" w:hAnsi="仿宋" w:eastAsia="仿宋" w:cs="仿宋"/>
          <w:color w:val="333333"/>
          <w:sz w:val="32"/>
          <w:szCs w:val="32"/>
          <w:shd w:val="clear" w:color="auto" w:fill="FFFFFF"/>
        </w:rPr>
        <w:t>　　学习借鉴现代先进的管理理论，秉持以人为本的管理理念，为师生生命成长创造安全、和谐的学校环境，彰显师生的生命活力和价值。</w:t>
      </w:r>
    </w:p>
    <w:p w14:paraId="65FF30D0">
      <w:pPr>
        <w:pStyle w:val="10"/>
        <w:widowControl/>
        <w:shd w:val="clear" w:color="auto" w:fill="FFFFFF"/>
        <w:rPr>
          <w:rFonts w:hint="eastAsia" w:ascii="仿宋" w:hAnsi="仿宋" w:eastAsia="仿宋" w:cs="仿宋"/>
          <w:color w:val="333333"/>
          <w:sz w:val="32"/>
          <w:szCs w:val="32"/>
        </w:rPr>
      </w:pPr>
      <w:r>
        <w:rPr>
          <w:rFonts w:hint="eastAsia" w:ascii="仿宋" w:hAnsi="仿宋" w:eastAsia="仿宋" w:cs="仿宋"/>
          <w:color w:val="333333"/>
          <w:sz w:val="32"/>
          <w:szCs w:val="32"/>
          <w:shd w:val="clear" w:color="auto" w:fill="FFFFFF"/>
        </w:rPr>
        <w:t>　　继续深入开展学校文化的大学习、大讨论活动，进一步丰富学校文化内涵，提升学校文化</w:t>
      </w:r>
      <w:r>
        <w:rPr>
          <w:rFonts w:hint="eastAsia" w:ascii="仿宋" w:hAnsi="仿宋" w:eastAsia="仿宋" w:cs="仿宋"/>
          <w:color w:val="333333"/>
          <w:sz w:val="32"/>
          <w:szCs w:val="32"/>
          <w:shd w:val="clear" w:color="auto" w:fill="FFFFFF"/>
          <w:lang w:eastAsia="zh-CN"/>
        </w:rPr>
        <w:t>品位</w:t>
      </w:r>
      <w:r>
        <w:rPr>
          <w:rFonts w:hint="eastAsia" w:ascii="仿宋" w:hAnsi="仿宋" w:eastAsia="仿宋" w:cs="仿宋"/>
          <w:color w:val="333333"/>
          <w:sz w:val="32"/>
          <w:szCs w:val="32"/>
          <w:shd w:val="clear" w:color="auto" w:fill="FFFFFF"/>
        </w:rPr>
        <w:t>。</w:t>
      </w:r>
    </w:p>
    <w:p w14:paraId="7B5DF12B">
      <w:pPr>
        <w:pStyle w:val="10"/>
        <w:widowControl/>
        <w:shd w:val="clear" w:color="auto" w:fill="FFFFFF"/>
        <w:rPr>
          <w:rFonts w:hint="eastAsia" w:ascii="仿宋" w:hAnsi="仿宋" w:eastAsia="仿宋" w:cs="仿宋"/>
          <w:color w:val="333333"/>
          <w:sz w:val="32"/>
          <w:szCs w:val="32"/>
          <w:lang w:eastAsia="zh-CN"/>
        </w:rPr>
      </w:pPr>
      <w:r>
        <w:rPr>
          <w:rFonts w:hint="eastAsia" w:ascii="仿宋" w:hAnsi="仿宋" w:eastAsia="仿宋" w:cs="仿宋"/>
          <w:color w:val="333333"/>
          <w:sz w:val="32"/>
          <w:szCs w:val="32"/>
          <w:shd w:val="clear" w:color="auto" w:fill="FFFFFF"/>
        </w:rPr>
        <w:t>　　2</w:t>
      </w:r>
      <w:r>
        <w:t>.</w:t>
      </w:r>
      <w:r>
        <w:rPr>
          <w:rFonts w:hint="eastAsia" w:ascii="仿宋" w:hAnsi="仿宋" w:eastAsia="仿宋" w:cs="仿宋"/>
          <w:color w:val="333333"/>
          <w:sz w:val="32"/>
          <w:szCs w:val="32"/>
          <w:shd w:val="clear" w:color="auto" w:fill="FFFFFF"/>
        </w:rPr>
        <w:t>队伍建设思路清、目标明、</w:t>
      </w:r>
      <w:r>
        <w:rPr>
          <w:rFonts w:hint="eastAsia" w:ascii="仿宋" w:hAnsi="仿宋" w:eastAsia="仿宋" w:cs="仿宋"/>
          <w:color w:val="333333"/>
          <w:sz w:val="32"/>
          <w:szCs w:val="32"/>
          <w:shd w:val="clear" w:color="auto" w:fill="FFFFFF"/>
          <w:lang w:eastAsia="zh-CN"/>
        </w:rPr>
        <w:t>效果好。</w:t>
      </w:r>
    </w:p>
    <w:p w14:paraId="02FFA0C2">
      <w:pPr>
        <w:pStyle w:val="10"/>
        <w:widowControl/>
        <w:shd w:val="clear" w:color="auto" w:fill="FFFFFF"/>
        <w:rPr>
          <w:rFonts w:hint="eastAsia" w:ascii="仿宋" w:hAnsi="仿宋" w:eastAsia="仿宋" w:cs="仿宋"/>
          <w:color w:val="333333"/>
          <w:sz w:val="32"/>
          <w:szCs w:val="32"/>
        </w:rPr>
      </w:pPr>
      <w:r>
        <w:rPr>
          <w:rFonts w:hint="eastAsia" w:ascii="仿宋" w:hAnsi="仿宋" w:eastAsia="仿宋" w:cs="仿宋"/>
          <w:color w:val="333333"/>
          <w:sz w:val="32"/>
          <w:szCs w:val="32"/>
          <w:shd w:val="clear" w:color="auto" w:fill="FFFFFF"/>
        </w:rPr>
        <w:t>　　依据生命教育的理念，站在生命的高度，重新思考队伍建设的思路与策略，激活教师自身生命意识的觉醒，引领教师在教育教学实践中用生命去温暖生命，用生命去激活生命，用生命滋润生命。扎实并创造性地执行名师工程方案。为教师的生命成长搭台、铺路，在活动中提升教师的德性与技能，在活动中彰显教师的生命魅力与价值，坚定教师的职业理想，增强教师职业幸福指数，成就教师幸福、有价值的人生。</w:t>
      </w:r>
    </w:p>
    <w:p w14:paraId="7BFE11CE">
      <w:pPr>
        <w:pStyle w:val="10"/>
        <w:widowControl/>
        <w:shd w:val="clear" w:color="auto" w:fill="FFFFFF"/>
        <w:rPr>
          <w:rFonts w:hint="eastAsia" w:ascii="仿宋" w:hAnsi="仿宋" w:eastAsia="仿宋" w:cs="仿宋"/>
          <w:color w:val="333333"/>
          <w:sz w:val="32"/>
          <w:szCs w:val="32"/>
        </w:rPr>
      </w:pPr>
      <w:r>
        <w:rPr>
          <w:rFonts w:hint="eastAsia" w:ascii="仿宋" w:hAnsi="仿宋" w:eastAsia="仿宋" w:cs="仿宋"/>
          <w:color w:val="333333"/>
          <w:sz w:val="32"/>
          <w:szCs w:val="32"/>
          <w:shd w:val="clear" w:color="auto" w:fill="FFFFFF"/>
        </w:rPr>
        <w:t>　3</w:t>
      </w:r>
      <w:r>
        <w:t>.</w:t>
      </w:r>
      <w:r>
        <w:rPr>
          <w:rFonts w:hint="eastAsia" w:ascii="仿宋" w:hAnsi="仿宋" w:eastAsia="仿宋" w:cs="仿宋"/>
          <w:color w:val="333333"/>
          <w:sz w:val="32"/>
          <w:szCs w:val="32"/>
          <w:shd w:val="clear" w:color="auto" w:fill="FFFFFF"/>
        </w:rPr>
        <w:t>德育工作回归学生生活本真，突出生命感悟与体验。</w:t>
      </w:r>
    </w:p>
    <w:p w14:paraId="3373A12E">
      <w:pPr>
        <w:pStyle w:val="10"/>
        <w:widowControl/>
        <w:shd w:val="clear" w:color="auto" w:fill="FFFFFF"/>
        <w:rPr>
          <w:rFonts w:hint="eastAsia" w:ascii="仿宋" w:hAnsi="仿宋" w:eastAsia="仿宋" w:cs="仿宋"/>
          <w:color w:val="333333"/>
          <w:sz w:val="32"/>
          <w:szCs w:val="32"/>
        </w:rPr>
      </w:pPr>
      <w:r>
        <w:rPr>
          <w:rFonts w:hint="eastAsia" w:ascii="仿宋" w:hAnsi="仿宋" w:eastAsia="仿宋" w:cs="仿宋"/>
          <w:color w:val="333333"/>
          <w:sz w:val="32"/>
          <w:szCs w:val="32"/>
          <w:shd w:val="clear" w:color="auto" w:fill="FFFFFF"/>
        </w:rPr>
        <w:t>　　认真学习生命教育的相关理论，从生命教育的角度不断丰富</w:t>
      </w:r>
      <w:r>
        <w:rPr>
          <w:rFonts w:hint="eastAsia" w:eastAsia="仿宋"/>
          <w:lang w:eastAsia="zh-CN"/>
        </w:rPr>
        <w:t>、</w:t>
      </w:r>
      <w:r>
        <w:rPr>
          <w:rFonts w:hint="eastAsia" w:ascii="仿宋" w:hAnsi="仿宋" w:eastAsia="仿宋" w:cs="仿宋"/>
          <w:color w:val="333333"/>
          <w:sz w:val="32"/>
          <w:szCs w:val="32"/>
          <w:shd w:val="clear" w:color="auto" w:fill="FFFFFF"/>
        </w:rPr>
        <w:t>创新德育工作的内容与途径，牢固树立“全员育人、全程育人”的思想，提高德育工作的实效性，培养学生良好的行为习惯，提高学生珍爱生命</w:t>
      </w:r>
      <w:r>
        <w:rPr>
          <w:rFonts w:hint="eastAsia" w:eastAsia="仿宋"/>
          <w:lang w:eastAsia="zh-CN"/>
        </w:rPr>
        <w:t>、</w:t>
      </w:r>
      <w:r>
        <w:rPr>
          <w:rFonts w:hint="eastAsia" w:ascii="仿宋" w:hAnsi="仿宋" w:eastAsia="仿宋" w:cs="仿宋"/>
          <w:color w:val="333333"/>
          <w:sz w:val="32"/>
          <w:szCs w:val="32"/>
          <w:shd w:val="clear" w:color="auto" w:fill="FFFFFF"/>
        </w:rPr>
        <w:t>尊重生命</w:t>
      </w:r>
      <w:r>
        <w:rPr>
          <w:rFonts w:hint="eastAsia" w:ascii="仿宋" w:hAnsi="仿宋" w:eastAsia="仿宋" w:cs="仿宋"/>
          <w:color w:val="333333"/>
          <w:sz w:val="32"/>
          <w:szCs w:val="32"/>
          <w:shd w:val="clear" w:color="auto" w:fill="FFFFFF"/>
          <w:lang w:eastAsia="zh-CN"/>
        </w:rPr>
        <w:t>、</w:t>
      </w:r>
      <w:r>
        <w:rPr>
          <w:rFonts w:hint="eastAsia" w:ascii="仿宋" w:hAnsi="仿宋" w:eastAsia="仿宋" w:cs="仿宋"/>
          <w:color w:val="333333"/>
          <w:sz w:val="32"/>
          <w:szCs w:val="32"/>
          <w:shd w:val="clear" w:color="auto" w:fill="FFFFFF"/>
        </w:rPr>
        <w:t>保护生命的意识和能力，提高学生的生命质量，为学生幸福人生奠基。</w:t>
      </w:r>
    </w:p>
    <w:p w14:paraId="2551C35D">
      <w:pPr>
        <w:ind w:firstLine="640" w:firstLineChars="200"/>
        <w:rPr>
          <w:rFonts w:ascii="仿宋" w:hAnsi="仿宋" w:eastAsia="仿宋"/>
          <w:bCs/>
          <w:color w:val="auto"/>
          <w:sz w:val="32"/>
          <w:szCs w:val="32"/>
        </w:rPr>
      </w:pPr>
      <w:r>
        <w:rPr>
          <w:rFonts w:hint="eastAsia" w:ascii="仿宋" w:hAnsi="仿宋" w:eastAsia="仿宋"/>
          <w:bCs/>
          <w:color w:val="auto"/>
          <w:sz w:val="32"/>
          <w:szCs w:val="32"/>
          <w:lang w:val="en-US" w:eastAsia="zh-CN"/>
        </w:rPr>
        <w:t>4</w:t>
      </w:r>
      <w:r>
        <w:t>.</w:t>
      </w:r>
      <w:r>
        <w:rPr>
          <w:rFonts w:hint="eastAsia" w:ascii="仿宋" w:hAnsi="仿宋" w:eastAsia="仿宋"/>
          <w:bCs/>
          <w:color w:val="auto"/>
          <w:sz w:val="32"/>
          <w:szCs w:val="32"/>
        </w:rPr>
        <w:t>严格执行教学常规，提高教育教学质量</w:t>
      </w:r>
    </w:p>
    <w:p w14:paraId="09B47B2E">
      <w:pPr>
        <w:ind w:firstLine="640" w:firstLineChars="200"/>
        <w:rPr>
          <w:rFonts w:hint="eastAsia" w:ascii="仿宋" w:hAnsi="仿宋" w:eastAsia="仿宋"/>
          <w:bCs/>
          <w:color w:val="auto"/>
          <w:sz w:val="32"/>
          <w:szCs w:val="32"/>
          <w:lang w:eastAsia="zh-CN"/>
        </w:rPr>
      </w:pPr>
      <w:r>
        <w:rPr>
          <w:rFonts w:hint="eastAsia" w:ascii="仿宋" w:hAnsi="仿宋" w:eastAsia="仿宋"/>
          <w:bCs/>
          <w:color w:val="auto"/>
          <w:sz w:val="32"/>
          <w:szCs w:val="32"/>
        </w:rPr>
        <w:t>继续加强教学研讨，促进教师专业发展，强化教师队伍建设</w:t>
      </w:r>
      <w:r>
        <w:rPr>
          <w:rFonts w:hint="eastAsia" w:ascii="仿宋" w:hAnsi="仿宋" w:eastAsia="仿宋"/>
          <w:bCs/>
          <w:color w:val="auto"/>
          <w:sz w:val="32"/>
          <w:szCs w:val="32"/>
          <w:lang w:eastAsia="zh-CN"/>
        </w:rPr>
        <w:t>。</w:t>
      </w:r>
    </w:p>
    <w:p w14:paraId="59C32EBC">
      <w:pPr>
        <w:ind w:firstLine="640" w:firstLineChars="200"/>
        <w:rPr>
          <w:rFonts w:hint="eastAsia" w:ascii="仿宋" w:hAnsi="仿宋" w:eastAsia="仿宋"/>
          <w:bCs/>
          <w:color w:val="auto"/>
          <w:sz w:val="32"/>
          <w:szCs w:val="32"/>
          <w:lang w:val="en-US" w:eastAsia="zh-CN"/>
        </w:rPr>
      </w:pPr>
      <w:r>
        <w:rPr>
          <w:rFonts w:hint="eastAsia" w:ascii="仿宋" w:hAnsi="仿宋" w:eastAsia="仿宋"/>
          <w:bCs/>
          <w:color w:val="auto"/>
          <w:sz w:val="32"/>
          <w:szCs w:val="32"/>
          <w:lang w:val="en-US" w:eastAsia="zh-CN"/>
        </w:rPr>
        <w:t>5</w:t>
      </w:r>
      <w:r>
        <w:t>.</w:t>
      </w:r>
      <w:r>
        <w:rPr>
          <w:rFonts w:hint="eastAsia" w:ascii="仿宋" w:hAnsi="仿宋" w:eastAsia="仿宋"/>
          <w:bCs/>
          <w:color w:val="auto"/>
          <w:sz w:val="32"/>
          <w:szCs w:val="32"/>
          <w:lang w:val="en-US" w:eastAsia="zh-CN"/>
        </w:rPr>
        <w:t>加强工会建设，保障教职工合法权益</w:t>
      </w:r>
    </w:p>
    <w:p w14:paraId="5120F732">
      <w:pPr>
        <w:ind w:firstLine="640" w:firstLineChars="200"/>
        <w:rPr>
          <w:rFonts w:ascii="仿宋" w:hAnsi="仿宋" w:eastAsia="仿宋"/>
          <w:bCs/>
          <w:color w:val="auto"/>
          <w:sz w:val="32"/>
          <w:szCs w:val="32"/>
        </w:rPr>
      </w:pPr>
      <w:r>
        <w:rPr>
          <w:rFonts w:hint="eastAsia" w:ascii="仿宋" w:hAnsi="仿宋" w:eastAsia="仿宋"/>
          <w:bCs/>
          <w:color w:val="auto"/>
          <w:sz w:val="32"/>
          <w:szCs w:val="32"/>
          <w:lang w:val="en-US" w:eastAsia="zh-CN"/>
        </w:rPr>
        <w:t>认真学习贯彻新《中华人民共和国工会法》。在党支部的领导下，团结带领广大教师，积极主动地开展各项工作。加强思想作风和工作作风的建设，密切联系群众，为广大教师办实事，为学校党政分忧，充分发挥工会的桥梁和纽带作用。推进工会工作现代化建设，充分利用校园网络资源，尝试建立工会专页，开辟教师之家，推介优秀教师、名师，并鼓励教师建立个人网页。</w:t>
      </w:r>
    </w:p>
    <w:p w14:paraId="0B6787F5">
      <w:pPr>
        <w:ind w:firstLine="640" w:firstLineChars="200"/>
        <w:rPr>
          <w:rFonts w:ascii="仿宋" w:hAnsi="仿宋" w:eastAsia="仿宋"/>
          <w:bCs/>
          <w:color w:val="auto"/>
          <w:sz w:val="32"/>
          <w:szCs w:val="32"/>
        </w:rPr>
      </w:pPr>
      <w:r>
        <w:rPr>
          <w:rFonts w:hint="eastAsia" w:ascii="仿宋" w:hAnsi="仿宋" w:eastAsia="仿宋"/>
          <w:bCs/>
          <w:color w:val="auto"/>
          <w:sz w:val="32"/>
          <w:szCs w:val="32"/>
          <w:lang w:val="en-US" w:eastAsia="zh-CN"/>
        </w:rPr>
        <w:t>6</w:t>
      </w:r>
      <w:r>
        <w:rPr>
          <w:rFonts w:hint="eastAsia" w:eastAsia="仿宋"/>
          <w:lang w:eastAsia="zh-CN"/>
        </w:rPr>
        <w:t>.</w:t>
      </w:r>
      <w:r>
        <w:rPr>
          <w:rFonts w:hint="eastAsia" w:ascii="仿宋" w:hAnsi="仿宋" w:eastAsia="仿宋"/>
          <w:bCs/>
          <w:color w:val="auto"/>
          <w:sz w:val="32"/>
          <w:szCs w:val="32"/>
          <w:lang w:val="en-US" w:eastAsia="zh-CN"/>
        </w:rPr>
        <w:t>做好</w:t>
      </w:r>
      <w:r>
        <w:rPr>
          <w:rFonts w:hint="eastAsia" w:ascii="仿宋" w:hAnsi="仿宋" w:eastAsia="仿宋"/>
          <w:bCs/>
          <w:color w:val="auto"/>
          <w:sz w:val="32"/>
          <w:szCs w:val="32"/>
        </w:rPr>
        <w:t>后勤保障工作</w:t>
      </w:r>
    </w:p>
    <w:p w14:paraId="6FB10348">
      <w:pPr>
        <w:ind w:firstLine="640" w:firstLineChars="200"/>
        <w:rPr>
          <w:rFonts w:hint="eastAsia" w:ascii="仿宋" w:hAnsi="仿宋" w:eastAsia="仿宋"/>
          <w:bCs/>
          <w:color w:val="auto"/>
          <w:sz w:val="32"/>
          <w:szCs w:val="32"/>
          <w:lang w:eastAsia="zh-CN"/>
        </w:rPr>
      </w:pPr>
      <w:r>
        <w:rPr>
          <w:rFonts w:hint="eastAsia" w:ascii="仿宋" w:hAnsi="仿宋" w:eastAsia="仿宋"/>
          <w:bCs/>
          <w:color w:val="auto"/>
          <w:sz w:val="32"/>
          <w:szCs w:val="32"/>
        </w:rPr>
        <w:t>全体后勤人员必须树立师生利益至上的服务意识，从学校整体利益出发，把师生的合理需求作为开展工作的出发点和归宿，做好服务工作。规范管理，改进服务方式方法，明确责任，狠抓落实。勤俭节约，加强财、物管理维护校园环境，加大投入，优化育人环境</w:t>
      </w:r>
      <w:r>
        <w:rPr>
          <w:rFonts w:hint="eastAsia" w:ascii="仿宋" w:hAnsi="仿宋" w:eastAsia="仿宋"/>
          <w:bCs/>
          <w:color w:val="auto"/>
          <w:sz w:val="32"/>
          <w:szCs w:val="32"/>
          <w:lang w:eastAsia="zh-CN"/>
        </w:rPr>
        <w:t>，</w:t>
      </w:r>
      <w:r>
        <w:rPr>
          <w:rFonts w:hint="eastAsia" w:ascii="仿宋" w:hAnsi="仿宋" w:eastAsia="仿宋"/>
          <w:bCs/>
          <w:color w:val="auto"/>
          <w:sz w:val="32"/>
          <w:szCs w:val="32"/>
        </w:rPr>
        <w:t>重视校园安全防范工作，常抓不懈，有备无患</w:t>
      </w:r>
      <w:r>
        <w:rPr>
          <w:rFonts w:hint="eastAsia" w:ascii="仿宋" w:hAnsi="仿宋" w:eastAsia="仿宋"/>
          <w:bCs/>
          <w:color w:val="auto"/>
          <w:sz w:val="32"/>
          <w:szCs w:val="32"/>
          <w:lang w:eastAsia="zh-CN"/>
        </w:rPr>
        <w:t>。</w:t>
      </w:r>
    </w:p>
    <w:p w14:paraId="4E6EFDCD">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p>
    <w:p w14:paraId="35277D23">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34" w:name="_GoBack"/>
      <w:bookmarkEnd w:id="34"/>
    </w:p>
    <w:p w14:paraId="456B5A58">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p>
    <w:p w14:paraId="3ECEE98E">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3" w:name="_Toc16717"/>
      <w:r>
        <w:rPr>
          <w:rFonts w:hint="eastAsia" w:ascii="黑体" w:hAnsi="黑体" w:eastAsia="黑体" w:cs="黑体"/>
          <w:sz w:val="32"/>
          <w:szCs w:val="32"/>
          <w:lang w:val="en-US" w:eastAsia="zh-CN"/>
        </w:rPr>
        <w:t>二、部门预算单位构成</w:t>
      </w:r>
      <w:bookmarkEnd w:id="3"/>
    </w:p>
    <w:p w14:paraId="36A9FDC0">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我单位为广元市昭化区教育局的下属二级预算单位，属于公益一类事业单位，无下属机构。</w:t>
      </w:r>
    </w:p>
    <w:p w14:paraId="238D013A">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4" w:name="_Toc10667"/>
      <w:r>
        <w:rPr>
          <w:rFonts w:hint="eastAsia" w:ascii="黑体" w:hAnsi="黑体" w:eastAsia="黑体" w:cs="黑体"/>
          <w:sz w:val="32"/>
          <w:szCs w:val="32"/>
          <w:lang w:val="en-US" w:eastAsia="zh-CN"/>
        </w:rPr>
        <w:t>三、收支预算情况说明</w:t>
      </w:r>
      <w:bookmarkEnd w:id="4"/>
    </w:p>
    <w:p w14:paraId="5DD45380">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按照综合预算的原则，梅树小学所有收入和支出均纳入部门预算管理。收入包括：一般公共预算拨款收入；支出包括：教育支出。梅树小学2025年收支预算总数346.59万元，比2024年收支预算总数减少42.12万元，主要原因是基本支出预算减少。</w:t>
      </w:r>
    </w:p>
    <w:p w14:paraId="7CDBB1CE">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5" w:name="_Toc2402"/>
      <w:r>
        <w:rPr>
          <w:rFonts w:hint="eastAsia" w:ascii="楷体_GB2312" w:hAnsi="楷体_GB2312" w:eastAsia="楷体_GB2312" w:cs="楷体_GB2312"/>
          <w:sz w:val="32"/>
          <w:szCs w:val="32"/>
          <w:lang w:val="en-US" w:eastAsia="zh-CN"/>
        </w:rPr>
        <w:t>（一）收入预算情况</w:t>
      </w:r>
      <w:bookmarkEnd w:id="5"/>
    </w:p>
    <w:p w14:paraId="6346D9A4">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sz w:val="32"/>
          <w:szCs w:val="32"/>
          <w:lang w:val="en-US" w:eastAsia="zh-CN"/>
        </w:rPr>
        <w:t>梅树小学2025年收入预算346.59万元，其中：一般公共预算拨款收入346.59万元，占100%。</w:t>
      </w:r>
    </w:p>
    <w:p w14:paraId="6919C4AB">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6" w:name="_Toc2487"/>
      <w:r>
        <w:rPr>
          <w:rFonts w:hint="eastAsia" w:ascii="楷体_GB2312" w:hAnsi="楷体_GB2312" w:eastAsia="楷体_GB2312" w:cs="楷体_GB2312"/>
          <w:sz w:val="32"/>
          <w:szCs w:val="32"/>
          <w:lang w:val="en-US" w:eastAsia="zh-CN"/>
        </w:rPr>
        <w:t>（二）支出预算情况</w:t>
      </w:r>
      <w:bookmarkEnd w:id="6"/>
    </w:p>
    <w:p w14:paraId="4DAC6FF8">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sz w:val="32"/>
          <w:szCs w:val="32"/>
          <w:lang w:val="en-US" w:eastAsia="zh-CN"/>
        </w:rPr>
        <w:t>梅树小学2025年支出预算346.59万元，其中：基本支出321.19万元，占92.67%；项目支出25.4万元，占7.33%</w:t>
      </w:r>
      <w:r>
        <w:rPr>
          <w:rFonts w:hint="eastAsia" w:ascii="仿宋_GB2312" w:hAnsi="仿宋_GB2312" w:eastAsia="仿宋_GB2312" w:cs="仿宋_GB2312"/>
          <w:b w:val="0"/>
          <w:bCs w:val="0"/>
          <w:sz w:val="32"/>
          <w:szCs w:val="32"/>
          <w:lang w:val="en-US" w:eastAsia="zh-CN"/>
        </w:rPr>
        <w:t>。</w:t>
      </w:r>
    </w:p>
    <w:p w14:paraId="54E2B0F3">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7" w:name="_Toc11383"/>
      <w:r>
        <w:rPr>
          <w:rFonts w:hint="eastAsia" w:ascii="黑体" w:hAnsi="黑体" w:eastAsia="黑体" w:cs="黑体"/>
          <w:sz w:val="32"/>
          <w:szCs w:val="32"/>
          <w:lang w:val="en-US" w:eastAsia="zh-CN"/>
        </w:rPr>
        <w:t>四、财政拨款收支预算情况说明</w:t>
      </w:r>
      <w:bookmarkEnd w:id="7"/>
    </w:p>
    <w:p w14:paraId="6F12BB6A">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梅树小学2025年财政拨款收支预算总数346.59万元，比2024年收支预算总数减少42.12万元，主要原因是基本支出预算减少。</w:t>
      </w:r>
    </w:p>
    <w:p w14:paraId="504F6C29">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b/>
          <w:bCs/>
          <w:sz w:val="32"/>
          <w:szCs w:val="32"/>
          <w:lang w:val="en-US" w:eastAsia="zh-CN"/>
        </w:rPr>
      </w:pPr>
      <w:r>
        <w:rPr>
          <w:rFonts w:hint="eastAsia" w:ascii="仿宋_GB2312" w:hAnsi="仿宋_GB2312" w:eastAsia="仿宋_GB2312" w:cs="仿宋_GB2312"/>
          <w:sz w:val="32"/>
          <w:szCs w:val="32"/>
          <w:lang w:val="en-US" w:eastAsia="zh-CN"/>
        </w:rPr>
        <w:t>收入包括：本年一般公共预算拨款收入346.59万元；支出包括：教育支出346.59万元。</w:t>
      </w:r>
    </w:p>
    <w:p w14:paraId="7249B7CF">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8" w:name="_Toc4713"/>
      <w:r>
        <w:rPr>
          <w:rFonts w:hint="eastAsia" w:ascii="黑体" w:hAnsi="黑体" w:eastAsia="黑体" w:cs="黑体"/>
          <w:sz w:val="32"/>
          <w:szCs w:val="32"/>
          <w:lang w:val="en-US" w:eastAsia="zh-CN"/>
        </w:rPr>
        <w:t>五、一般公共预算当年拨款情况说明</w:t>
      </w:r>
      <w:bookmarkEnd w:id="8"/>
    </w:p>
    <w:p w14:paraId="24FB35CD">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9" w:name="_Toc2479"/>
      <w:r>
        <w:rPr>
          <w:rFonts w:hint="eastAsia" w:ascii="楷体_GB2312" w:hAnsi="楷体_GB2312" w:eastAsia="楷体_GB2312" w:cs="楷体_GB2312"/>
          <w:sz w:val="32"/>
          <w:szCs w:val="32"/>
          <w:lang w:val="en-US" w:eastAsia="zh-CN"/>
        </w:rPr>
        <w:t>（一）一般公共预算当年拨款规模变化情况</w:t>
      </w:r>
      <w:bookmarkEnd w:id="9"/>
    </w:p>
    <w:p w14:paraId="5CC6BD43">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sz w:val="32"/>
          <w:szCs w:val="32"/>
          <w:lang w:val="en-US" w:eastAsia="zh-CN"/>
        </w:rPr>
        <w:t>梅树小学2025年一般公共预算当年拨款346.59万元，比2024年收支预算总数减少42.12万元，主要原因是基本支出预算减少。</w:t>
      </w:r>
    </w:p>
    <w:p w14:paraId="14D48FCB">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0" w:name="_Toc11641"/>
      <w:r>
        <w:rPr>
          <w:rFonts w:hint="eastAsia" w:ascii="楷体_GB2312" w:hAnsi="楷体_GB2312" w:eastAsia="楷体_GB2312" w:cs="楷体_GB2312"/>
          <w:sz w:val="32"/>
          <w:szCs w:val="32"/>
          <w:lang w:val="en-US" w:eastAsia="zh-CN"/>
        </w:rPr>
        <w:t>（二）一般公共预算当年拨款结构情况</w:t>
      </w:r>
      <w:bookmarkEnd w:id="10"/>
    </w:p>
    <w:p w14:paraId="3BA2DA2C">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教育支出346.59万元，占100%。</w:t>
      </w:r>
    </w:p>
    <w:p w14:paraId="5552E6A5">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1" w:name="_Toc22140"/>
      <w:r>
        <w:rPr>
          <w:rFonts w:hint="eastAsia" w:ascii="楷体_GB2312" w:hAnsi="楷体_GB2312" w:eastAsia="楷体_GB2312" w:cs="楷体_GB2312"/>
          <w:sz w:val="32"/>
          <w:szCs w:val="32"/>
          <w:lang w:val="en-US" w:eastAsia="zh-CN"/>
        </w:rPr>
        <w:t>（三）一般公共预算当年拨款具体使用情况</w:t>
      </w:r>
      <w:bookmarkEnd w:id="11"/>
    </w:p>
    <w:p w14:paraId="0FB7F2C1">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sz w:val="32"/>
          <w:szCs w:val="32"/>
          <w:lang w:val="en-US" w:eastAsia="zh-CN"/>
        </w:rPr>
        <w:t>教育支出（类）普通教育（款）小学教育（项）2025年预算数为346.59万元，主要用于：小学教育机构的基本支出，包括基本工资、津贴补贴、基础绩效奖等人员经费以及机构运行所需的办公费、印刷费、维修（护）费、工会经费等运行补助经费。</w:t>
      </w:r>
    </w:p>
    <w:p w14:paraId="0D164581">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12" w:name="_Toc19136"/>
      <w:r>
        <w:rPr>
          <w:rFonts w:hint="eastAsia" w:ascii="黑体" w:hAnsi="黑体" w:eastAsia="黑体" w:cs="黑体"/>
          <w:sz w:val="32"/>
          <w:szCs w:val="32"/>
          <w:lang w:val="en-US" w:eastAsia="zh-CN"/>
        </w:rPr>
        <w:t>六、一般公共预算基本支出情况说明</w:t>
      </w:r>
      <w:bookmarkEnd w:id="12"/>
    </w:p>
    <w:p w14:paraId="3B63BF19">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梅树小学2025年一般公共预算基本支出321.19万元，其中：</w:t>
      </w:r>
    </w:p>
    <w:p w14:paraId="490117AA">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人员经费321.19万元，主要包括：基本工资、津贴补贴、奖金、绩效工资、社会保险缴费、住房公积金、生活补助、奖励金等支出。</w:t>
      </w:r>
    </w:p>
    <w:p w14:paraId="5541BA02">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公用经费0万元。</w:t>
      </w:r>
    </w:p>
    <w:p w14:paraId="4DB7AA30">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13" w:name="_Toc23225"/>
      <w:r>
        <w:rPr>
          <w:rFonts w:hint="eastAsia" w:ascii="黑体" w:hAnsi="黑体" w:eastAsia="黑体" w:cs="黑体"/>
          <w:sz w:val="32"/>
          <w:szCs w:val="32"/>
          <w:lang w:val="en-US" w:eastAsia="zh-CN"/>
        </w:rPr>
        <w:t>七、“三公”经费财政拨款预算安排情况说明</w:t>
      </w:r>
      <w:bookmarkEnd w:id="13"/>
    </w:p>
    <w:p w14:paraId="30FCD9FE">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梅树小学2025年“三公”经费财政拨款预算数0万元，其中：公务接待费0万元，公务用车购置及运行维护费0万元，因公出国（境）经费0万元。</w:t>
      </w:r>
    </w:p>
    <w:p w14:paraId="21A72AC6">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4" w:name="_Toc29813"/>
      <w:bookmarkStart w:id="15" w:name="_Toc2540"/>
      <w:r>
        <w:rPr>
          <w:rFonts w:hint="eastAsia" w:ascii="楷体_GB2312" w:hAnsi="楷体_GB2312" w:eastAsia="楷体_GB2312" w:cs="楷体_GB2312"/>
          <w:sz w:val="32"/>
          <w:szCs w:val="32"/>
          <w:lang w:val="en-US" w:eastAsia="zh-CN"/>
        </w:rPr>
        <w:t>（一）公务接待费</w:t>
      </w:r>
      <w:bookmarkEnd w:id="14"/>
      <w:bookmarkEnd w:id="15"/>
    </w:p>
    <w:p w14:paraId="699A3515">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公务接待费与2024年预算相比持平。</w:t>
      </w:r>
    </w:p>
    <w:p w14:paraId="4D3C524E">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lang w:val="en-US" w:eastAsia="zh-CN"/>
        </w:rPr>
        <w:t>2025年公务接待费计划用于执行接待考察调研、检查指导等公务活动开支的交通费、住宿费、用餐费等。</w:t>
      </w:r>
    </w:p>
    <w:p w14:paraId="70E26159">
      <w:pPr>
        <w:keepNext w:val="0"/>
        <w:keepLines w:val="0"/>
        <w:pageBreakBefore w:val="0"/>
        <w:widowControl w:val="0"/>
        <w:numPr>
          <w:ilvl w:val="0"/>
          <w:numId w:val="1"/>
        </w:numP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6" w:name="_Toc23166"/>
      <w:bookmarkStart w:id="17" w:name="_Toc32114"/>
      <w:r>
        <w:rPr>
          <w:rFonts w:hint="eastAsia" w:ascii="楷体_GB2312" w:hAnsi="楷体_GB2312" w:eastAsia="楷体_GB2312" w:cs="楷体_GB2312"/>
          <w:sz w:val="32"/>
          <w:szCs w:val="32"/>
          <w:lang w:val="en-US" w:eastAsia="zh-CN"/>
        </w:rPr>
        <w:t>公务用车购置及运行维护费</w:t>
      </w:r>
      <w:bookmarkEnd w:id="16"/>
      <w:bookmarkEnd w:id="17"/>
    </w:p>
    <w:p w14:paraId="6304809D">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lang w:val="en-US" w:eastAsia="zh-CN"/>
        </w:rPr>
        <w:t>公务用车购置及运行维护费与2024年预算相比持平。</w:t>
      </w:r>
    </w:p>
    <w:p w14:paraId="70E0D90D">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单位现有公务用车0辆。</w:t>
      </w:r>
    </w:p>
    <w:p w14:paraId="264108F2">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2025年未安排公务用车购置费。</w:t>
      </w:r>
    </w:p>
    <w:p w14:paraId="440AB1E9">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2025年安排公务用车运行维护费0万元。</w:t>
      </w:r>
    </w:p>
    <w:p w14:paraId="3B852AE1">
      <w:pPr>
        <w:keepNext w:val="0"/>
        <w:keepLines w:val="0"/>
        <w:pageBreakBefore w:val="0"/>
        <w:widowControl w:val="0"/>
        <w:kinsoku/>
        <w:wordWrap/>
        <w:overflowPunct/>
        <w:topLinePunct w:val="0"/>
        <w:autoSpaceDE/>
        <w:autoSpaceDN/>
        <w:bidi w:val="0"/>
        <w:adjustRightInd/>
        <w:snapToGrid/>
        <w:spacing w:line="576" w:lineRule="exact"/>
        <w:textAlignment w:val="auto"/>
        <w:outlineLvl w:val="1"/>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bookmarkStart w:id="18" w:name="_Toc31503"/>
      <w:bookmarkStart w:id="19" w:name="_Toc7708"/>
      <w:r>
        <w:rPr>
          <w:rFonts w:hint="eastAsia" w:ascii="仿宋_GB2312" w:hAnsi="仿宋_GB2312" w:eastAsia="仿宋_GB2312" w:cs="仿宋_GB2312"/>
          <w:sz w:val="32"/>
          <w:szCs w:val="32"/>
          <w:lang w:val="en-US" w:eastAsia="zh-CN"/>
        </w:rPr>
        <w:t>（</w:t>
      </w:r>
      <w:r>
        <w:rPr>
          <w:rFonts w:hint="eastAsia" w:ascii="楷体_GB2312" w:hAnsi="楷体_GB2312" w:eastAsia="楷体_GB2312" w:cs="楷体_GB2312"/>
          <w:sz w:val="32"/>
          <w:szCs w:val="32"/>
          <w:lang w:val="en-US" w:eastAsia="zh-CN"/>
        </w:rPr>
        <w:t>三）因公出国（境）经费</w:t>
      </w:r>
      <w:bookmarkEnd w:id="18"/>
      <w:bookmarkEnd w:id="19"/>
    </w:p>
    <w:p w14:paraId="3DE34415">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因公出国（境）经费与2024年预算相比持平。</w:t>
      </w:r>
    </w:p>
    <w:p w14:paraId="2285F874">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20" w:name="_Toc967"/>
      <w:r>
        <w:rPr>
          <w:rFonts w:hint="eastAsia" w:ascii="黑体" w:hAnsi="黑体" w:eastAsia="黑体" w:cs="黑体"/>
          <w:sz w:val="32"/>
          <w:szCs w:val="32"/>
          <w:lang w:val="en-US" w:eastAsia="zh-CN"/>
        </w:rPr>
        <w:t>八、政府性基金预算支出情况说明</w:t>
      </w:r>
      <w:bookmarkEnd w:id="20"/>
    </w:p>
    <w:p w14:paraId="3471B672">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梅树小学2025年无政府性基金预算拨款安排的支出。</w:t>
      </w:r>
    </w:p>
    <w:p w14:paraId="47BF78F1">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21" w:name="_Toc19490"/>
      <w:r>
        <w:rPr>
          <w:rFonts w:hint="eastAsia" w:ascii="黑体" w:hAnsi="黑体" w:eastAsia="黑体" w:cs="黑体"/>
          <w:sz w:val="32"/>
          <w:szCs w:val="32"/>
          <w:lang w:val="en-US" w:eastAsia="zh-CN"/>
        </w:rPr>
        <w:t>九、国有资本经营预算支出情况说明</w:t>
      </w:r>
      <w:bookmarkEnd w:id="21"/>
    </w:p>
    <w:p w14:paraId="46231B97">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梅树小学2025年无国有资本经营预算拨款安排的支出。</w:t>
      </w:r>
    </w:p>
    <w:p w14:paraId="0ACB046A">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22" w:name="_Toc9768"/>
      <w:r>
        <w:rPr>
          <w:rFonts w:hint="eastAsia" w:ascii="黑体" w:hAnsi="黑体" w:eastAsia="黑体" w:cs="黑体"/>
          <w:sz w:val="32"/>
          <w:szCs w:val="32"/>
          <w:lang w:val="en-US" w:eastAsia="zh-CN"/>
        </w:rPr>
        <w:t>十、其他重要事项的情况说明</w:t>
      </w:r>
      <w:bookmarkEnd w:id="22"/>
    </w:p>
    <w:p w14:paraId="5B3FE114">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23" w:name="_Toc24901"/>
      <w:bookmarkStart w:id="24" w:name="_Toc8482"/>
      <w:r>
        <w:rPr>
          <w:rFonts w:hint="eastAsia" w:ascii="楷体_GB2312" w:hAnsi="楷体_GB2312" w:eastAsia="楷体_GB2312" w:cs="楷体_GB2312"/>
          <w:sz w:val="32"/>
          <w:szCs w:val="32"/>
          <w:lang w:val="en-US" w:eastAsia="zh-CN"/>
        </w:rPr>
        <w:t>（一）机关运行经费</w:t>
      </w:r>
      <w:bookmarkEnd w:id="23"/>
      <w:bookmarkEnd w:id="24"/>
    </w:p>
    <w:p w14:paraId="16729B66">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2025年，本单位属公益一类事业单位，无机关运行经费。</w:t>
      </w:r>
    </w:p>
    <w:p w14:paraId="4E177664">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25" w:name="_Toc27922"/>
      <w:bookmarkStart w:id="26" w:name="_Toc28763"/>
      <w:r>
        <w:rPr>
          <w:rFonts w:hint="eastAsia" w:ascii="楷体_GB2312" w:hAnsi="楷体_GB2312" w:eastAsia="楷体_GB2312" w:cs="楷体_GB2312"/>
          <w:sz w:val="32"/>
          <w:szCs w:val="32"/>
          <w:lang w:val="en-US" w:eastAsia="zh-CN"/>
        </w:rPr>
        <w:t>（二）政府采购情况</w:t>
      </w:r>
      <w:bookmarkEnd w:id="25"/>
      <w:bookmarkEnd w:id="26"/>
    </w:p>
    <w:p w14:paraId="7D971F03">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2025年，梅树小学安排政府采购预算0万元。</w:t>
      </w:r>
    </w:p>
    <w:p w14:paraId="7404E441">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27" w:name="_Toc2092"/>
      <w:bookmarkStart w:id="28" w:name="_Toc19091"/>
      <w:r>
        <w:rPr>
          <w:rFonts w:hint="eastAsia" w:ascii="楷体_GB2312" w:hAnsi="楷体_GB2312" w:eastAsia="楷体_GB2312" w:cs="楷体_GB2312"/>
          <w:sz w:val="32"/>
          <w:szCs w:val="32"/>
          <w:lang w:val="en-US" w:eastAsia="zh-CN"/>
        </w:rPr>
        <w:t>（三）国有资产占有使用情况</w:t>
      </w:r>
      <w:bookmarkEnd w:id="27"/>
      <w:bookmarkEnd w:id="28"/>
    </w:p>
    <w:p w14:paraId="645D88C1">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截至2024年底，梅树小学共有车辆0辆。单位无价值200万元以上的大型设备。</w:t>
      </w:r>
    </w:p>
    <w:p w14:paraId="4F7AF43A">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2025年部门预算未安排购置车辆及单位价值200万元以上大型设备。</w:t>
      </w:r>
    </w:p>
    <w:p w14:paraId="5FED6876">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rPr>
      </w:pPr>
      <w:bookmarkStart w:id="29" w:name="_Toc22921"/>
      <w:bookmarkStart w:id="30" w:name="_Toc28402"/>
      <w:r>
        <w:rPr>
          <w:rFonts w:hint="eastAsia" w:ascii="楷体_GB2312" w:hAnsi="楷体_GB2312" w:eastAsia="楷体_GB2312" w:cs="楷体_GB2312"/>
          <w:sz w:val="32"/>
          <w:szCs w:val="32"/>
          <w:lang w:val="en-US" w:eastAsia="zh-CN"/>
        </w:rPr>
        <w:t>（四）绩效目标设置情况</w:t>
      </w:r>
      <w:bookmarkEnd w:id="29"/>
      <w:bookmarkEnd w:id="30"/>
    </w:p>
    <w:p w14:paraId="19A4132D">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2025年梅树小学开展绩效目标管理的项目13个，涉及预算346.59万元。其中：人员类项目10个，涉及预算321.19万元；运转类项目3个，涉及预算25.40万元；特定目标类项目0个，涉及预算0万元。因部分项目内容涉密，不予公开。</w:t>
      </w:r>
    </w:p>
    <w:p w14:paraId="29F3EE50">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31" w:name="_Toc8932"/>
      <w:r>
        <w:rPr>
          <w:rFonts w:hint="eastAsia" w:ascii="黑体" w:hAnsi="黑体" w:eastAsia="黑体" w:cs="黑体"/>
          <w:sz w:val="32"/>
          <w:szCs w:val="32"/>
          <w:lang w:val="en-US" w:eastAsia="zh-CN"/>
        </w:rPr>
        <w:t>十一、名词解释</w:t>
      </w:r>
      <w:bookmarkEnd w:id="31"/>
    </w:p>
    <w:p w14:paraId="1C497E9C">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（一）财政拨款收入：</w:t>
      </w:r>
      <w:r>
        <w:rPr>
          <w:rFonts w:hint="eastAsia" w:ascii="仿宋_GB2312" w:hAnsi="仿宋_GB2312" w:eastAsia="仿宋_GB2312" w:cs="仿宋_GB2312"/>
          <w:sz w:val="32"/>
          <w:szCs w:val="32"/>
          <w:lang w:val="en-US" w:eastAsia="zh-CN"/>
        </w:rPr>
        <w:t>指财政当年安排的财政预算收入。按现行管理制度，部门预算中反映的财政拨款包括一般公共预算拨款和政府性基金预算拨款。</w:t>
      </w:r>
    </w:p>
    <w:p w14:paraId="001B63DF">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（二）事业收入：</w:t>
      </w:r>
      <w:r>
        <w:rPr>
          <w:rFonts w:hint="eastAsia" w:ascii="仿宋_GB2312" w:hAnsi="仿宋_GB2312" w:eastAsia="仿宋_GB2312" w:cs="仿宋_GB2312"/>
          <w:sz w:val="32"/>
          <w:szCs w:val="32"/>
          <w:lang w:val="en-US" w:eastAsia="zh-CN"/>
        </w:rPr>
        <w:t>指事业单位开展专业业务活动及辅助活动所取得的收入。主要为学校根据国家有关部门批准的项目和标准收取的学费、住宿费等。</w:t>
      </w:r>
    </w:p>
    <w:p w14:paraId="5E1E901E">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（三）其他收入：</w:t>
      </w:r>
      <w:r>
        <w:rPr>
          <w:rFonts w:hint="eastAsia" w:ascii="仿宋_GB2312" w:hAnsi="仿宋_GB2312" w:eastAsia="仿宋_GB2312" w:cs="仿宋_GB2312"/>
          <w:sz w:val="32"/>
          <w:szCs w:val="32"/>
          <w:lang w:val="en-US" w:eastAsia="zh-CN"/>
        </w:rPr>
        <w:t>指除上述“一般公共预算拨款收入和事业收入”等以外的收入。如银行存款利息收入等。</w:t>
      </w:r>
    </w:p>
    <w:p w14:paraId="31400CAC">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（四）上年结转：</w:t>
      </w:r>
      <w:r>
        <w:rPr>
          <w:rFonts w:hint="eastAsia" w:ascii="仿宋_GB2312" w:hAnsi="仿宋_GB2312" w:eastAsia="仿宋_GB2312" w:cs="仿宋_GB2312"/>
          <w:sz w:val="32"/>
          <w:szCs w:val="32"/>
          <w:lang w:val="en-US" w:eastAsia="zh-CN"/>
        </w:rPr>
        <w:t>指以前年度尚未完成，结转到本年仍按原规定用途继续使用的资金。</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w:t>
      </w:r>
      <w:r>
        <w:rPr>
          <w:rFonts w:hint="eastAsia" w:ascii="楷体_GB2312" w:hAnsi="楷体_GB2312" w:eastAsia="楷体_GB2312" w:cs="楷体_GB2312"/>
          <w:sz w:val="32"/>
          <w:szCs w:val="32"/>
          <w:lang w:val="en-US" w:eastAsia="zh-CN"/>
        </w:rPr>
        <w:t>（五）教育支出（类）普通教育（款）小学教育（项）：指小学教育发展的基本支出，包括基本工资、津贴补贴等人员经费以及办公费、印刷费、水电费等日常公用经费。</w:t>
      </w:r>
    </w:p>
    <w:p w14:paraId="17349D87">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（六）社会保障和就业（类）行政事业单位养老支出（款）机关事业单位基本养老保险缴费支出（项）：指部门实施养老保险制度由单位缴纳的养老保险的支出。</w:t>
      </w:r>
    </w:p>
    <w:p w14:paraId="6E5C54BB">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（七）社会保障和就业（类）行政事业单位养老支出（款）机关事业单位职业年金缴费支出（项）：指部门实施养老保险制度由单位缴纳的职业年金的支出。</w:t>
      </w:r>
    </w:p>
    <w:p w14:paraId="1E994CC0">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　（八）卫生健康（类）行政事业单位医疗（款）事业单位医疗（项）：指事业单位用于单位应缴纳基本医疗保险支出。</w:t>
      </w:r>
    </w:p>
    <w:p w14:paraId="43A950AC">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（九）住房保障（类）住房改革支出（款）住房公积金（项）：指按照《住房公积金管理条例》的规定，由单位及其在职职工缴存的长期住房储金。</w:t>
      </w:r>
    </w:p>
    <w:p w14:paraId="665D8015">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（十）基本支出：指为保证机构正常运转，完成日常工作任务而发生的人员支出和公用支出。</w:t>
      </w:r>
    </w:p>
    <w:p w14:paraId="0105B2BE">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（十一）项目支出：指在基本支出之外为完成特定行政任务和事业发展目标所发生的支出。</w:t>
      </w:r>
    </w:p>
    <w:p w14:paraId="16DE5ECB">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十二）“三公”经费：纳入财政预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14:paraId="5716A281">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p>
    <w:p w14:paraId="5C94360E">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附件：1. 单位预算公开表</w:t>
      </w:r>
    </w:p>
    <w:p w14:paraId="1CE1CA35">
      <w:pPr>
        <w:keepNext w:val="0"/>
        <w:keepLines w:val="0"/>
        <w:pageBreakBefore w:val="0"/>
        <w:widowControl w:val="0"/>
        <w:numPr>
          <w:ilvl w:val="0"/>
          <w:numId w:val="2"/>
        </w:numPr>
        <w:kinsoku/>
        <w:wordWrap/>
        <w:overflowPunct/>
        <w:topLinePunct w:val="0"/>
        <w:autoSpaceDE/>
        <w:autoSpaceDN/>
        <w:bidi w:val="0"/>
        <w:adjustRightInd/>
        <w:snapToGrid/>
        <w:spacing w:line="576" w:lineRule="exact"/>
        <w:ind w:left="1600" w:leftChars="0" w:firstLine="0" w:firstLineChars="0"/>
        <w:textAlignment w:val="auto"/>
        <w:outlineLvl w:val="1"/>
        <w:rPr>
          <w:rFonts w:hint="eastAsia" w:ascii="仿宋_GB2312" w:hAnsi="仿宋_GB2312" w:eastAsia="仿宋_GB2312" w:cs="仿宋_GB2312"/>
          <w:sz w:val="32"/>
          <w:szCs w:val="32"/>
          <w:lang w:val="en-US" w:eastAsia="zh-CN"/>
        </w:rPr>
      </w:pPr>
      <w:bookmarkStart w:id="32" w:name="_Toc24114"/>
      <w:bookmarkStart w:id="33" w:name="_Toc1813"/>
      <w:r>
        <w:rPr>
          <w:rFonts w:hint="eastAsia" w:ascii="仿宋_GB2312" w:hAnsi="仿宋_GB2312" w:eastAsia="仿宋_GB2312" w:cs="仿宋_GB2312"/>
          <w:sz w:val="32"/>
          <w:szCs w:val="32"/>
          <w:lang w:val="en-US" w:eastAsia="zh-CN"/>
        </w:rPr>
        <w:t>单位预算项目绩效目标表</w:t>
      </w:r>
      <w:bookmarkEnd w:id="32"/>
      <w:bookmarkEnd w:id="33"/>
    </w:p>
    <w:p w14:paraId="53D89053">
      <w:pPr>
        <w:keepNext w:val="0"/>
        <w:keepLines w:val="0"/>
        <w:pageBreakBefore w:val="0"/>
        <w:widowControl w:val="0"/>
        <w:numPr>
          <w:ilvl w:val="0"/>
          <w:numId w:val="0"/>
        </w:numPr>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sz w:val="32"/>
          <w:szCs w:val="32"/>
          <w:lang w:val="en-US" w:eastAsia="zh-CN"/>
        </w:rPr>
      </w:pPr>
    </w:p>
    <w:sectPr>
      <w:footerReference r:id="rId3" w:type="default"/>
      <w:pgSz w:w="11906" w:h="16838"/>
      <w:pgMar w:top="2098" w:right="1474" w:bottom="1984" w:left="1587" w:header="720" w:footer="1559"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Liberation Sans">
    <w:altName w:val="Vijaya"/>
    <w:panose1 w:val="020B0604020202020204"/>
    <w:charset w:val="00"/>
    <w:family w:val="auto"/>
    <w:pitch w:val="default"/>
    <w:sig w:usb0="00000000" w:usb1="00000000" w:usb2="00000000" w:usb3="00000000" w:csb0="6000009F" w:csb1="DFD70000"/>
  </w:font>
  <w:font w:name="Vijaya">
    <w:panose1 w:val="020B0604020202020204"/>
    <w:charset w:val="00"/>
    <w:family w:val="auto"/>
    <w:pitch w:val="default"/>
    <w:sig w:usb0="00100003" w:usb1="00000000" w:usb2="00000000" w:usb3="00000000" w:csb0="00000001" w:csb1="00000000"/>
  </w:font>
  <w:font w:name="Noto Sans CJK SC Regular">
    <w:altName w:val="宋体"/>
    <w:panose1 w:val="020B0500000000000000"/>
    <w:charset w:val="86"/>
    <w:family w:val="auto"/>
    <w:pitch w:val="default"/>
    <w:sig w:usb0="00000000" w:usb1="00000000" w:usb2="00000016" w:usb3="00000000" w:csb0="602E0107" w:csb1="00000000"/>
  </w:font>
  <w:font w:name="方正小标宋简体">
    <w:panose1 w:val="02000000000000000000"/>
    <w:charset w:val="86"/>
    <w:family w:val="auto"/>
    <w:pitch w:val="default"/>
    <w:sig w:usb0="00000001" w:usb1="080E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DB1C82">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809" name="文本框 1"/>
              <wp:cNvGraphicFramePr/>
              <a:graphic xmlns:a="http://schemas.openxmlformats.org/drawingml/2006/main">
                <a:graphicData uri="http://schemas.microsoft.com/office/word/2010/wordprocessingShape">
                  <wps:wsp>
                    <wps:cNvSpPr/>
                    <wps:spPr>
                      <a:xfrm>
                        <a:off x="0" y="0"/>
                        <a:ext cx="1828800" cy="1828800"/>
                      </a:xfrm>
                      <a:prstGeom prst="rect">
                        <a:avLst/>
                      </a:prstGeom>
                      <a:noFill/>
                      <a:ln>
                        <a:noFill/>
                      </a:ln>
                    </wps:spPr>
                    <wps:txbx>
                      <w:txbxContent>
                        <w:p w14:paraId="75EB4858">
                          <w:pPr>
                            <w:pStyle w:val="5"/>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rot="0" spcFirstLastPara="0" vertOverflow="overflow" horzOverflow="overflow" vert="horz" wrap="none" lIns="0" tIns="0" rIns="0" bIns="0" numCol="1" anchor="t" upright="0">
                      <a:spAutoFit/>
                    </wps:bodyPr>
                  </wps:wsp>
                </a:graphicData>
              </a:graphic>
            </wp:anchor>
          </w:drawing>
        </mc:Choice>
        <mc:Fallback>
          <w:pict>
            <v:rect id="文本框 1" o:spid="_x0000_s1026" o:spt="1"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Ll1uVLQAAAABQEAAA8AAAAAAAAAAQAgAAAAIgAAAGRycy9kb3ducmV2LnhtbFBL&#10;AQIUABQAAAAIAIdO4kBmh3n6/gEAAAAEAAAOAAAAAAAAAAEAIAAAAB8BAABkcnMvZTJvRG9jLnht&#10;bFBLBQYAAAAABgAGAFkBAACPBQAAAAA=&#10;">
              <v:fill on="f" focussize="0,0"/>
              <v:stroke on="f"/>
              <v:imagedata o:title=""/>
              <o:lock v:ext="edit" aspectratio="f"/>
              <v:textbox inset="0mm,0mm,0mm,0mm" style="mso-fit-shape-to-text:t;">
                <w:txbxContent>
                  <w:p w14:paraId="75EB4858">
                    <w:pPr>
                      <w:pStyle w:val="5"/>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rect>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9FB13FB"/>
    <w:multiLevelType w:val="singleLevel"/>
    <w:tmpl w:val="09FB13FB"/>
    <w:lvl w:ilvl="0" w:tentative="0">
      <w:start w:val="2"/>
      <w:numFmt w:val="chineseCounting"/>
      <w:suff w:val="nothing"/>
      <w:lvlText w:val="（%1）"/>
      <w:lvlJc w:val="left"/>
      <w:rPr>
        <w:rFonts w:hint="eastAsia"/>
      </w:rPr>
    </w:lvl>
  </w:abstractNum>
  <w:abstractNum w:abstractNumId="1">
    <w:nsid w:val="7856AFF0"/>
    <w:multiLevelType w:val="singleLevel"/>
    <w:tmpl w:val="7856AFF0"/>
    <w:lvl w:ilvl="0" w:tentative="0">
      <w:start w:val="2"/>
      <w:numFmt w:val="decimal"/>
      <w:lvlText w:val="%1."/>
      <w:lvlJc w:val="left"/>
      <w:pPr>
        <w:tabs>
          <w:tab w:val="left" w:pos="312"/>
        </w:tabs>
        <w:ind w:left="1600" w:leftChars="0" w:firstLine="0" w:firstLineChars="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9"/>
  <w:displayBackgroundShape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420"/>
  <w:drawingGridHorizontalSpacing w:val="1"/>
  <w:drawingGridVerticalSpacing w:val="1"/>
  <w:doNotUseMarginsForDrawingGridOrigin w:val="1"/>
  <w:drawingGridHorizontalOrigin w:val="0"/>
  <w:drawingGridVerticalOrigin w:val="0"/>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ZjY2QyNDgwZThlMDdiN2Q0ODNhMzgzYmYzMjA1ODEifQ=="/>
  </w:docVars>
  <w:rsids>
    <w:rsidRoot w:val="00000000"/>
    <w:rsid w:val="30ED016F"/>
  </w:rsids>
  <m:mathPr>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uppressAutoHyphens/>
      <w:bidi w:val="0"/>
      <w:jc w:val="both"/>
    </w:pPr>
    <w:rPr>
      <w:rFonts w:ascii="Calibri" w:hAnsi="Calibri" w:eastAsia="宋体" w:cs="Times New Roman"/>
      <w:color w:val="auto"/>
      <w:kern w:val="2"/>
      <w:sz w:val="21"/>
      <w:szCs w:val="24"/>
      <w:lang w:val="en-US" w:eastAsia="zh-CN" w:bidi="ar-SA"/>
    </w:rPr>
  </w:style>
  <w:style w:type="character" w:default="1" w:styleId="14">
    <w:name w:val="Default Paragraph Font"/>
    <w:autoRedefine/>
    <w:qFormat/>
    <w:uiPriority w:val="0"/>
  </w:style>
  <w:style w:type="table" w:default="1" w:styleId="12">
    <w:name w:val="Normal Table"/>
    <w:autoRedefine/>
    <w:semiHidden/>
    <w:qFormat/>
    <w:uiPriority w:val="0"/>
    <w:tblPr>
      <w:tblCellMar>
        <w:top w:w="0" w:type="dxa"/>
        <w:left w:w="108" w:type="dxa"/>
        <w:bottom w:w="0" w:type="dxa"/>
        <w:right w:w="108" w:type="dxa"/>
      </w:tblCellMar>
    </w:tblPr>
  </w:style>
  <w:style w:type="paragraph" w:styleId="2">
    <w:name w:val="caption"/>
    <w:basedOn w:val="1"/>
    <w:autoRedefine/>
    <w:qFormat/>
    <w:uiPriority w:val="0"/>
    <w:pPr>
      <w:widowControl w:val="0"/>
      <w:suppressLineNumbers/>
      <w:suppressAutoHyphens/>
      <w:spacing w:before="120" w:after="120"/>
    </w:pPr>
    <w:rPr>
      <w:i/>
      <w:iCs/>
      <w:sz w:val="24"/>
      <w:szCs w:val="24"/>
    </w:rPr>
  </w:style>
  <w:style w:type="paragraph" w:styleId="3">
    <w:name w:val="Body Text"/>
    <w:basedOn w:val="1"/>
    <w:autoRedefine/>
    <w:qFormat/>
    <w:uiPriority w:val="0"/>
    <w:pPr>
      <w:spacing w:before="0" w:after="140" w:line="276" w:lineRule="auto"/>
    </w:pPr>
  </w:style>
  <w:style w:type="paragraph" w:styleId="4">
    <w:name w:val="Body Text Indent"/>
    <w:basedOn w:val="1"/>
    <w:qFormat/>
    <w:uiPriority w:val="0"/>
    <w:pPr>
      <w:ind w:left="420" w:leftChars="200"/>
    </w:pPr>
  </w:style>
  <w:style w:type="paragraph" w:styleId="5">
    <w:name w:val="footer"/>
    <w:basedOn w:val="1"/>
    <w:autoRedefine/>
    <w:qFormat/>
    <w:uiPriority w:val="0"/>
    <w:pPr>
      <w:tabs>
        <w:tab w:val="center" w:pos="4153"/>
        <w:tab w:val="right" w:pos="8306"/>
      </w:tabs>
      <w:snapToGrid w:val="0"/>
      <w:jc w:val="left"/>
    </w:pPr>
    <w:rPr>
      <w:sz w:val="18"/>
    </w:rPr>
  </w:style>
  <w:style w:type="paragraph" w:styleId="6">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toc 1"/>
    <w:basedOn w:val="1"/>
    <w:next w:val="1"/>
    <w:qFormat/>
    <w:uiPriority w:val="0"/>
  </w:style>
  <w:style w:type="paragraph" w:styleId="8">
    <w:name w:val="List"/>
    <w:basedOn w:val="3"/>
    <w:autoRedefine/>
    <w:qFormat/>
    <w:uiPriority w:val="0"/>
  </w:style>
  <w:style w:type="paragraph" w:styleId="9">
    <w:name w:val="toc 2"/>
    <w:basedOn w:val="1"/>
    <w:next w:val="1"/>
    <w:qFormat/>
    <w:uiPriority w:val="0"/>
    <w:pPr>
      <w:ind w:left="420" w:leftChars="200"/>
    </w:pPr>
  </w:style>
  <w:style w:type="paragraph" w:styleId="10">
    <w:name w:val="Normal (Web)"/>
    <w:basedOn w:val="1"/>
    <w:autoRedefine/>
    <w:qFormat/>
    <w:uiPriority w:val="0"/>
    <w:rPr>
      <w:sz w:val="24"/>
    </w:rPr>
  </w:style>
  <w:style w:type="paragraph" w:styleId="11">
    <w:name w:val="Body Text First Indent 2"/>
    <w:basedOn w:val="4"/>
    <w:qFormat/>
    <w:uiPriority w:val="0"/>
    <w:pPr>
      <w:ind w:firstLine="420" w:firstLineChars="200"/>
    </w:pPr>
  </w:style>
  <w:style w:type="table" w:styleId="13">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customStyle="1" w:styleId="15">
    <w:name w:val="默认段落字体1"/>
    <w:autoRedefine/>
    <w:qFormat/>
    <w:uiPriority w:val="0"/>
  </w:style>
  <w:style w:type="paragraph" w:customStyle="1" w:styleId="16">
    <w:name w:val="Heading"/>
    <w:basedOn w:val="1"/>
    <w:next w:val="3"/>
    <w:autoRedefine/>
    <w:qFormat/>
    <w:uiPriority w:val="0"/>
    <w:pPr>
      <w:keepNext/>
      <w:widowControl w:val="0"/>
      <w:suppressAutoHyphens/>
      <w:spacing w:before="240" w:after="120"/>
    </w:pPr>
    <w:rPr>
      <w:rFonts w:ascii="Liberation Sans" w:hAnsi="Liberation Sans" w:eastAsia="Noto Sans CJK SC Regular" w:cs="Noto Sans CJK SC Regular"/>
      <w:sz w:val="28"/>
      <w:szCs w:val="28"/>
      <w:lang w:bidi="ar-SA"/>
    </w:rPr>
  </w:style>
  <w:style w:type="paragraph" w:customStyle="1" w:styleId="17">
    <w:name w:val="Index"/>
    <w:basedOn w:val="1"/>
    <w:autoRedefine/>
    <w:qFormat/>
    <w:uiPriority w:val="0"/>
    <w:pPr>
      <w:widowControl w:val="0"/>
      <w:suppressLineNumbers/>
      <w:suppressAutoHyphens/>
    </w:pPr>
  </w:style>
  <w:style w:type="paragraph" w:customStyle="1" w:styleId="18">
    <w:name w:val="WPSOffice手动目录 1"/>
    <w:qFormat/>
    <w:uiPriority w:val="0"/>
    <w:pPr>
      <w:ind w:leftChars="0"/>
    </w:pPr>
    <w:rPr>
      <w:rFonts w:ascii="Times New Roman" w:hAnsi="Times New Roman" w:eastAsia="宋体" w:cs="Times New Roman"/>
      <w:sz w:val="20"/>
      <w:szCs w:val="20"/>
    </w:rPr>
  </w:style>
  <w:style w:type="paragraph" w:customStyle="1" w:styleId="19">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11</Pages>
  <Words>3735</Words>
  <Characters>3951</Characters>
  <TotalTime>11</TotalTime>
  <ScaleCrop>false</ScaleCrop>
  <LinksUpToDate>false</LinksUpToDate>
  <CharactersWithSpaces>4030</CharactersWithSpaces>
  <Application>WPS Office_12.1.0.19302_F1E327BC-269C-435d-A152-05C5408002CA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2018-11-29T09:47:00Z</dcterms:created>
  <dc:creator>admin</dc:creator>
  <cp:lastModifiedBy>丽丽</cp:lastModifiedBy>
  <dcterms:modified xsi:type="dcterms:W3CDTF">2025-02-15T05:29:17Z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96081F72B7444D3C8C1C7DDAED24732C_13</vt:lpwstr>
  </property>
  <property fmtid="{D5CDD505-2E9C-101B-9397-08002B2CF9AE}" pid="4" name="KSOTemplateDocerSaveRecord">
    <vt:lpwstr>eyJoZGlkIjoiOTlhNTlmMWMwY2NkZGNhOTM0ZTIzOTMwM2UwMjVlYzgiLCJ1c2VySWQiOiI2MDAwNDk2NTIifQ==</vt:lpwstr>
  </property>
</Properties>
</file>