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1EBA3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0" w:name="_Toc1282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广元市昭化区柏林沟镇文村小学</w:t>
      </w:r>
      <w:bookmarkEnd w:id="0"/>
    </w:p>
    <w:p w14:paraId="52EC185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27631375">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7304"/>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14:paraId="0752C141">
          <w:pPr>
            <w:spacing w:before="0" w:beforeLines="0" w:after="0" w:afterLines="0" w:line="240" w:lineRule="auto"/>
            <w:ind w:left="0" w:leftChars="0" w:right="0" w:rightChars="0" w:firstLine="0" w:firstLineChars="0"/>
            <w:jc w:val="center"/>
            <w:rPr>
              <w:rFonts w:hint="eastAsia" w:ascii="仿宋_GB2312" w:hAnsi="仿宋_GB2312" w:eastAsia="仿宋_GB2312" w:cs="仿宋_GB2312"/>
              <w:color w:val="auto"/>
              <w:kern w:val="2"/>
              <w:sz w:val="32"/>
              <w:szCs w:val="32"/>
              <w:lang w:val="en-US" w:eastAsia="zh-CN" w:bidi="ar-SA"/>
            </w:rPr>
          </w:pPr>
          <w:r>
            <w:fldChar w:fldCharType="begin"/>
          </w:r>
          <w:r>
            <w:instrText xml:space="preserve">TOC \o "1-2" \h \u</w:instrText>
          </w:r>
          <w:r>
            <w:fldChar w:fldCharType="separate"/>
          </w:r>
        </w:p>
        <w:p w14:paraId="111B5A4E">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"_Toc11742" </w:instrText>
          </w:r>
          <w:r>
            <w:fldChar w:fldCharType="separate"/>
          </w:r>
          <w:r>
            <w:rPr>
              <w:rFonts w:hint="eastAsia" w:ascii="仿宋_GB2312" w:hAnsi="仿宋_GB2312" w:eastAsia="仿宋_GB2312" w:cs="仿宋_GB2312"/>
              <w:color w:val="auto"/>
              <w:kern w:val="2"/>
              <w:sz w:val="32"/>
              <w:szCs w:val="32"/>
              <w:lang w:val="en-US" w:eastAsia="zh-CN" w:bidi="ar-SA"/>
            </w:rPr>
            <w:t>一、基本职能及主要工作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_Toc11742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4CE22C1">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"_Toc29871" </w:instrText>
          </w:r>
          <w:r>
            <w:fldChar w:fldCharType="separate"/>
          </w:r>
          <w:r>
            <w:rPr>
              <w:rFonts w:hint="eastAsia" w:ascii="仿宋_GB2312" w:hAnsi="仿宋_GB2312" w:eastAsia="仿宋_GB2312" w:cs="仿宋_GB2312"/>
              <w:color w:val="auto"/>
              <w:kern w:val="2"/>
              <w:sz w:val="32"/>
              <w:szCs w:val="32"/>
              <w:lang w:val="en-US" w:eastAsia="zh-CN" w:bidi="ar-SA"/>
            </w:rPr>
            <w:t>（一）单位职能简介</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_Toc29871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0ECAAD1">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"_Toc28066" </w:instrText>
          </w:r>
          <w:r>
            <w:fldChar w:fldCharType="separate"/>
          </w:r>
          <w:r>
            <w:rPr>
              <w:rFonts w:hint="eastAsia" w:ascii="仿宋_GB2312" w:hAnsi="仿宋_GB2312" w:eastAsia="仿宋_GB2312" w:cs="仿宋_GB2312"/>
              <w:color w:val="auto"/>
              <w:kern w:val="2"/>
              <w:sz w:val="32"/>
              <w:szCs w:val="32"/>
              <w:lang w:val="en-US" w:eastAsia="zh-CN" w:bidi="ar-SA"/>
            </w:rPr>
            <w:t>（二）2025年重点工作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_Toc28066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862A06E">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"_Toc7412" </w:instrText>
          </w:r>
          <w:r>
            <w:fldChar w:fldCharType="separate"/>
          </w:r>
          <w:r>
            <w:rPr>
              <w:rFonts w:hint="eastAsia" w:ascii="仿宋_GB2312" w:hAnsi="仿宋_GB2312" w:eastAsia="仿宋_GB2312" w:cs="仿宋_GB2312"/>
              <w:color w:val="auto"/>
              <w:kern w:val="2"/>
              <w:sz w:val="32"/>
              <w:szCs w:val="32"/>
              <w:lang w:val="en-US" w:eastAsia="zh-CN" w:bidi="ar-SA"/>
            </w:rPr>
            <w:t>二、部门预算单位构成</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_Toc7412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E523DA1">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"_Toc32623" </w:instrText>
          </w:r>
          <w:r>
            <w:fldChar w:fldCharType="separate"/>
          </w:r>
          <w:r>
            <w:rPr>
              <w:rFonts w:hint="eastAsia" w:ascii="仿宋_GB2312" w:hAnsi="仿宋_GB2312" w:eastAsia="仿宋_GB2312" w:cs="仿宋_GB2312"/>
              <w:color w:val="auto"/>
              <w:kern w:val="2"/>
              <w:sz w:val="32"/>
              <w:szCs w:val="32"/>
              <w:lang w:val="en-US" w:eastAsia="zh-CN" w:bidi="ar-SA"/>
            </w:rPr>
            <w:t>三、收支预算情况说明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_Toc32623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5D2363F">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"_Toc5770" </w:instrText>
          </w:r>
          <w:r>
            <w:fldChar w:fldCharType="separate"/>
          </w:r>
          <w:r>
            <w:rPr>
              <w:rFonts w:hint="eastAsia" w:ascii="仿宋_GB2312" w:hAnsi="仿宋_GB2312" w:eastAsia="仿宋_GB2312" w:cs="仿宋_GB2312"/>
              <w:color w:val="auto"/>
              <w:kern w:val="2"/>
              <w:sz w:val="32"/>
              <w:szCs w:val="32"/>
              <w:lang w:val="en-US" w:eastAsia="zh-CN" w:bidi="ar-SA"/>
            </w:rPr>
            <w:t>（一）收入预算情况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_Toc5770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046DF38">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"_Toc23815" </w:instrText>
          </w:r>
          <w:r>
            <w:fldChar w:fldCharType="separate"/>
          </w:r>
          <w:r>
            <w:rPr>
              <w:rFonts w:hint="eastAsia" w:ascii="仿宋_GB2312" w:hAnsi="仿宋_GB2312" w:eastAsia="仿宋_GB2312" w:cs="仿宋_GB2312"/>
              <w:color w:val="auto"/>
              <w:kern w:val="2"/>
              <w:sz w:val="32"/>
              <w:szCs w:val="32"/>
              <w:lang w:val="en-US" w:eastAsia="zh-CN" w:bidi="ar-SA"/>
            </w:rPr>
            <w:t>（二）支出预算情况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_Toc23815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46D049B">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"_Toc20437" </w:instrText>
          </w:r>
          <w:r>
            <w:fldChar w:fldCharType="separate"/>
          </w:r>
          <w:r>
            <w:rPr>
              <w:rFonts w:hint="eastAsia" w:ascii="仿宋_GB2312" w:hAnsi="仿宋_GB2312" w:eastAsia="仿宋_GB2312" w:cs="仿宋_GB2312"/>
              <w:color w:val="auto"/>
              <w:kern w:val="2"/>
              <w:sz w:val="32"/>
              <w:szCs w:val="32"/>
              <w:lang w:val="en-US" w:eastAsia="zh-CN" w:bidi="ar-SA"/>
            </w:rPr>
            <w:t>四、财政拨款收支预算情况说明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_Toc20437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ECC8D20">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"_Toc10125" </w:instrText>
          </w:r>
          <w:r>
            <w:fldChar w:fldCharType="separate"/>
          </w:r>
          <w:r>
            <w:rPr>
              <w:rFonts w:hint="eastAsia" w:ascii="仿宋_GB2312" w:hAnsi="仿宋_GB2312" w:eastAsia="仿宋_GB2312" w:cs="仿宋_GB2312"/>
              <w:color w:val="auto"/>
              <w:kern w:val="2"/>
              <w:sz w:val="32"/>
              <w:szCs w:val="32"/>
              <w:lang w:val="en-US" w:eastAsia="zh-CN" w:bidi="ar-SA"/>
            </w:rPr>
            <w:t>五、一般公共预算当年拨款情况说明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_Toc10125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64E86C4">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"_Toc18218" </w:instrText>
          </w:r>
          <w:r>
            <w:fldChar w:fldCharType="separate"/>
          </w:r>
          <w:r>
            <w:rPr>
              <w:rFonts w:hint="eastAsia" w:ascii="仿宋_GB2312" w:hAnsi="仿宋_GB2312" w:eastAsia="仿宋_GB2312" w:cs="仿宋_GB2312"/>
              <w:color w:val="auto"/>
              <w:kern w:val="2"/>
              <w:sz w:val="32"/>
              <w:szCs w:val="32"/>
              <w:lang w:val="en-US" w:eastAsia="zh-CN" w:bidi="ar-SA"/>
            </w:rPr>
            <w:t>（一）一般公共预算当年拨款规模变化情况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_Toc18218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32A7D31">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"_Toc3704" </w:instrText>
          </w:r>
          <w:r>
            <w:fldChar w:fldCharType="separate"/>
          </w:r>
          <w:r>
            <w:rPr>
              <w:rFonts w:hint="eastAsia" w:ascii="仿宋_GB2312" w:hAnsi="仿宋_GB2312" w:eastAsia="仿宋_GB2312" w:cs="仿宋_GB2312"/>
              <w:color w:val="auto"/>
              <w:kern w:val="2"/>
              <w:sz w:val="32"/>
              <w:szCs w:val="32"/>
              <w:lang w:val="en-US" w:eastAsia="zh-CN" w:bidi="ar-SA"/>
            </w:rPr>
            <w:t>（二）一般公共预算当年拨款结构情况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_Toc3704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346DEA8">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"_Toc14031" </w:instrText>
          </w:r>
          <w:r>
            <w:fldChar w:fldCharType="separate"/>
          </w:r>
          <w:r>
            <w:rPr>
              <w:rFonts w:hint="eastAsia" w:ascii="仿宋_GB2312" w:hAnsi="仿宋_GB2312" w:eastAsia="仿宋_GB2312" w:cs="仿宋_GB2312"/>
              <w:color w:val="auto"/>
              <w:kern w:val="2"/>
              <w:sz w:val="32"/>
              <w:szCs w:val="32"/>
              <w:lang w:val="en-US" w:eastAsia="zh-CN" w:bidi="ar-SA"/>
            </w:rPr>
            <w:t>（三）一般公共预算当年拨款具体使用情况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_Toc14031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CB20311">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"_Toc12532" </w:instrText>
          </w:r>
          <w:r>
            <w:fldChar w:fldCharType="separate"/>
          </w:r>
          <w:r>
            <w:rPr>
              <w:rFonts w:hint="eastAsia" w:ascii="仿宋_GB2312" w:hAnsi="仿宋_GB2312" w:eastAsia="仿宋_GB2312" w:cs="仿宋_GB2312"/>
              <w:color w:val="auto"/>
              <w:kern w:val="2"/>
              <w:sz w:val="32"/>
              <w:szCs w:val="32"/>
              <w:lang w:val="en-US" w:eastAsia="zh-CN" w:bidi="ar-SA"/>
            </w:rPr>
            <w:t>六、一般公共预算基本支出情况说明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_Toc12532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38E0533">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"_Toc24381" </w:instrText>
          </w:r>
          <w:r>
            <w:fldChar w:fldCharType="separate"/>
          </w:r>
          <w:r>
            <w:rPr>
              <w:rFonts w:hint="eastAsia" w:ascii="仿宋_GB2312" w:hAnsi="仿宋_GB2312" w:eastAsia="仿宋_GB2312" w:cs="仿宋_GB2312"/>
              <w:color w:val="auto"/>
              <w:kern w:val="2"/>
              <w:sz w:val="32"/>
              <w:szCs w:val="32"/>
              <w:lang w:val="en-US" w:eastAsia="zh-CN" w:bidi="ar-SA"/>
            </w:rPr>
            <w:t>七、“三公”经费财政拨款预算安排情况说明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_Toc24381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A3E1051">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"_Toc10335" </w:instrText>
          </w:r>
          <w:r>
            <w:fldChar w:fldCharType="separate"/>
          </w:r>
          <w:r>
            <w:rPr>
              <w:rFonts w:hint="eastAsia" w:ascii="仿宋_GB2312" w:hAnsi="仿宋_GB2312" w:eastAsia="仿宋_GB2312" w:cs="仿宋_GB2312"/>
              <w:color w:val="auto"/>
              <w:kern w:val="2"/>
              <w:sz w:val="32"/>
              <w:szCs w:val="32"/>
              <w:lang w:val="en-US" w:eastAsia="zh-CN" w:bidi="ar-SA"/>
            </w:rPr>
            <w:t>八、政府性基金预算支出情况说明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_Toc10335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43AA528">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"_Toc24467" </w:instrText>
          </w:r>
          <w:r>
            <w:fldChar w:fldCharType="separate"/>
          </w:r>
          <w:r>
            <w:rPr>
              <w:rFonts w:hint="eastAsia" w:ascii="仿宋_GB2312" w:hAnsi="仿宋_GB2312" w:eastAsia="仿宋_GB2312" w:cs="仿宋_GB2312"/>
              <w:color w:val="auto"/>
              <w:kern w:val="2"/>
              <w:sz w:val="32"/>
              <w:szCs w:val="32"/>
              <w:lang w:val="en-US" w:eastAsia="zh-CN" w:bidi="ar-SA"/>
            </w:rPr>
            <w:t>九、国有资本经营预算支出情况说明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_Toc24467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F8FD1C8">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"_Toc7116" </w:instrText>
          </w:r>
          <w:r>
            <w:fldChar w:fldCharType="separate"/>
          </w:r>
          <w:r>
            <w:rPr>
              <w:rFonts w:hint="eastAsia" w:ascii="仿宋_GB2312" w:hAnsi="仿宋_GB2312" w:eastAsia="仿宋_GB2312" w:cs="仿宋_GB2312"/>
              <w:color w:val="auto"/>
              <w:kern w:val="2"/>
              <w:sz w:val="32"/>
              <w:szCs w:val="32"/>
              <w:lang w:val="en-US" w:eastAsia="zh-CN" w:bidi="ar-SA"/>
            </w:rPr>
            <w:t>十、其他重要事项的情况说明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_Toc7116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B26AAD9">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"_Toc18005" </w:instrText>
          </w:r>
          <w:r>
            <w:fldChar w:fldCharType="separate"/>
          </w:r>
          <w:r>
            <w:rPr>
              <w:rFonts w:hint="eastAsia" w:ascii="仿宋_GB2312" w:hAnsi="仿宋_GB2312" w:eastAsia="仿宋_GB2312" w:cs="仿宋_GB2312"/>
              <w:color w:val="auto"/>
              <w:kern w:val="2"/>
              <w:sz w:val="32"/>
              <w:szCs w:val="32"/>
              <w:lang w:val="en-US" w:eastAsia="zh-CN" w:bidi="ar-SA"/>
            </w:rPr>
            <w:t>十一、名词解释</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_Toc18005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11</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4B01F32">
          <w:pPr>
            <w:pStyle w:val="14"/>
            <w:tabs>
              <w:tab w:val="right" w:leader="dot" w:pos="8845"/>
            </w:tabs>
          </w:pPr>
          <w:r>
            <w:fldChar w:fldCharType="begin"/>
          </w:r>
          <w:r>
            <w:instrText xml:space="preserve"> HYPERLINK \l "_Toc6495" </w:instrText>
          </w:r>
          <w:r>
            <w:fldChar w:fldCharType="separate"/>
          </w: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en-US" w:eastAsia="zh-CN" w:bidi="ar-SA"/>
            </w:rPr>
            <w:fldChar w:fldCharType="end"/>
          </w:r>
        </w:p>
        <w:p w14:paraId="40D4D86E">
          <w:pPr>
            <w:rPr>
              <w:b/>
            </w:rPr>
          </w:pPr>
          <w:r>
            <w:rPr>
              <w:b/>
            </w:rPr>
            <w:fldChar w:fldCharType="end"/>
          </w:r>
        </w:p>
      </w:sdtContent>
    </w:sdt>
    <w:p w14:paraId="4BD08123">
      <w:pPr>
        <w:rPr>
          <w:b/>
        </w:rPr>
      </w:pPr>
    </w:p>
    <w:p w14:paraId="50737E4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2"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14:paraId="1784368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72025B3">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62B6C50">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631448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959E5B3">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A91D3C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8E781F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 w:name="_Toc11742"/>
    </w:p>
    <w:p w14:paraId="322C5E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08339E1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6EDBA0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154AA05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7E91E9A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7DAA5F7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129F9FA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54E987AB">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eastAsia" w:ascii="黑体" w:hAnsi="黑体" w:eastAsia="黑体" w:cs="黑体"/>
          <w:sz w:val="32"/>
          <w:szCs w:val="32"/>
          <w:lang w:val="en-US" w:eastAsia="zh-CN"/>
        </w:rPr>
      </w:pPr>
    </w:p>
    <w:p w14:paraId="5A36C9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1"/>
    </w:p>
    <w:p w14:paraId="3544FE5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bookmarkStart w:id="2" w:name="_Toc29871"/>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2"/>
    </w:p>
    <w:p w14:paraId="1A18B00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3B334D2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5BFBB87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6F02B06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77D29D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7840D66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6DD1DB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702D5C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111CD5A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50ADD0D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123387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5B4F18A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0CAAC2D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28066"/>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3"/>
    </w:p>
    <w:p w14:paraId="276DF6A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在区教育局的领导和指导下，文村小学行政一班人坚定信念、守正创新，带领全体教职工开拓进取、勤奋工作，争取圆满完成教育教学工作，学校发展再上台阶。工作思路如下：</w:t>
      </w:r>
    </w:p>
    <w:p w14:paraId="788DA028">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635" w:leftChars="0" w:firstLine="0" w:firstLineChars="0"/>
        <w:textAlignment w:val="auto"/>
        <w:outlineLvl w:val="0"/>
        <w:rPr>
          <w:rFonts w:hint="eastAsia" w:ascii="仿宋" w:hAnsi="仿宋" w:eastAsia="仿宋" w:cs="仿宋"/>
          <w:sz w:val="32"/>
          <w:szCs w:val="32"/>
          <w:lang w:val="en-US" w:eastAsia="zh-CN"/>
        </w:rPr>
      </w:pPr>
      <w:bookmarkStart w:id="4" w:name="_Toc26312"/>
      <w:r>
        <w:rPr>
          <w:rFonts w:hint="eastAsia" w:ascii="仿宋" w:hAnsi="仿宋" w:eastAsia="仿宋" w:cs="仿宋"/>
          <w:sz w:val="32"/>
          <w:szCs w:val="32"/>
          <w:lang w:val="en-US" w:eastAsia="zh-CN"/>
        </w:rPr>
        <w:t>抓党建，强化思想引领</w:t>
      </w:r>
      <w:bookmarkEnd w:id="4"/>
    </w:p>
    <w:p w14:paraId="76ED4F6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本年度，我校将持续探索和实践党组织领导下的校长负责制，充分发挥党组织在办学治校中的旗帜引领和重大决策中的主导作用，搞好教育教学，夯实基层组织建设。</w:t>
      </w:r>
    </w:p>
    <w:p w14:paraId="7AFCEE61">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630" w:leftChars="0" w:firstLine="0" w:firstLineChars="0"/>
        <w:textAlignment w:val="auto"/>
        <w:outlineLvl w:val="1"/>
        <w:rPr>
          <w:rFonts w:hint="eastAsia" w:ascii="仿宋" w:hAnsi="仿宋" w:eastAsia="仿宋" w:cs="仿宋"/>
          <w:sz w:val="32"/>
          <w:szCs w:val="32"/>
          <w:lang w:val="en-US" w:eastAsia="zh-CN"/>
        </w:rPr>
      </w:pPr>
      <w:bookmarkStart w:id="5" w:name="_Toc10950"/>
      <w:r>
        <w:rPr>
          <w:rFonts w:hint="eastAsia" w:ascii="仿宋" w:hAnsi="仿宋" w:eastAsia="仿宋" w:cs="仿宋"/>
          <w:sz w:val="32"/>
          <w:szCs w:val="32"/>
          <w:lang w:val="en-US" w:eastAsia="zh-CN"/>
        </w:rPr>
        <w:t>加强学习，巩固阵地</w:t>
      </w:r>
      <w:bookmarkEnd w:id="5"/>
    </w:p>
    <w:p w14:paraId="240270A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学校支部把抓班子成员、全体师生的思想政治工作放在</w:t>
      </w:r>
    </w:p>
    <w:p w14:paraId="3B8723BB">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首位，把握航向、建好阵地。通过请领导讲思政课，老教师、老党员、党组织书记讲党课和每周例会等进行集中学领学，学习贯彻习近平新时代中国特色社会主义思想理论和有关教育的重要论述，学习党章、党的纪律处分条例，学习党史、国史、昭化党史故事，学习党的二十大精神和党的决议，并与个人自学相结合，使全体教师坚定信念，守好初心，并用个人过硬的政治素质去教育影响学生。</w:t>
      </w:r>
    </w:p>
    <w:p w14:paraId="663A262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我们将举行“巾帼心向党，建功新时代”妇女节主题活动，“红心向党庆百年，快乐成长逐梦想”中国共产党成立一百周年庆祝系列活动，到革命圣地开展“学党史、感党恩、跟党走”红色星期五主题党日活动，开展庆祝中华人民共和国成立七十六周年演讲比赛活动。通过活动，教育使师生爱党爱国、感恩奋进、传承红色基因，加强了党组织的凝聚力、战斗力。 </w:t>
      </w:r>
    </w:p>
    <w:p w14:paraId="76497E4C">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630" w:leftChars="0" w:firstLine="0" w:firstLineChars="0"/>
        <w:textAlignment w:val="auto"/>
        <w:outlineLvl w:val="1"/>
        <w:rPr>
          <w:rFonts w:hint="eastAsia" w:ascii="仿宋" w:hAnsi="仿宋" w:eastAsia="仿宋" w:cs="仿宋"/>
          <w:sz w:val="32"/>
          <w:szCs w:val="32"/>
          <w:lang w:val="en-US" w:eastAsia="zh-CN"/>
        </w:rPr>
      </w:pPr>
      <w:bookmarkStart w:id="6" w:name="_Toc32301"/>
      <w:r>
        <w:rPr>
          <w:rFonts w:hint="eastAsia" w:ascii="仿宋" w:hAnsi="仿宋" w:eastAsia="仿宋" w:cs="仿宋"/>
          <w:sz w:val="32"/>
          <w:szCs w:val="32"/>
          <w:lang w:val="en-US" w:eastAsia="zh-CN"/>
        </w:rPr>
        <w:t>求实务本办实事</w:t>
      </w:r>
      <w:bookmarkEnd w:id="6"/>
    </w:p>
    <w:p w14:paraId="591B7A1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支部将围绕教学抓党建，抓好党建促教学，把党史学习教育</w:t>
      </w:r>
    </w:p>
    <w:p w14:paraId="5D42BB56">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与教育教学工作紧密结合。要求全体教师潜心育人，通过师生结对学业辅导、心理疏导、多渠道资助帮扶、千名教师访万家等各种途径关爱留守儿童、困境儿童，努力提升教学质量和育人成效，真正为民办实事。</w:t>
      </w:r>
    </w:p>
    <w:p w14:paraId="20BB4203">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630" w:leftChars="0" w:firstLine="0" w:firstLineChars="0"/>
        <w:textAlignment w:val="auto"/>
        <w:outlineLvl w:val="1"/>
        <w:rPr>
          <w:rFonts w:hint="eastAsia" w:ascii="仿宋" w:hAnsi="仿宋" w:eastAsia="仿宋" w:cs="仿宋"/>
          <w:sz w:val="32"/>
          <w:szCs w:val="32"/>
          <w:lang w:val="en-US" w:eastAsia="zh-CN"/>
        </w:rPr>
      </w:pPr>
      <w:bookmarkStart w:id="7" w:name="_Toc23749"/>
      <w:r>
        <w:rPr>
          <w:rFonts w:hint="eastAsia" w:ascii="仿宋" w:hAnsi="仿宋" w:eastAsia="仿宋" w:cs="仿宋"/>
          <w:sz w:val="32"/>
          <w:szCs w:val="32"/>
          <w:lang w:val="en-US" w:eastAsia="zh-CN"/>
        </w:rPr>
        <w:t>廉洁自律抓作风</w:t>
      </w:r>
      <w:bookmarkEnd w:id="7"/>
    </w:p>
    <w:p w14:paraId="32E6A81F">
      <w:pPr>
        <w:numPr>
          <w:ilvl w:val="0"/>
          <w:numId w:val="0"/>
        </w:numPr>
        <w:ind w:firstLine="64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深入开展干部纪律作风整顿工作和“以案促改”工作，强化师德师风建设。一是加强学习和警示教育。组织全体教职工认真学习各级有关干部纪律作风整顿的文件和要求，以身边人、常见事加强警示教育。紧密结合教育教学工作，以问题为导向，以工作中的小问题为切入口，以自查和他人提、领导点等方式全面开展问题查摆，深入开展剖析，并在工作中立行立改、按期销号，并形成长效机制。</w:t>
      </w:r>
    </w:p>
    <w:p w14:paraId="3FE1AA22">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635" w:leftChars="0" w:firstLine="0" w:firstLineChars="0"/>
        <w:textAlignment w:val="auto"/>
        <w:outlineLvl w:val="0"/>
        <w:rPr>
          <w:rFonts w:hint="eastAsia" w:ascii="仿宋" w:hAnsi="仿宋" w:eastAsia="仿宋" w:cs="仿宋"/>
          <w:sz w:val="32"/>
          <w:szCs w:val="32"/>
          <w:lang w:val="en-US" w:eastAsia="zh-CN"/>
        </w:rPr>
      </w:pPr>
      <w:bookmarkStart w:id="8" w:name="_Toc20933"/>
      <w:r>
        <w:rPr>
          <w:rFonts w:hint="eastAsia" w:ascii="仿宋" w:hAnsi="仿宋" w:eastAsia="仿宋" w:cs="仿宋"/>
          <w:sz w:val="32"/>
          <w:szCs w:val="32"/>
          <w:lang w:val="en-US" w:eastAsia="zh-CN"/>
        </w:rPr>
        <w:t>强内涵，坚持五育并举</w:t>
      </w:r>
      <w:bookmarkEnd w:id="8"/>
    </w:p>
    <w:p w14:paraId="306242F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5"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我校坚持内涵发展，全面加强德智体美劳等教育，努力</w:t>
      </w:r>
    </w:p>
    <w:p w14:paraId="7D44BAD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促进学生全面发展，阳光成长。</w:t>
      </w:r>
    </w:p>
    <w:p w14:paraId="6FCE2B65">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640" w:leftChars="0" w:firstLine="0" w:firstLineChars="0"/>
        <w:textAlignment w:val="auto"/>
        <w:outlineLvl w:val="1"/>
        <w:rPr>
          <w:rFonts w:hint="eastAsia" w:ascii="仿宋" w:hAnsi="仿宋" w:eastAsia="仿宋" w:cs="仿宋"/>
          <w:sz w:val="32"/>
          <w:szCs w:val="32"/>
          <w:lang w:val="en-US" w:eastAsia="zh-CN"/>
        </w:rPr>
      </w:pPr>
      <w:bookmarkStart w:id="9" w:name="_Toc11996"/>
      <w:r>
        <w:rPr>
          <w:rFonts w:hint="eastAsia" w:ascii="仿宋" w:hAnsi="仿宋" w:eastAsia="仿宋" w:cs="仿宋"/>
          <w:sz w:val="32"/>
          <w:szCs w:val="32"/>
          <w:lang w:val="en-US" w:eastAsia="zh-CN"/>
        </w:rPr>
        <w:t>努力提升课堂教学质量</w:t>
      </w:r>
      <w:bookmarkEnd w:id="9"/>
    </w:p>
    <w:p w14:paraId="11C8BF2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我们始终要以抓质量为主线，以教研教改促进教师专业成</w:t>
      </w:r>
    </w:p>
    <w:p w14:paraId="31053FF4">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长，打造有效课堂教学模式，努力提升学业成绩。</w:t>
      </w:r>
    </w:p>
    <w:p w14:paraId="137C5951">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63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整合资源，积极开展教研教改。</w:t>
      </w:r>
    </w:p>
    <w:p w14:paraId="3602148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一是支持教师外派学习、培训，充实理论，积累经验；</w:t>
      </w:r>
    </w:p>
    <w:p w14:paraId="6D7BF7FD">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是合理利用网络等资源，提升能力，辅助教学；三是联合研讨，共同成长，积极对接广元尚熙、康乐园送教到园，与柏林小学开展教学交流；四是以微课题为切入口进行农村小班化有效教学模式探索；五是通过实习生指导增强学校教研氛围。</w:t>
      </w:r>
    </w:p>
    <w:p w14:paraId="733AB198">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63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做实常规，扎实过程管理</w:t>
      </w:r>
    </w:p>
    <w:p w14:paraId="2CDAE16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加强教学常规管理，做实教学六认真，通计划、明要求、</w:t>
      </w:r>
    </w:p>
    <w:p w14:paraId="79856087">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严过程，交叉检查，例会公布，逗硬奖惩。学校领导班子带头上主课，坚持推门听课，及时交流，当周整改。以幼儿园为源头，抓实常规，丰富活动，文明礼仪；以小学为主体，规范课堂，丰富课程，深抓习惯；以毕业班为突破口，夯实过程，改进教法，提升效率。</w:t>
      </w:r>
    </w:p>
    <w:p w14:paraId="1C528EB6">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640" w:leftChars="0" w:firstLine="0" w:firstLineChars="0"/>
        <w:textAlignment w:val="auto"/>
        <w:outlineLvl w:val="1"/>
        <w:rPr>
          <w:rFonts w:hint="eastAsia" w:ascii="仿宋" w:hAnsi="仿宋" w:eastAsia="仿宋" w:cs="仿宋"/>
          <w:sz w:val="32"/>
          <w:szCs w:val="32"/>
          <w:lang w:val="en-US" w:eastAsia="zh-CN"/>
        </w:rPr>
      </w:pPr>
      <w:bookmarkStart w:id="10" w:name="_Toc22533"/>
      <w:r>
        <w:rPr>
          <w:rFonts w:hint="eastAsia" w:ascii="仿宋" w:hAnsi="仿宋" w:eastAsia="仿宋" w:cs="仿宋"/>
          <w:sz w:val="32"/>
          <w:szCs w:val="32"/>
          <w:lang w:val="en-US" w:eastAsia="zh-CN"/>
        </w:rPr>
        <w:t>全面落实五项管理和“双减”工作</w:t>
      </w:r>
      <w:bookmarkEnd w:id="10"/>
    </w:p>
    <w:p w14:paraId="2F1A05A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学校严格落实教育部、省市区关于五项管理和“双减”工作</w:t>
      </w:r>
    </w:p>
    <w:p w14:paraId="737E87E4">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要求，结合学校实际，规范教学行为，严守作息时间，严控手机管理，加强心理健康教育。本期，我校主动联系4名实习生，填补了无艺体专业教师的短板。精心组织设计课后延时服务，搞好社团建设，培养学生兴趣特长。认真组织每天的体育锻炼，积极训练，参加了区运动会，开展了秋季运动会。充分发挥农村独特的自然资源优势，利用课余时间研学，带领学生走出教室，走进田野，认识自然的美妙神奇，感受家乡的变化，展望美好未来。加强了音乐、美术等课程学习，并通过每周一花、美文朗诵等全面加强美育。每日扫除、保洁，责任到人，植树种花清淤拔草，校园地开垦、种植等活动全面加强劳动教育。学生全员参与，个个能唱会跳、能写会画，才艺多样展示。</w:t>
      </w:r>
    </w:p>
    <w:p w14:paraId="2673C7D1">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635" w:leftChars="0" w:firstLine="0" w:firstLineChars="0"/>
        <w:textAlignment w:val="auto"/>
        <w:outlineLvl w:val="0"/>
        <w:rPr>
          <w:rFonts w:hint="eastAsia" w:ascii="仿宋" w:hAnsi="仿宋" w:eastAsia="仿宋" w:cs="仿宋"/>
          <w:sz w:val="32"/>
          <w:szCs w:val="32"/>
          <w:lang w:val="en-US" w:eastAsia="zh-CN"/>
        </w:rPr>
      </w:pPr>
      <w:bookmarkStart w:id="11" w:name="_Toc32042"/>
      <w:r>
        <w:rPr>
          <w:rFonts w:hint="eastAsia" w:ascii="仿宋" w:hAnsi="仿宋" w:eastAsia="仿宋" w:cs="仿宋"/>
          <w:sz w:val="32"/>
          <w:szCs w:val="32"/>
          <w:lang w:val="en-US" w:eastAsia="zh-CN"/>
        </w:rPr>
        <w:t>细谋划，努力干好各项工作</w:t>
      </w:r>
      <w:bookmarkEnd w:id="11"/>
    </w:p>
    <w:p w14:paraId="6ABEEBB1">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635" w:leftChars="0"/>
        <w:textAlignment w:val="auto"/>
        <w:outlineLvl w:val="1"/>
        <w:rPr>
          <w:rFonts w:hint="eastAsia" w:ascii="仿宋" w:hAnsi="仿宋" w:eastAsia="仿宋" w:cs="仿宋"/>
          <w:sz w:val="32"/>
          <w:szCs w:val="32"/>
          <w:lang w:val="en-US" w:eastAsia="zh-CN"/>
        </w:rPr>
      </w:pPr>
      <w:bookmarkStart w:id="12" w:name="_Toc17929"/>
      <w:r>
        <w:rPr>
          <w:rFonts w:hint="eastAsia" w:ascii="仿宋" w:hAnsi="仿宋" w:eastAsia="仿宋" w:cs="仿宋"/>
          <w:sz w:val="32"/>
          <w:szCs w:val="32"/>
          <w:lang w:val="en-US" w:eastAsia="zh-CN"/>
        </w:rPr>
        <w:t>搞好疫情常态化防控工作</w:t>
      </w:r>
      <w:bookmarkEnd w:id="12"/>
    </w:p>
    <w:p w14:paraId="2DB5ABA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持续抓好师生疫情防控工作，抓环境卫生整治，消毒消杀，体温监测；坚持校园封闭式管理，严格信息查验；</w:t>
      </w:r>
      <w:r>
        <w:commentReference w:id="0"/>
      </w:r>
      <w:r>
        <w:rPr>
          <w:rFonts w:hint="eastAsia" w:ascii="仿宋" w:hAnsi="仿宋" w:eastAsia="仿宋" w:cs="仿宋"/>
          <w:sz w:val="32"/>
          <w:szCs w:val="32"/>
          <w:lang w:val="en-US" w:eastAsia="zh-CN"/>
        </w:rPr>
        <w:t>疫苗接种工作全面完成，固守一方净土。</w:t>
      </w:r>
    </w:p>
    <w:p w14:paraId="74898E9B">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635" w:leftChars="0" w:firstLine="0" w:firstLineChars="0"/>
        <w:textAlignment w:val="auto"/>
        <w:outlineLvl w:val="1"/>
        <w:rPr>
          <w:rFonts w:hint="eastAsia" w:ascii="仿宋" w:hAnsi="仿宋" w:eastAsia="仿宋" w:cs="仿宋"/>
          <w:sz w:val="32"/>
          <w:szCs w:val="32"/>
          <w:lang w:val="en-US" w:eastAsia="zh-CN"/>
        </w:rPr>
      </w:pPr>
      <w:bookmarkStart w:id="13" w:name="_Toc13301"/>
      <w:r>
        <w:rPr>
          <w:rFonts w:hint="eastAsia" w:ascii="仿宋" w:hAnsi="仿宋" w:eastAsia="仿宋" w:cs="仿宋"/>
          <w:sz w:val="32"/>
          <w:szCs w:val="32"/>
          <w:lang w:val="en-US" w:eastAsia="zh-CN"/>
        </w:rPr>
        <w:t>做实安全维稳工作</w:t>
      </w:r>
      <w:bookmarkEnd w:id="13"/>
    </w:p>
    <w:p w14:paraId="2F5610C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坚守安全第一，全面落实岗位职责，无死角排查整治安全隐患，全方位守护监管，多层面多形式加强安全教育，重要安全处处讲，反复讲，印发告知书，签订责任书，添置硬件，归齐软件。与家长加强政策宣讲，畅通联系网络，广开反馈渠道，主动做好矛盾化解和疑虑解答。</w:t>
      </w:r>
    </w:p>
    <w:p w14:paraId="1BA3668D">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635" w:leftChars="0" w:firstLine="0" w:firstLineChars="0"/>
        <w:textAlignment w:val="auto"/>
        <w:outlineLvl w:val="0"/>
        <w:rPr>
          <w:rFonts w:hint="eastAsia" w:ascii="仿宋" w:hAnsi="仿宋" w:eastAsia="仿宋" w:cs="仿宋"/>
          <w:sz w:val="32"/>
          <w:szCs w:val="32"/>
          <w:lang w:val="en-US" w:eastAsia="zh-CN"/>
        </w:rPr>
      </w:pPr>
      <w:bookmarkStart w:id="14" w:name="_Toc31818"/>
      <w:r>
        <w:rPr>
          <w:rFonts w:hint="eastAsia" w:ascii="仿宋" w:hAnsi="仿宋" w:eastAsia="仿宋" w:cs="仿宋"/>
          <w:sz w:val="32"/>
          <w:szCs w:val="32"/>
          <w:lang w:val="en-US" w:eastAsia="zh-CN"/>
        </w:rPr>
        <w:t>明差距，期许美好未来</w:t>
      </w:r>
      <w:bookmarkEnd w:id="14"/>
    </w:p>
    <w:p w14:paraId="29518251">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635" w:leftChars="0"/>
        <w:textAlignment w:val="auto"/>
        <w:outlineLvl w:val="1"/>
        <w:rPr>
          <w:rFonts w:hint="eastAsia" w:ascii="仿宋" w:hAnsi="仿宋" w:eastAsia="仿宋" w:cs="仿宋"/>
          <w:sz w:val="32"/>
          <w:szCs w:val="32"/>
          <w:lang w:val="en-US" w:eastAsia="zh-CN"/>
        </w:rPr>
      </w:pPr>
      <w:bookmarkStart w:id="15" w:name="_Toc27115"/>
      <w:r>
        <w:rPr>
          <w:rFonts w:hint="eastAsia" w:ascii="仿宋" w:hAnsi="仿宋" w:eastAsia="仿宋" w:cs="仿宋"/>
          <w:sz w:val="32"/>
          <w:szCs w:val="32"/>
          <w:lang w:val="en-US" w:eastAsia="zh-CN"/>
        </w:rPr>
        <w:t>学校教研氛围不浓，力度不够，无市区课题。历</w:t>
      </w:r>
      <w:bookmarkEnd w:id="15"/>
    </w:p>
    <w:p w14:paraId="71EBA761">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年来，学校无教科室负责人，处室工作由教导处代管，因此缺少人力和精力，普遍缺乏理论支撑和实践探索，走的是传统路线，没有创新和改革，没有长远的生命力。</w:t>
      </w:r>
    </w:p>
    <w:p w14:paraId="0B8F57A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（二）社团活动没有特色。虽然开设了几个社团，但因无艺体专业教师，规模太小，很难形成特色和影响力，与兄弟学校差距大。</w:t>
      </w:r>
    </w:p>
    <w:p w14:paraId="004F42C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（三）保生保学困难重重。尽管我们使出浑身解数，学生实现正增长，但随着初中的彻底停办，文柏快速通道和王文路的畅通，场镇常住人口急剧减少，幼儿生源稀缺，加之无幼儿专业教师，稳控形势严峻。</w:t>
      </w:r>
    </w:p>
    <w:p w14:paraId="5FC07AE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outlineLvl w:val="1"/>
        <w:rPr>
          <w:rFonts w:hint="eastAsia" w:ascii="仿宋" w:hAnsi="仿宋" w:eastAsia="仿宋" w:cs="仿宋"/>
          <w:sz w:val="32"/>
          <w:szCs w:val="32"/>
          <w:lang w:val="en-US" w:eastAsia="zh-CN"/>
        </w:rPr>
      </w:pPr>
      <w:bookmarkStart w:id="16" w:name="_Toc5719"/>
      <w:r>
        <w:rPr>
          <w:rFonts w:hint="eastAsia" w:ascii="仿宋" w:hAnsi="仿宋" w:eastAsia="仿宋" w:cs="仿宋"/>
          <w:sz w:val="32"/>
          <w:szCs w:val="32"/>
          <w:lang w:val="en-US" w:eastAsia="zh-CN"/>
        </w:rPr>
        <w:t>（四）学校部分设施老化、破损，亟待维修更换和治理。</w:t>
      </w:r>
      <w:bookmarkEnd w:id="16"/>
    </w:p>
    <w:p w14:paraId="63CDBDE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针对以上存在的问题和不足，我们将严肃对待，精心谋划，全面改进。</w:t>
      </w:r>
    </w:p>
    <w:p w14:paraId="545AB2E4">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强化保生保学工作。扎实开展千名教师访万家活动，包干到人。加强学生关爱和沟通，强化管理、提高质量，最大限度防止生源外流。</w:t>
      </w:r>
    </w:p>
    <w:p w14:paraId="1215029A">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争取艺体专业教师，在现有基础上拓宽视野和范围，大力加强体、美、劳等教育。</w:t>
      </w:r>
    </w:p>
    <w:p w14:paraId="11CBE469">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640"/>
        <w:textAlignment w:val="auto"/>
        <w:outlineLvl w:val="1"/>
        <w:rPr>
          <w:rFonts w:hint="eastAsia" w:ascii="仿宋" w:hAnsi="仿宋" w:eastAsia="仿宋" w:cs="仿宋"/>
          <w:sz w:val="32"/>
          <w:szCs w:val="32"/>
          <w:lang w:val="en-US" w:eastAsia="zh-CN"/>
        </w:rPr>
      </w:pPr>
      <w:bookmarkStart w:id="17" w:name="_Toc5529"/>
      <w:r>
        <w:rPr>
          <w:rFonts w:hint="eastAsia" w:ascii="仿宋" w:hAnsi="仿宋" w:eastAsia="仿宋" w:cs="仿宋"/>
          <w:sz w:val="32"/>
          <w:szCs w:val="32"/>
          <w:lang w:val="en-US" w:eastAsia="zh-CN"/>
        </w:rPr>
        <w:t>千方百计招寻幼儿教师，加强常规管理，做强生源源头。</w:t>
      </w:r>
      <w:bookmarkEnd w:id="17"/>
    </w:p>
    <w:p w14:paraId="20B1848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 w:hAnsi="仿宋" w:eastAsia="仿宋" w:cs="仿宋"/>
          <w:sz w:val="32"/>
          <w:szCs w:val="32"/>
          <w:lang w:val="en-US" w:eastAsia="zh-CN"/>
        </w:rPr>
        <w:t>多方争取筹措资金，维修设施设备，努力改善办学条件，为教育教学的顺利开展提供保障。</w:t>
      </w:r>
    </w:p>
    <w:p w14:paraId="09F9B08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7412"/>
      <w:r>
        <w:rPr>
          <w:rFonts w:hint="eastAsia" w:ascii="黑体" w:hAnsi="黑体" w:eastAsia="黑体" w:cs="黑体"/>
          <w:sz w:val="32"/>
          <w:szCs w:val="32"/>
          <w:lang w:val="en-US" w:eastAsia="zh-CN"/>
        </w:rPr>
        <w:t>二、部门预算单位构成</w:t>
      </w:r>
      <w:bookmarkEnd w:id="18"/>
    </w:p>
    <w:p w14:paraId="32211E1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6DA8142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32623"/>
      <w:r>
        <w:rPr>
          <w:rFonts w:hint="eastAsia" w:ascii="黑体" w:hAnsi="黑体" w:eastAsia="黑体" w:cs="黑体"/>
          <w:sz w:val="32"/>
          <w:szCs w:val="32"/>
          <w:lang w:val="en-US" w:eastAsia="zh-CN"/>
        </w:rPr>
        <w:t>三、收支预算情况说明</w:t>
      </w:r>
      <w:bookmarkEnd w:id="19"/>
    </w:p>
    <w:p w14:paraId="7F8BB6C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文村小学所有收入和支出均纳入部门预算管理。收入包括：一般公共预算拨款收入；支出包括：教育支出。文村小学2025年收支预算总数331.41万元，比2024年收支预算总数减少62.64万元，主要原因是基本支出减少。</w:t>
      </w:r>
    </w:p>
    <w:p w14:paraId="1A9F69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5770"/>
      <w:r>
        <w:rPr>
          <w:rFonts w:hint="eastAsia" w:ascii="楷体_GB2312" w:hAnsi="楷体_GB2312" w:eastAsia="楷体_GB2312" w:cs="楷体_GB2312"/>
          <w:sz w:val="32"/>
          <w:szCs w:val="32"/>
          <w:lang w:val="en-US" w:eastAsia="zh-CN"/>
        </w:rPr>
        <w:t>（一）收入预算情况</w:t>
      </w:r>
      <w:bookmarkEnd w:id="20"/>
    </w:p>
    <w:p w14:paraId="3FD13D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文村小学2025年收入预算331.41万元，其中：一般公共预算拨款收入331.41万元，占100%。</w:t>
      </w:r>
    </w:p>
    <w:p w14:paraId="685B6B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23815"/>
      <w:r>
        <w:rPr>
          <w:rFonts w:hint="eastAsia" w:ascii="楷体_GB2312" w:hAnsi="楷体_GB2312" w:eastAsia="楷体_GB2312" w:cs="楷体_GB2312"/>
          <w:sz w:val="32"/>
          <w:szCs w:val="32"/>
          <w:lang w:val="en-US" w:eastAsia="zh-CN"/>
        </w:rPr>
        <w:t>（二）支出预算情况</w:t>
      </w:r>
      <w:bookmarkEnd w:id="21"/>
    </w:p>
    <w:p w14:paraId="74589C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文村小学2025年支出预算331.41万元，其中：基本支出306.01万元，占92.34%；项目支出25.4万元，占7.66%</w:t>
      </w:r>
      <w:r>
        <w:rPr>
          <w:rFonts w:hint="eastAsia" w:ascii="仿宋_GB2312" w:hAnsi="仿宋_GB2312" w:eastAsia="仿宋_GB2312" w:cs="仿宋_GB2312"/>
          <w:b w:val="0"/>
          <w:bCs w:val="0"/>
          <w:sz w:val="32"/>
          <w:szCs w:val="32"/>
          <w:lang w:val="en-US" w:eastAsia="zh-CN"/>
        </w:rPr>
        <w:t>。</w:t>
      </w:r>
    </w:p>
    <w:p w14:paraId="4378E91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2" w:name="_Toc20437"/>
      <w:r>
        <w:rPr>
          <w:rFonts w:hint="eastAsia" w:ascii="黑体" w:hAnsi="黑体" w:eastAsia="黑体" w:cs="黑体"/>
          <w:sz w:val="32"/>
          <w:szCs w:val="32"/>
          <w:lang w:val="en-US" w:eastAsia="zh-CN"/>
        </w:rPr>
        <w:t>四、财政拨款收支预算情况说明</w:t>
      </w:r>
      <w:bookmarkEnd w:id="22"/>
    </w:p>
    <w:p w14:paraId="3823169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文村小学2025年财政拨款收支预算总数331.41万元，比2024年财政拨款收支预算总数减少62.64万元，主要原因是基本支出减少。</w:t>
      </w:r>
    </w:p>
    <w:p w14:paraId="1973526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收入包括：本年一般公共预算拨款收入331.41万元</w:t>
      </w:r>
      <w:r>
        <w:rPr>
          <w:rFonts w:hint="eastAsia"/>
          <w:lang w:eastAsia="zh-CN"/>
        </w:rPr>
        <w:t>。</w:t>
      </w:r>
      <w:r>
        <w:rPr>
          <w:rFonts w:hint="eastAsia" w:ascii="仿宋_GB2312" w:hAnsi="仿宋_GB2312" w:eastAsia="仿宋_GB2312" w:cs="仿宋_GB2312"/>
          <w:sz w:val="32"/>
          <w:szCs w:val="32"/>
          <w:lang w:val="en-US" w:eastAsia="zh-CN"/>
        </w:rPr>
        <w:t>支出包括：教育支出331.41万元。</w:t>
      </w:r>
    </w:p>
    <w:p w14:paraId="17543D9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3" w:name="_Toc10125"/>
      <w:r>
        <w:rPr>
          <w:rFonts w:hint="eastAsia" w:ascii="黑体" w:hAnsi="黑体" w:eastAsia="黑体" w:cs="黑体"/>
          <w:sz w:val="32"/>
          <w:szCs w:val="32"/>
          <w:lang w:val="en-US" w:eastAsia="zh-CN"/>
        </w:rPr>
        <w:t>五、一般公共预算当年拨款情况说明</w:t>
      </w:r>
      <w:bookmarkEnd w:id="23"/>
    </w:p>
    <w:p w14:paraId="05EFA8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18218"/>
      <w:r>
        <w:rPr>
          <w:rFonts w:hint="eastAsia" w:ascii="楷体_GB2312" w:hAnsi="楷体_GB2312" w:eastAsia="楷体_GB2312" w:cs="楷体_GB2312"/>
          <w:sz w:val="32"/>
          <w:szCs w:val="32"/>
          <w:lang w:val="en-US" w:eastAsia="zh-CN"/>
        </w:rPr>
        <w:t>（一）一般公共预算当年拨款规模变化情况</w:t>
      </w:r>
      <w:bookmarkEnd w:id="24"/>
    </w:p>
    <w:p w14:paraId="50E3728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文村小学2025年一般公共预算当年拨款331.41万元，比2024年预算数减少62.64万元，主要原因是基本支出减少。</w:t>
      </w:r>
    </w:p>
    <w:p w14:paraId="03C2B23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5" w:name="_Toc3704"/>
      <w:r>
        <w:rPr>
          <w:rFonts w:hint="eastAsia" w:ascii="楷体_GB2312" w:hAnsi="楷体_GB2312" w:eastAsia="楷体_GB2312" w:cs="楷体_GB2312"/>
          <w:sz w:val="32"/>
          <w:szCs w:val="32"/>
          <w:lang w:val="en-US" w:eastAsia="zh-CN"/>
        </w:rPr>
        <w:t>（二）一般公共预算当年拨款结构情况</w:t>
      </w:r>
      <w:bookmarkEnd w:id="25"/>
    </w:p>
    <w:p w14:paraId="4F0FBA2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教育支出331.41万元，占100%；</w:t>
      </w:r>
    </w:p>
    <w:p w14:paraId="1187F16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6" w:name="_Toc14031"/>
      <w:r>
        <w:rPr>
          <w:rFonts w:hint="eastAsia" w:ascii="楷体_GB2312" w:hAnsi="楷体_GB2312" w:eastAsia="楷体_GB2312" w:cs="楷体_GB2312"/>
          <w:sz w:val="32"/>
          <w:szCs w:val="32"/>
          <w:lang w:val="en-US" w:eastAsia="zh-CN"/>
        </w:rPr>
        <w:t>（三）一般公共预算当年拨款具体使用情况</w:t>
      </w:r>
      <w:bookmarkEnd w:id="26"/>
    </w:p>
    <w:p w14:paraId="7A25395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类）普通教育（款）小学教育（项）2025年预算数为331.41万元，主要用于：小学教育机构的基本支出，包括基本工资、津贴补贴、基础绩效奖等人员经费以及机构运行所需的办公费、印刷费、维修（护）费、工会经费等运行补助经费。</w:t>
      </w:r>
    </w:p>
    <w:p w14:paraId="10646A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7" w:name="_Toc12532"/>
      <w:r>
        <w:rPr>
          <w:rFonts w:hint="eastAsia" w:ascii="黑体" w:hAnsi="黑体" w:eastAsia="黑体" w:cs="黑体"/>
          <w:sz w:val="32"/>
          <w:szCs w:val="32"/>
          <w:lang w:val="en-US" w:eastAsia="zh-CN"/>
        </w:rPr>
        <w:t>六、一般公共预算基本支出情况说明</w:t>
      </w:r>
      <w:bookmarkEnd w:id="27"/>
    </w:p>
    <w:p w14:paraId="17FD37C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文村小学2025年一般公共预算基本支出306.01万元，其中：</w:t>
      </w:r>
    </w:p>
    <w:p w14:paraId="09D3C83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人员经费306.01万元，主要包括：基本工资、津贴补贴、奖金、绩</w:t>
      </w:r>
      <w:r>
        <w:rPr>
          <w:rFonts w:hint="eastAsia" w:ascii="仿宋_GB2312" w:hAnsi="仿宋_GB2312" w:eastAsia="仿宋_GB2312" w:cs="仿宋_GB2312"/>
          <w:sz w:val="32"/>
          <w:szCs w:val="32"/>
          <w:lang w:val="en-US" w:eastAsia="zh-CN"/>
        </w:rPr>
        <w:t>效工资、社会保险缴费、住房公积金、生活补助、其他社会保障缴费等支出。</w:t>
      </w:r>
    </w:p>
    <w:p w14:paraId="59E859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lang w:val="en-US" w:eastAsia="zh-CN"/>
        </w:rPr>
        <w:t>公用经费0万元。</w:t>
      </w:r>
    </w:p>
    <w:p w14:paraId="6944369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8" w:name="_Toc24381"/>
      <w:r>
        <w:rPr>
          <w:rFonts w:hint="eastAsia" w:ascii="黑体" w:hAnsi="黑体" w:eastAsia="黑体" w:cs="黑体"/>
          <w:sz w:val="32"/>
          <w:szCs w:val="32"/>
          <w:lang w:val="en-US" w:eastAsia="zh-CN"/>
        </w:rPr>
        <w:t>七、“三公”经费财政拨款预算安排情况说明</w:t>
      </w:r>
      <w:bookmarkEnd w:id="28"/>
    </w:p>
    <w:p w14:paraId="676E431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文村小学2025年“三公”经费财政拨款预算数0万元，其中：公务接待费0万元，公务用车购置及运行维护费0万元，因公出国（境）经费0万元。</w:t>
      </w:r>
    </w:p>
    <w:p w14:paraId="1EF3C81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9" w:name="_Toc23464"/>
      <w:r>
        <w:rPr>
          <w:rFonts w:hint="eastAsia" w:ascii="楷体_GB2312" w:hAnsi="楷体_GB2312" w:eastAsia="楷体_GB2312" w:cs="楷体_GB2312"/>
          <w:sz w:val="32"/>
          <w:szCs w:val="32"/>
          <w:lang w:val="en-US" w:eastAsia="zh-CN"/>
        </w:rPr>
        <w:t>（一）公务接待费</w:t>
      </w:r>
      <w:bookmarkEnd w:id="29"/>
    </w:p>
    <w:p w14:paraId="42169CA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77A2DBC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64296A92">
      <w:pPr>
        <w:keepNext w:val="0"/>
        <w:keepLines w:val="0"/>
        <w:pageBreakBefore w:val="0"/>
        <w:widowControl w:val="0"/>
        <w:numPr>
          <w:ilvl w:val="0"/>
          <w:numId w:val="8"/>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0" w:name="_Toc30787"/>
      <w:r>
        <w:rPr>
          <w:rFonts w:hint="eastAsia" w:ascii="楷体_GB2312" w:hAnsi="楷体_GB2312" w:eastAsia="楷体_GB2312" w:cs="楷体_GB2312"/>
          <w:sz w:val="32"/>
          <w:szCs w:val="32"/>
          <w:lang w:val="en-US" w:eastAsia="zh-CN"/>
        </w:rPr>
        <w:t>公务用车购置及运行维护费</w:t>
      </w:r>
      <w:bookmarkEnd w:id="30"/>
    </w:p>
    <w:p w14:paraId="23E6A02D">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530D992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441B6C9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6098CD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5795B56A">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31" w:name="_Toc13770"/>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31"/>
    </w:p>
    <w:p w14:paraId="0854B4D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0E56CF9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2" w:name="_Toc10335"/>
      <w:r>
        <w:rPr>
          <w:rFonts w:hint="eastAsia" w:ascii="黑体" w:hAnsi="黑体" w:eastAsia="黑体" w:cs="黑体"/>
          <w:sz w:val="32"/>
          <w:szCs w:val="32"/>
          <w:lang w:val="en-US" w:eastAsia="zh-CN"/>
        </w:rPr>
        <w:t>八、政府性基金预算支出情况说明</w:t>
      </w:r>
      <w:bookmarkEnd w:id="32"/>
    </w:p>
    <w:p w14:paraId="6F3367D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文村小学2025年无政府性基金预算拨款安排的支出。</w:t>
      </w:r>
    </w:p>
    <w:p w14:paraId="7830B7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3" w:name="_Toc24467"/>
      <w:r>
        <w:rPr>
          <w:rFonts w:hint="eastAsia" w:ascii="黑体" w:hAnsi="黑体" w:eastAsia="黑体" w:cs="黑体"/>
          <w:sz w:val="32"/>
          <w:szCs w:val="32"/>
          <w:lang w:val="en-US" w:eastAsia="zh-CN"/>
        </w:rPr>
        <w:t>九、国有资本经营预算支出情况说明</w:t>
      </w:r>
      <w:bookmarkEnd w:id="33"/>
    </w:p>
    <w:p w14:paraId="3DB3CC2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文村小学2025年无国有资本经营预算拨款安排的支出。</w:t>
      </w:r>
    </w:p>
    <w:p w14:paraId="7D28F68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4" w:name="_Toc7116"/>
      <w:r>
        <w:rPr>
          <w:rFonts w:hint="eastAsia" w:ascii="黑体" w:hAnsi="黑体" w:eastAsia="黑体" w:cs="黑体"/>
          <w:sz w:val="32"/>
          <w:szCs w:val="32"/>
          <w:lang w:val="en-US" w:eastAsia="zh-CN"/>
        </w:rPr>
        <w:t>十、其他重要事项的情况说明</w:t>
      </w:r>
      <w:bookmarkEnd w:id="34"/>
    </w:p>
    <w:p w14:paraId="20B93AC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5" w:name="_Toc21907"/>
      <w:r>
        <w:rPr>
          <w:rFonts w:hint="eastAsia" w:ascii="楷体_GB2312" w:hAnsi="楷体_GB2312" w:eastAsia="楷体_GB2312" w:cs="楷体_GB2312"/>
          <w:sz w:val="32"/>
          <w:szCs w:val="32"/>
          <w:lang w:val="en-US" w:eastAsia="zh-CN"/>
        </w:rPr>
        <w:t>（一）机关运行经费</w:t>
      </w:r>
      <w:bookmarkEnd w:id="35"/>
    </w:p>
    <w:p w14:paraId="40A54CC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0ED15E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6" w:name="_Toc24853"/>
      <w:r>
        <w:rPr>
          <w:rFonts w:hint="eastAsia" w:ascii="楷体_GB2312" w:hAnsi="楷体_GB2312" w:eastAsia="楷体_GB2312" w:cs="楷体_GB2312"/>
          <w:sz w:val="32"/>
          <w:szCs w:val="32"/>
          <w:lang w:val="en-US" w:eastAsia="zh-CN"/>
        </w:rPr>
        <w:t>（二）政府采购情况</w:t>
      </w:r>
      <w:bookmarkEnd w:id="36"/>
    </w:p>
    <w:p w14:paraId="443FF6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2025年，文村小学安排政府采购预算0万元。</w:t>
      </w:r>
    </w:p>
    <w:p w14:paraId="07E53E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7" w:name="_Toc18300"/>
      <w:r>
        <w:rPr>
          <w:rFonts w:hint="eastAsia" w:ascii="楷体_GB2312" w:hAnsi="楷体_GB2312" w:eastAsia="楷体_GB2312" w:cs="楷体_GB2312"/>
          <w:sz w:val="32"/>
          <w:szCs w:val="32"/>
          <w:lang w:val="en-US" w:eastAsia="zh-CN"/>
        </w:rPr>
        <w:t>（三）国有资产占有使用情况</w:t>
      </w:r>
      <w:bookmarkEnd w:id="37"/>
    </w:p>
    <w:p w14:paraId="64ACD84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截至2024年底，文村小学共有车辆0辆，单位无价值200万元以上的大型设备。</w:t>
      </w:r>
    </w:p>
    <w:p w14:paraId="5DA436E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4C5CE8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8" w:name="_Toc7982"/>
      <w:r>
        <w:rPr>
          <w:rFonts w:hint="eastAsia" w:ascii="楷体_GB2312" w:hAnsi="楷体_GB2312" w:eastAsia="楷体_GB2312" w:cs="楷体_GB2312"/>
          <w:sz w:val="32"/>
          <w:szCs w:val="32"/>
          <w:lang w:val="en-US" w:eastAsia="zh-CN"/>
        </w:rPr>
        <w:t>（四）绩效目标设置情况</w:t>
      </w:r>
      <w:bookmarkEnd w:id="38"/>
    </w:p>
    <w:p w14:paraId="77B77B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文村小学开展绩效目标管理的项目XX个，涉及预算331.41万元。其中：人员类项目9个，涉及预算306.01万元；运转类项目3个，涉及预算25.4万元；特定目标类项目0个，涉及预算0万元。因部分项目内容涉密，不予公开。</w:t>
      </w:r>
    </w:p>
    <w:p w14:paraId="0D8A8FA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9" w:name="_Toc18005"/>
      <w:r>
        <w:rPr>
          <w:rFonts w:hint="eastAsia" w:ascii="黑体" w:hAnsi="黑体" w:eastAsia="黑体" w:cs="黑体"/>
          <w:sz w:val="32"/>
          <w:szCs w:val="32"/>
          <w:lang w:val="en-US" w:eastAsia="zh-CN"/>
        </w:rPr>
        <w:t>十一、名词解释</w:t>
      </w:r>
      <w:bookmarkEnd w:id="39"/>
    </w:p>
    <w:p w14:paraId="5600C6B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w:t>
      </w:r>
      <w:bookmarkStart w:id="41" w:name="_GoBack"/>
      <w:bookmarkEnd w:id="41"/>
      <w:r>
        <w:rPr>
          <w:rFonts w:hint="eastAsia" w:ascii="仿宋_GB2312" w:hAnsi="仿宋_GB2312" w:eastAsia="仿宋_GB2312" w:cs="仿宋_GB2312"/>
          <w:sz w:val="32"/>
          <w:szCs w:val="32"/>
          <w:lang w:val="en-US" w:eastAsia="zh-CN"/>
        </w:rPr>
        <w:t>财政当年安排的财政预算收入。按现行管理制度，部门预算中反映的财政拨款包括一般公共预算拨款和政府性基金预算拨款。</w:t>
      </w:r>
    </w:p>
    <w:p w14:paraId="20C3B8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2CE64C0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w:t>
      </w:r>
      <w:r>
        <w:rPr>
          <w:rFonts w:hint="eastAsia"/>
          <w:lang w:eastAsia="zh-CN"/>
        </w:rPr>
        <w:t>，</w:t>
      </w:r>
      <w:r>
        <w:rPr>
          <w:rFonts w:hint="eastAsia" w:ascii="仿宋_GB2312" w:hAnsi="仿宋_GB2312" w:eastAsia="仿宋_GB2312" w:cs="仿宋_GB2312"/>
          <w:sz w:val="32"/>
          <w:szCs w:val="32"/>
          <w:lang w:val="en-US" w:eastAsia="zh-CN"/>
        </w:rPr>
        <w:t>如银行存款利息收入等。</w:t>
      </w:r>
    </w:p>
    <w:p w14:paraId="1EA2A31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14:paraId="17ABCF5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宋体" w:hAnsi="宋体" w:eastAsia="宋体" w:cs="宋体"/>
          <w:sz w:val="24"/>
          <w:szCs w:val="24"/>
        </w:rPr>
      </w:pPr>
      <w:r>
        <w:rPr>
          <w:rFonts w:hint="eastAsia" w:ascii="楷体_GB2312" w:hAnsi="楷体_GB2312" w:eastAsia="楷体_GB2312" w:cs="楷体_GB2312"/>
          <w:sz w:val="32"/>
          <w:szCs w:val="32"/>
          <w:lang w:val="en-US" w:eastAsia="zh-CN"/>
        </w:rPr>
        <w:t>（五）</w:t>
      </w:r>
      <w:r>
        <w:rPr>
          <w:rFonts w:hint="eastAsia" w:ascii="仿宋_GB2312" w:hAnsi="仿宋_GB2312" w:eastAsia="仿宋_GB2312" w:cs="仿宋_GB2312"/>
          <w:sz w:val="32"/>
          <w:szCs w:val="32"/>
          <w:lang w:val="en-US" w:eastAsia="zh-CN"/>
        </w:rPr>
        <w:t>教育支出（类）普通教育（款）小学教育（项）：指小学教育发展的基本支出，包括基本工资、津贴补贴等人员经费以及办公费、印刷费、水电费等日常公用经费。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（六）社会保障和就业（类）行政事业单位养老支出（款）机关事业单位基本养老保险缴费支出（项）：指部门实施养老保险制度由单位缴纳的养老保险费的支出。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（七）社会保障和就业（类）行政事业单位养老支出（款）机关事业单位职业年金缴费支出（项）：指部门实施养老保险制度由单位缴纳的职业年金的支出。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（八）卫生健康（类）行政事业单位医疗（款）事业单位医疗（项）：指事业单位用于单位应缴纳基本医疗保险支出。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（九）住房保障（类）住房改革支出（款）住房公积金（项）：指按照《住房公积金管理条例》的规定，由单位及其在职职工缴存的长期住房储金。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（十）基本支出：指为保证机构正常运转，完成日常工作任务而发生的人员支出和公用支出。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（十一）项目支出：指在基本支出之外为完成特定行政任务和事业发展目标所发生的支出。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十二）“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4F8496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532DB0A1">
      <w:pPr>
        <w:keepNext w:val="0"/>
        <w:keepLines w:val="0"/>
        <w:pageBreakBefore w:val="0"/>
        <w:widowControl w:val="0"/>
        <w:numPr>
          <w:ilvl w:val="0"/>
          <w:numId w:val="9"/>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40" w:name="_Toc6495"/>
      <w:r>
        <w:rPr>
          <w:rFonts w:hint="eastAsia" w:ascii="仿宋_GB2312" w:hAnsi="仿宋_GB2312" w:eastAsia="仿宋_GB2312" w:cs="仿宋_GB2312"/>
          <w:sz w:val="32"/>
          <w:szCs w:val="32"/>
          <w:lang w:val="en-US" w:eastAsia="zh-CN"/>
        </w:rPr>
        <w:t>单位预算项目绩效目标表</w:t>
      </w:r>
      <w:bookmarkEnd w:id="40"/>
    </w:p>
    <w:p w14:paraId="69B2D869">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5" w:type="default"/>
      <w:pgSz w:w="11906" w:h="16838"/>
      <w:pgMar w:top="2098" w:right="1474" w:bottom="1984" w:left="1587" w:header="720" w:footer="1559"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8:01:04Z" w:initials="UC">
    <w:p w14:paraId="00989686">
      <w:r>
        <w:rPr>
          <w:color w:val="FF0000"/>
        </w:rPr>
        <w:t>错敏词:</w:t>
      </w:r>
      <w:r>
        <w:t>接种</w:t>
      </w:r>
    </w:p>
    <w:p w14:paraId="00989687">
      <w:r>
        <w:rPr>
          <w:color w:val="FF0000"/>
        </w:rPr>
        <w:t>推荐修改:</w:t>
      </w:r>
      <w:r>
        <w:t xml:space="preserve"> 建议删除</w:t>
      </w:r>
    </w:p>
    <w:p w14:paraId="00989688">
      <w:r>
        <w:rPr>
          <w:color w:val="FF0000"/>
        </w:rPr>
        <w:t>问题类型:</w:t>
      </w:r>
      <w:r>
        <w:t>自定义禁用词</w:t>
      </w:r>
    </w:p>
    <w:p w14:paraId="00989689">
      <w:r>
        <w:rPr>
          <w:color w:val="FF0000"/>
        </w:rPr>
        <w:t>严重程度:</w:t>
      </w:r>
      <w:r>
        <w:t>严重</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2AF8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2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7F667B8B">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BRJNjQ/gEAAAAEAAAOAAAAAAAAAAEAIAAAAB8BAABkcnMvZTJvRG9jLnht&#10;bFBLBQYAAAAABgAGAFkBAACPBQAAAAA=&#10;">
              <v:fill on="f" focussize="0,0"/>
              <v:stroke on="f"/>
              <v:imagedata o:title=""/>
              <o:lock v:ext="edit" aspectratio="f"/>
              <v:textbox inset="0mm,0mm,0mm,0mm" style="mso-fit-shape-to-text:t;">
                <w:txbxContent>
                  <w:p w14:paraId="7F667B8B">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1B2014"/>
    <w:multiLevelType w:val="singleLevel"/>
    <w:tmpl w:val="9C1B2014"/>
    <w:lvl w:ilvl="0" w:tentative="0">
      <w:start w:val="1"/>
      <w:numFmt w:val="chineseCounting"/>
      <w:suff w:val="nothing"/>
      <w:lvlText w:val="（%1）"/>
      <w:lvlJc w:val="left"/>
      <w:rPr>
        <w:rFonts w:hint="eastAsia"/>
      </w:rPr>
    </w:lvl>
  </w:abstractNum>
  <w:abstractNum w:abstractNumId="1">
    <w:nsid w:val="A79DD57D"/>
    <w:multiLevelType w:val="singleLevel"/>
    <w:tmpl w:val="A79DD57D"/>
    <w:lvl w:ilvl="0" w:tentative="0">
      <w:start w:val="1"/>
      <w:numFmt w:val="chineseCounting"/>
      <w:suff w:val="nothing"/>
      <w:lvlText w:val="（%1）"/>
      <w:lvlJc w:val="left"/>
      <w:pPr>
        <w:ind w:left="640" w:firstLine="0"/>
      </w:pPr>
      <w:rPr>
        <w:rFonts w:hint="eastAsia"/>
      </w:rPr>
    </w:lvl>
  </w:abstractNum>
  <w:abstractNum w:abstractNumId="2">
    <w:nsid w:val="D7D7559B"/>
    <w:multiLevelType w:val="singleLevel"/>
    <w:tmpl w:val="D7D7559B"/>
    <w:lvl w:ilvl="0" w:tentative="0">
      <w:start w:val="1"/>
      <w:numFmt w:val="chineseCounting"/>
      <w:suff w:val="nothing"/>
      <w:lvlText w:val="（%1）"/>
      <w:lvlJc w:val="left"/>
      <w:rPr>
        <w:rFonts w:hint="eastAsia"/>
      </w:rPr>
    </w:lvl>
  </w:abstractNum>
  <w:abstractNum w:abstractNumId="3">
    <w:nsid w:val="E9C90011"/>
    <w:multiLevelType w:val="singleLevel"/>
    <w:tmpl w:val="E9C90011"/>
    <w:lvl w:ilvl="0" w:tentative="0">
      <w:start w:val="2"/>
      <w:numFmt w:val="decimal"/>
      <w:lvlText w:val="%1."/>
      <w:lvlJc w:val="left"/>
      <w:pPr>
        <w:tabs>
          <w:tab w:val="left" w:pos="312"/>
        </w:tabs>
        <w:ind w:left="1600" w:leftChars="0" w:firstLine="0" w:firstLineChars="0"/>
      </w:pPr>
    </w:lvl>
  </w:abstractNum>
  <w:abstractNum w:abstractNumId="4">
    <w:nsid w:val="04517071"/>
    <w:multiLevelType w:val="singleLevel"/>
    <w:tmpl w:val="04517071"/>
    <w:lvl w:ilvl="0" w:tentative="0">
      <w:start w:val="1"/>
      <w:numFmt w:val="chineseCounting"/>
      <w:suff w:val="nothing"/>
      <w:lvlText w:val="%1、"/>
      <w:lvlJc w:val="left"/>
      <w:pPr>
        <w:ind w:left="635" w:firstLine="0"/>
      </w:pPr>
      <w:rPr>
        <w:rFonts w:hint="eastAsia"/>
      </w:rPr>
    </w:lvl>
  </w:abstractNum>
  <w:abstractNum w:abstractNumId="5">
    <w:nsid w:val="28E0AC08"/>
    <w:multiLevelType w:val="singleLevel"/>
    <w:tmpl w:val="28E0AC08"/>
    <w:lvl w:ilvl="0" w:tentative="0">
      <w:start w:val="2"/>
      <w:numFmt w:val="chineseCounting"/>
      <w:suff w:val="nothing"/>
      <w:lvlText w:val="（%1）"/>
      <w:lvlJc w:val="left"/>
      <w:rPr>
        <w:rFonts w:hint="eastAsia"/>
      </w:rPr>
    </w:lvl>
  </w:abstractNum>
  <w:abstractNum w:abstractNumId="6">
    <w:nsid w:val="51458B33"/>
    <w:multiLevelType w:val="singleLevel"/>
    <w:tmpl w:val="51458B33"/>
    <w:lvl w:ilvl="0" w:tentative="0">
      <w:start w:val="1"/>
      <w:numFmt w:val="chineseCounting"/>
      <w:suff w:val="nothing"/>
      <w:lvlText w:val="（%1）"/>
      <w:lvlJc w:val="left"/>
      <w:rPr>
        <w:rFonts w:hint="eastAsia"/>
      </w:rPr>
    </w:lvl>
  </w:abstractNum>
  <w:abstractNum w:abstractNumId="7">
    <w:nsid w:val="57EAC733"/>
    <w:multiLevelType w:val="singleLevel"/>
    <w:tmpl w:val="57EAC733"/>
    <w:lvl w:ilvl="0" w:tentative="0">
      <w:start w:val="1"/>
      <w:numFmt w:val="decimal"/>
      <w:suff w:val="nothing"/>
      <w:lvlText w:val="%1、"/>
      <w:lvlJc w:val="left"/>
      <w:pPr>
        <w:ind w:left="630" w:firstLine="0"/>
      </w:pPr>
    </w:lvl>
  </w:abstractNum>
  <w:abstractNum w:abstractNumId="8">
    <w:nsid w:val="7186ED46"/>
    <w:multiLevelType w:val="singleLevel"/>
    <w:tmpl w:val="7186ED46"/>
    <w:lvl w:ilvl="0" w:tentative="0">
      <w:start w:val="1"/>
      <w:numFmt w:val="chineseCounting"/>
      <w:suff w:val="nothing"/>
      <w:lvlText w:val="（%1）"/>
      <w:lvlJc w:val="left"/>
      <w:pPr>
        <w:ind w:left="630" w:firstLine="0"/>
      </w:pPr>
      <w:rPr>
        <w:rFonts w:hint="eastAsia"/>
      </w:rPr>
    </w:lvl>
  </w:abstractNum>
  <w:num w:numId="1">
    <w:abstractNumId w:val="4"/>
  </w:num>
  <w:num w:numId="2">
    <w:abstractNumId w:val="8"/>
  </w:num>
  <w:num w:numId="3">
    <w:abstractNumId w:val="1"/>
  </w:num>
  <w:num w:numId="4">
    <w:abstractNumId w:val="7"/>
  </w:num>
  <w:num w:numId="5">
    <w:abstractNumId w:val="2"/>
  </w:num>
  <w:num w:numId="6">
    <w:abstractNumId w:val="0"/>
  </w:num>
  <w:num w:numId="7">
    <w:abstractNumId w:val="6"/>
  </w:num>
  <w:num w:numId="8">
    <w:abstractNumId w:val="5"/>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23FD650C"/>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autoRedefine/>
    <w:qFormat/>
    <w:uiPriority w:val="0"/>
  </w:style>
  <w:style w:type="paragraph" w:styleId="7">
    <w:name w:val="Normal (Web)"/>
    <w:basedOn w:val="1"/>
    <w:autoRedefine/>
    <w:qFormat/>
    <w:uiPriority w:val="0"/>
    <w:rPr>
      <w:sz w:val="24"/>
    </w:rPr>
  </w:style>
  <w:style w:type="table" w:styleId="9">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1">
    <w:name w:val="默认段落字体1"/>
    <w:autoRedefine/>
    <w:qFormat/>
    <w:uiPriority w:val="0"/>
  </w:style>
  <w:style w:type="paragraph" w:customStyle="1" w:styleId="12">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autoRedefine/>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5105</Words>
  <Characters>5317</Characters>
  <TotalTime>1</TotalTime>
  <ScaleCrop>false</ScaleCrop>
  <LinksUpToDate>false</LinksUpToDate>
  <CharactersWithSpaces>5405</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2025-02-15T05:26:04Z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409143EAB8C44BCB872076AF088AA8AA_13</vt:lpwstr>
  </property>
  <property fmtid="{D5CDD505-2E9C-101B-9397-08002B2CF9AE}" pid="4" name="KSOTemplateDocerSaveRecord">
    <vt:lpwstr>eyJoZGlkIjoiOTlhNTlmMWMwY2NkZGNhOTM0ZTIzOTMwM2UwMjVlYzgiLCJ1c2VySWQiOiI2MDAwNDk2NTIifQ==</vt:lpwstr>
  </property>
</Properties>
</file>