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61C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Saturday Sans Regular" w:hAnsi="Saturday Sans Regular" w:eastAsia="Saturday Sans Regular" w:cs="Saturday Sans Regular"/>
          <w:b w:val="0"/>
          <w:bCs w:val="0"/>
          <w:i w:val="0"/>
          <w:caps w:val="0"/>
          <w:color w:val="000000" w:themeColor="text1"/>
          <w:spacing w:val="0"/>
          <w:sz w:val="44"/>
          <w:szCs w:val="44"/>
          <w:highlight w:val="none"/>
          <w:lang w:val="en-US"/>
          <w14:textFill>
            <w14:solidFill>
              <w14:schemeClr w14:val="tx1"/>
            </w14:solidFill>
          </w14:textFill>
        </w:rPr>
      </w:pPr>
      <w:bookmarkStart w:id="0" w:name="_Toc32585"/>
      <w:bookmarkStart w:id="1" w:name="_Toc23617"/>
      <w:bookmarkStart w:id="2" w:name="_Toc4923"/>
      <w:bookmarkStart w:id="3" w:name="_Toc2323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广元市昭化区王家镇小学</w:t>
      </w:r>
      <w:bookmarkEnd w:id="0"/>
      <w:bookmarkEnd w:id="1"/>
      <w:bookmarkEnd w:id="2"/>
      <w:bookmarkEnd w:id="3"/>
    </w:p>
    <w:p w14:paraId="09FE8DE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62C0FA2F">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807"/>
        <w15:color w:val="DBDBDB"/>
        <w:docPartObj>
          <w:docPartGallery w:val="Table of Contents"/>
          <w:docPartUnique/>
        </w:docPartObj>
      </w:sdtPr>
      <w:sdtEndPr>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bidi="ar-SA"/>
          <w14:textFill>
            <w14:solidFill>
              <w14:schemeClr w14:val="tx1"/>
            </w14:solidFill>
          </w14:textFill>
        </w:rPr>
      </w:sdtEndPr>
      <w:sdtContent>
        <w:p w14:paraId="0EC52C51">
          <w:pPr>
            <w:spacing w:before="0" w:beforeLines="0" w:after="0" w:afterLines="0" w:line="240" w:lineRule="auto"/>
            <w:ind w:left="0" w:leftChars="0" w:right="0" w:rightChars="0" w:firstLine="0" w:firstLineChars="0"/>
            <w:jc w:val="center"/>
          </w:pPr>
          <w:bookmarkStart w:id="47" w:name="_GoBack"/>
          <w:bookmarkEnd w:id="47"/>
        </w:p>
        <w:p w14:paraId="50A2600A">
          <w:pPr>
            <w:pStyle w:val="6"/>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TOC \o "1-2" \h \u</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fldChar w:fldCharType="begin"/>
          </w:r>
          <w:r>
            <w:instrText xml:space="preserve"> HYPERLINK \l "_Toc20905" </w:instrText>
          </w:r>
          <w:r>
            <w:fldChar w:fldCharType="separate"/>
          </w:r>
          <w:r>
            <w:rPr>
              <w:rFonts w:hint="eastAsia" w:ascii="仿宋_GB2312" w:hAnsi="仿宋_GB2312" w:eastAsia="仿宋_GB2312" w:cs="仿宋_GB2312"/>
              <w:sz w:val="32"/>
              <w:szCs w:val="32"/>
              <w:lang w:val="en-US" w:eastAsia="zh-CN"/>
            </w:rPr>
            <w:t>一、基本职能及主要工作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3C0DF9A">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"_Toc23661" </w:instrText>
          </w:r>
          <w: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_Toc23661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5F1EF57">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"_Toc30354" </w:instrText>
          </w:r>
          <w: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5AD3374">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"_Toc7874" </w:instrText>
          </w:r>
          <w:r>
            <w:fldChar w:fldCharType="separate"/>
          </w:r>
          <w:r>
            <w:rPr>
              <w:rFonts w:hint="eastAsia" w:ascii="仿宋_GB2312" w:hAnsi="仿宋_GB2312" w:eastAsia="仿宋_GB2312" w:cs="仿宋_GB2312"/>
              <w:sz w:val="32"/>
              <w:szCs w:val="32"/>
              <w:lang w:val="en-US" w:eastAsia="zh-CN"/>
            </w:rPr>
            <w:t>二、部门预算单位构成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704C052">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"_Toc4233" </w:instrText>
          </w:r>
          <w:r>
            <w:fldChar w:fldCharType="separate"/>
          </w:r>
          <w:r>
            <w:rPr>
              <w:rFonts w:hint="eastAsia" w:ascii="仿宋_GB2312" w:hAnsi="仿宋_GB2312" w:eastAsia="仿宋_GB2312" w:cs="仿宋_GB2312"/>
              <w:sz w:val="32"/>
              <w:szCs w:val="32"/>
              <w:lang w:val="en-US" w:eastAsia="zh-CN"/>
            </w:rPr>
            <w:t>三、收支预算情况说明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D79F98B">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"_Toc20897" </w:instrText>
          </w:r>
          <w: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_Toc20897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C0B95E3">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"_Toc2754" </w:instrText>
          </w:r>
          <w: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3FE7D75">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"_Toc27405" </w:instrText>
          </w:r>
          <w:r>
            <w:fldChar w:fldCharType="separate"/>
          </w:r>
          <w:r>
            <w:rPr>
              <w:rFonts w:hint="eastAsia" w:ascii="仿宋_GB2312" w:hAnsi="仿宋_GB2312" w:eastAsia="仿宋_GB2312" w:cs="仿宋_GB2312"/>
              <w:sz w:val="32"/>
              <w:szCs w:val="32"/>
              <w:lang w:val="en-US" w:eastAsia="zh-CN"/>
            </w:rPr>
            <w:t>四、财政拨款收支预算情况说明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_Toc27405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EAD42C8">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"_Toc25685" </w:instrText>
          </w:r>
          <w:r>
            <w:fldChar w:fldCharType="separate"/>
          </w:r>
          <w:r>
            <w:rPr>
              <w:rFonts w:hint="eastAsia" w:ascii="仿宋_GB2312" w:hAnsi="仿宋_GB2312" w:eastAsia="仿宋_GB2312" w:cs="仿宋_GB2312"/>
              <w:sz w:val="32"/>
              <w:szCs w:val="32"/>
              <w:lang w:val="en-US" w:eastAsia="zh-CN"/>
            </w:rPr>
            <w:t>五、一般公共预算当年拨款情况说明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_Toc25685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046BDA8">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"_Toc12918" </w:instrText>
          </w:r>
          <w: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7AB8451">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"_Toc16599" </w:instrText>
          </w:r>
          <w: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_Toc16599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2B7A6DB">
          <w:pPr>
            <w:pStyle w:val="8"/>
            <w:tabs>
              <w:tab w:val="right" w:leader="dot" w:pos="8845"/>
            </w:tabs>
            <w:rPr>
              <w:rFonts w:hint="eastAsia" w:ascii="仿宋_GB2312" w:hAnsi="仿宋_GB2312" w:eastAsia="仿宋_GB2312" w:cs="仿宋_GB2312"/>
              <w:sz w:val="32"/>
              <w:szCs w:val="32"/>
            </w:rPr>
          </w:pPr>
          <w:r>
            <w:fldChar w:fldCharType="begin"/>
          </w:r>
          <w:r>
            <w:instrText xml:space="preserve"> HYPERLINK \l "_Toc30557" </w:instrText>
          </w:r>
          <w:r>
            <w:fldChar w:fldCharType="separate"/>
          </w:r>
          <w:r>
            <w:rPr>
              <w:rFonts w:hint="eastAsia" w:ascii="仿宋_GB2312" w:hAnsi="仿宋_GB2312" w:eastAsia="仿宋_GB2312" w:cs="仿宋_GB2312"/>
              <w:sz w:val="32"/>
              <w:szCs w:val="32"/>
              <w:lang w:val="en-US" w:eastAsia="zh-CN"/>
            </w:rPr>
            <w:t>（三） 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_Toc30557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1616949">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"_Toc2813" </w:instrText>
          </w:r>
          <w:r>
            <w:fldChar w:fldCharType="separate"/>
          </w:r>
          <w:r>
            <w:rPr>
              <w:rFonts w:hint="eastAsia" w:ascii="仿宋_GB2312" w:hAnsi="仿宋_GB2312" w:eastAsia="仿宋_GB2312" w:cs="仿宋_GB2312"/>
              <w:sz w:val="32"/>
              <w:szCs w:val="32"/>
              <w:lang w:val="en-US" w:eastAsia="zh-CN"/>
            </w:rPr>
            <w:t>六、一般公共预算基本支出情况说明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D69F56">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"_Toc22001" </w:instrText>
          </w:r>
          <w:r>
            <w:fldChar w:fldCharType="separate"/>
          </w:r>
          <w:r>
            <w:rPr>
              <w:rFonts w:hint="eastAsia" w:ascii="仿宋_GB2312" w:hAnsi="仿宋_GB2312" w:eastAsia="仿宋_GB2312" w:cs="仿宋_GB2312"/>
              <w:sz w:val="32"/>
              <w:szCs w:val="32"/>
              <w:lang w:val="en-US" w:eastAsia="zh-CN"/>
            </w:rPr>
            <w:t>七、“三公”经费财政拨款预算安排情况说明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_Toc22001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8787C7B">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"_Toc3139" </w:instrText>
          </w:r>
          <w:r>
            <w:fldChar w:fldCharType="separate"/>
          </w:r>
          <w:r>
            <w:rPr>
              <w:rFonts w:hint="eastAsia" w:ascii="仿宋_GB2312" w:hAnsi="仿宋_GB2312" w:eastAsia="仿宋_GB2312" w:cs="仿宋_GB2312"/>
              <w:sz w:val="32"/>
              <w:szCs w:val="32"/>
              <w:lang w:val="en-US" w:eastAsia="zh-CN"/>
            </w:rPr>
            <w:t>八、政府性基金预算支出情况说明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D04D3F3">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"_Toc1566" </w:instrText>
          </w:r>
          <w:r>
            <w:fldChar w:fldCharType="separate"/>
          </w:r>
          <w:r>
            <w:rPr>
              <w:rFonts w:hint="eastAsia" w:ascii="仿宋_GB2312" w:hAnsi="仿宋_GB2312" w:eastAsia="仿宋_GB2312" w:cs="仿宋_GB2312"/>
              <w:sz w:val="32"/>
              <w:szCs w:val="32"/>
              <w:lang w:val="en-US" w:eastAsia="zh-CN"/>
            </w:rPr>
            <w:t>九、国有资本经营预算支出情况说明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A1D898C">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"_Toc7154" </w:instrText>
          </w:r>
          <w:r>
            <w:fldChar w:fldCharType="separate"/>
          </w:r>
          <w:r>
            <w:rPr>
              <w:rFonts w:hint="eastAsia" w:ascii="仿宋_GB2312" w:hAnsi="仿宋_GB2312" w:eastAsia="仿宋_GB2312" w:cs="仿宋_GB2312"/>
              <w:sz w:val="32"/>
              <w:szCs w:val="32"/>
              <w:lang w:val="en-US" w:eastAsia="zh-CN"/>
            </w:rPr>
            <w:t>十、其他重要事项的情况说明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_Toc7154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FD8CD49">
          <w:pPr>
            <w:pStyle w:val="6"/>
            <w:tabs>
              <w:tab w:val="right" w:leader="dot" w:pos="8845"/>
            </w:tabs>
            <w:rPr>
              <w:rFonts w:hint="eastAsia" w:ascii="仿宋_GB2312" w:hAnsi="仿宋_GB2312" w:eastAsia="仿宋_GB2312" w:cs="仿宋_GB2312"/>
              <w:sz w:val="32"/>
              <w:szCs w:val="32"/>
            </w:rPr>
          </w:pPr>
          <w:r>
            <w:fldChar w:fldCharType="begin"/>
          </w:r>
          <w:r>
            <w:instrText xml:space="preserve"> HYPERLINK \l "_Toc25030" </w:instrText>
          </w:r>
          <w:r>
            <w:fldChar w:fldCharType="separate"/>
          </w:r>
          <w:r>
            <w:rPr>
              <w:rFonts w:hint="eastAsia" w:ascii="仿宋_GB2312" w:hAnsi="仿宋_GB2312" w:eastAsia="仿宋_GB2312" w:cs="仿宋_GB2312"/>
              <w:sz w:val="32"/>
              <w:szCs w:val="32"/>
              <w:lang w:val="en-US" w:eastAsia="zh-CN"/>
            </w:rPr>
            <w:t>十一、名词解释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_Toc25030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7789096">
          <w:pPr>
            <w:pStyle w:val="8"/>
            <w:tabs>
              <w:tab w:val="right" w:leader="dot" w:pos="8845"/>
            </w:tabs>
            <w:rPr>
              <w:rFonts w:hint="eastAsia" w:ascii="仿宋_GB2312" w:hAnsi="仿宋_GB2312" w:eastAsia="仿宋_GB2312" w:cs="仿宋_GB2312"/>
              <w:sz w:val="32"/>
              <w:szCs w:val="32"/>
            </w:rPr>
          </w:pPr>
        </w:p>
        <w:p w14:paraId="2E9C8E32">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sdtContent>
    </w:sdt>
    <w:p w14:paraId="00A391C3">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1C74F7AF">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4C6D40E7">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657E3885">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70F1BB4F">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1FE05553">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7541AD1A">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3ED2F265">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17909D98">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6F14E50C">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00080865">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15B7F1D2">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2A1E99D1">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3F29CE04">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2ABEB13D">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1404476F">
      <w:pPr>
        <w:pStyle w:val="16"/>
        <w:tabs>
          <w:tab w:val="right" w:leader="dot" w:pos="8845"/>
        </w:tabs>
        <w:rPr>
          <w:rFonts w:hint="eastAsia" w:ascii="仿宋_GB2312" w:hAnsi="仿宋_GB2312" w:eastAsia="仿宋_GB2312" w:cs="仿宋_GB2312"/>
          <w:b/>
          <w:i w:val="0"/>
          <w:caps w:val="0"/>
          <w:color w:val="000000" w:themeColor="text1"/>
          <w:spacing w:val="0"/>
          <w:kern w:val="0"/>
          <w:sz w:val="32"/>
          <w:szCs w:val="32"/>
          <w:highlight w:val="none"/>
          <w:shd w:val="clear" w:color="auto" w:fill="FFFFFF"/>
          <w:lang w:val="en-US" w:eastAsia="zh-CN"/>
          <w14:textFill>
            <w14:solidFill>
              <w14:schemeClr w14:val="tx1"/>
            </w14:solidFill>
          </w14:textFill>
        </w:rPr>
      </w:pPr>
    </w:p>
    <w:p w14:paraId="741B6709">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0"/>
        <w:rPr>
          <w:rFonts w:hint="eastAsia" w:ascii="黑体" w:hAnsi="黑体" w:eastAsia="黑体" w:cs="黑体"/>
          <w:sz w:val="32"/>
          <w:szCs w:val="32"/>
        </w:rPr>
      </w:pPr>
      <w:bookmarkStart w:id="4" w:name="_Toc20905"/>
      <w:r>
        <w:rPr>
          <w:rFonts w:hint="eastAsia" w:ascii="黑体" w:hAnsi="黑体" w:eastAsia="黑体" w:cs="黑体"/>
          <w:sz w:val="32"/>
          <w:szCs w:val="32"/>
          <w:lang w:val="en-US" w:eastAsia="zh-CN"/>
        </w:rPr>
        <w:t>一、基本职能及主要工作</w:t>
      </w:r>
      <w:bookmarkEnd w:id="4"/>
    </w:p>
    <w:p w14:paraId="2E90B8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2366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5"/>
    </w:p>
    <w:p w14:paraId="41C3A4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674C53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6D778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3697B1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5ADD77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5A7CE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2EFB17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7.负责依法制定本校教师及其他职工聘任制度，实施包括奖励、处分在内的具体管理活动。</w:t>
      </w:r>
    </w:p>
    <w:p w14:paraId="2CD23D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0D4068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3AB2A4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4452E9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155344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7547A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3035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6"/>
    </w:p>
    <w:p w14:paraId="1586DD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1.</w:t>
      </w:r>
      <w:r>
        <w:rPr>
          <w:rFonts w:hint="default" w:ascii="Times New Roman" w:hAnsi="Times New Roman" w:eastAsia="仿宋_GB2312" w:cs="Times New Roman"/>
          <w:sz w:val="32"/>
          <w:szCs w:val="40"/>
        </w:rPr>
        <w:t>坚持德育为首，切实加强学生的养成教育。认真开展对学生进行思想、政治、道德、学科、法制、美育和心理教育。还要对学生进行理想信念教育、民族精神教育、养成教育、诚信教育、文明礼仪教育等。促进我校校风、班风、学风建设，进一步促进我校德育工作的规范化和制度化，为更好地培养有理想、有文化、有纪律的在德、智、体、美、劳全面发展的社会主义事业，建设者和接班人打下良好的基础。一要继续组织学生学习社会主义核心价值观的活动，开展知荣辱树新风教育活动。二要上好道德与法治课，并组织学生深入学习《小学生日常行为规范</w:t>
      </w:r>
      <w:r>
        <w:rPr>
          <w:rFonts w:hint="eastAsia"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小学生守则》，做到要熟记于心，切实纠正学风不正。三要加强法制教育。组织学生学习《</w:t>
      </w:r>
      <w:r>
        <w:rPr>
          <w:rFonts w:hint="eastAsia" w:ascii="Times New Roman" w:hAnsi="Times New Roman" w:eastAsia="仿宋_GB2312" w:cs="Times New Roman"/>
          <w:sz w:val="32"/>
          <w:szCs w:val="40"/>
          <w:lang w:eastAsia="zh-CN"/>
        </w:rPr>
        <w:t>中华人民共和国义务教育法》《中华人民共和国未成年人保护法》《中华人民共和国预防未成年人犯罪法</w:t>
      </w:r>
      <w:r>
        <w:rPr>
          <w:rFonts w:hint="default" w:ascii="Times New Roman" w:hAnsi="Times New Roman" w:eastAsia="仿宋_GB2312" w:cs="Times New Roman"/>
          <w:sz w:val="32"/>
          <w:szCs w:val="40"/>
        </w:rPr>
        <w:t>》等。要从正反两面教育，从典型事例入手让学生从小就懂法、爱法、守法和自觉抵制社会不良现象的影响和侵蚀。四要继续加强班务管理力度。各班主任要制订好班主任工作计划、做到有计划、有目的、有措施、要抓好落实</w:t>
      </w:r>
      <w:r>
        <w:rPr>
          <w:rFonts w:hint="default"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 xml:space="preserve">全面贯彻党和国家的教育方针，严格执行课程计划，开齐开足各类课程，确保教育质量，科学安排学生在校活动及作息时间。做到教书育人、管理育人、服务育人。  </w:t>
      </w:r>
    </w:p>
    <w:p w14:paraId="5B85E2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2.</w:t>
      </w:r>
      <w:r>
        <w:rPr>
          <w:rFonts w:hint="default" w:ascii="Times New Roman" w:hAnsi="Times New Roman" w:eastAsia="仿宋_GB2312" w:cs="Times New Roman"/>
          <w:sz w:val="32"/>
          <w:szCs w:val="40"/>
        </w:rPr>
        <w:t>加强学习交流，塑造教师形象</w:t>
      </w:r>
      <w:r>
        <w:rPr>
          <w:rFonts w:hint="default"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学校将充分安排好每周教师的学习和交流活动，提 高教师师德修养和依法执教、文明从教、科学施教的意识，规范教师的教育行为和工作方式</w:t>
      </w:r>
      <w:r>
        <w:rPr>
          <w:rFonts w:hint="eastAsia"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通过教务处组织的科研理论知识讲座和研讨交流活动，促进教师科研理论素养，提高教师的学习意识，在教学中能积极</w:t>
      </w:r>
      <w:r>
        <w:rPr>
          <w:rFonts w:hint="eastAsia" w:ascii="Times New Roman" w:hAnsi="Times New Roman" w:eastAsia="仿宋_GB2312" w:cs="Times New Roman"/>
          <w:sz w:val="32"/>
          <w:szCs w:val="40"/>
          <w:lang w:eastAsia="zh-CN"/>
        </w:rPr>
        <w:t>运用</w:t>
      </w:r>
      <w:r>
        <w:rPr>
          <w:rFonts w:hint="default" w:ascii="Times New Roman" w:hAnsi="Times New Roman" w:eastAsia="仿宋_GB2312" w:cs="Times New Roman"/>
          <w:sz w:val="32"/>
          <w:szCs w:val="40"/>
        </w:rPr>
        <w:t xml:space="preserve">新课程的理念指导自己的教学行为，促进教师专业发展。  </w:t>
      </w:r>
    </w:p>
    <w:p w14:paraId="0EB902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3.</w:t>
      </w:r>
      <w:r>
        <w:rPr>
          <w:rFonts w:hint="default" w:ascii="Times New Roman" w:hAnsi="Times New Roman" w:eastAsia="仿宋_GB2312" w:cs="Times New Roman"/>
          <w:sz w:val="32"/>
          <w:szCs w:val="40"/>
        </w:rPr>
        <w:t>积极鼓励教师投身教育科研，参加学校组织的各项教学活动、教研活动、课题研究。要学会发现问题，学会同伴合作，学会反思，学会解决教育教学中的问题，努力做一个有思想、有追求的教师，力争成为一名智慧型和研究型的教师。努力培养造就一批师德高尚、教学优秀、教研突出、教改先进、有影响力的教师</w:t>
      </w:r>
      <w:r>
        <w:rPr>
          <w:rFonts w:hint="eastAsia"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加大课程管理与改革力度。增强全体教师课程法规意识，对照课程计划，认真上齐、上足、教好每一门课。严格按照国家颁布要求安排的课程计划，严格控制周活动总量和学科教学学时，不得随意增减课时，切实提高课堂教学质量。</w:t>
      </w:r>
    </w:p>
    <w:p w14:paraId="1813DF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lang w:val="en-US" w:eastAsia="zh-CN"/>
        </w:rPr>
        <w:t>4.</w:t>
      </w:r>
      <w:r>
        <w:rPr>
          <w:rFonts w:hint="default" w:ascii="Times New Roman" w:hAnsi="Times New Roman" w:eastAsia="仿宋_GB2312" w:cs="Times New Roman"/>
          <w:sz w:val="32"/>
          <w:szCs w:val="40"/>
        </w:rPr>
        <w:t>安全工作 坚持不懈地搞好学校安全工作，加大对安全工作的管理力度，进一步落实安全工作责任制，完善《学校安全检查制度》，继续实行领导干部、</w:t>
      </w:r>
      <w:r>
        <w:rPr>
          <w:rFonts w:hint="default" w:ascii="Times New Roman" w:hAnsi="Times New Roman" w:eastAsia="仿宋_GB2312" w:cs="Times New Roman"/>
          <w:sz w:val="32"/>
          <w:szCs w:val="40"/>
          <w:lang w:val="en-US" w:eastAsia="zh-CN"/>
        </w:rPr>
        <w:t>校内</w:t>
      </w:r>
      <w:r>
        <w:rPr>
          <w:rFonts w:hint="default" w:ascii="Times New Roman" w:hAnsi="Times New Roman" w:eastAsia="仿宋_GB2312" w:cs="Times New Roman"/>
          <w:sz w:val="32"/>
          <w:szCs w:val="40"/>
        </w:rPr>
        <w:t xml:space="preserve">安全护卫队、校内学生安全宣传督导队值班制度，对学生入校、放学、在校安全，实行全方位、无间隙监控，继续推行安全工作日报告制度、安全整改通知书制度。加强对学生进行交通、用电、防火、防溺水等方面的安全常识及自救自护知识教育。建立特殊学生跟踪档案，及时消除不稳定因素，确保师生安全和教育教学秩序的稳定。 </w:t>
      </w:r>
      <w:bookmarkStart w:id="7" w:name="_Toc8236"/>
    </w:p>
    <w:p w14:paraId="5B34D7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default" w:ascii="Times New Roman" w:hAnsi="Times New Roman" w:eastAsia="仿宋_GB2312" w:cs="Times New Roman"/>
          <w:sz w:val="32"/>
          <w:szCs w:val="40"/>
          <w:lang w:val="en-US" w:eastAsia="zh-CN"/>
        </w:rPr>
        <w:t>5.后勤工作是学校教学秩序正常运行的有力保障，为此学校继续抓好学校的总务后勤工作，硬化后勤管理，进一步强化后勤人员的服务意识。严格财务管理，做好经费预算，收支平衡、开支合理、严格执行账务公示制度，控制学校财产流失，完善财务财产规章制度，认真落实</w:t>
      </w:r>
      <w:r>
        <w:rPr>
          <w:rFonts w:hint="eastAsia" w:ascii="Times New Roman" w:hAnsi="Times New Roman" w:eastAsia="仿宋_GB2312" w:cs="Times New Roman"/>
          <w:sz w:val="32"/>
          <w:szCs w:val="40"/>
          <w:lang w:val="en-US" w:eastAsia="zh-CN"/>
        </w:rPr>
        <w:t>监管</w:t>
      </w:r>
      <w:r>
        <w:rPr>
          <w:rFonts w:hint="default" w:ascii="Times New Roman" w:hAnsi="Times New Roman" w:eastAsia="仿宋_GB2312" w:cs="Times New Roman"/>
          <w:sz w:val="32"/>
          <w:szCs w:val="40"/>
          <w:lang w:val="en-US" w:eastAsia="zh-CN"/>
        </w:rPr>
        <w:t>人员的工作职责，将有限的资金投入教育教学之中。</w:t>
      </w:r>
      <w:bookmarkEnd w:id="7"/>
      <w:r>
        <w:rPr>
          <w:rFonts w:hint="default" w:ascii="Times New Roman" w:hAnsi="Times New Roman" w:eastAsia="仿宋_GB2312" w:cs="Times New Roman"/>
          <w:sz w:val="32"/>
          <w:szCs w:val="40"/>
        </w:rPr>
        <w:t xml:space="preserve">  </w:t>
      </w:r>
    </w:p>
    <w:p w14:paraId="23661E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7874"/>
      <w:r>
        <w:rPr>
          <w:rFonts w:hint="eastAsia" w:ascii="黑体" w:hAnsi="黑体" w:eastAsia="黑体" w:cs="黑体"/>
          <w:sz w:val="32"/>
          <w:szCs w:val="32"/>
          <w:lang w:val="en-US" w:eastAsia="zh-CN"/>
        </w:rPr>
        <w:t>二、部门预算单位构成</w:t>
      </w:r>
      <w:bookmarkEnd w:id="8"/>
    </w:p>
    <w:p w14:paraId="6394B5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0F2B6D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4233"/>
      <w:r>
        <w:rPr>
          <w:rFonts w:hint="eastAsia" w:ascii="黑体" w:hAnsi="黑体" w:eastAsia="黑体" w:cs="黑体"/>
          <w:sz w:val="32"/>
          <w:szCs w:val="32"/>
          <w:lang w:val="en-US" w:eastAsia="zh-CN"/>
        </w:rPr>
        <w:t>三、收支预算情况说明</w:t>
      </w:r>
      <w:bookmarkEnd w:id="9"/>
    </w:p>
    <w:p w14:paraId="3994C3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王家小学所有收入和支出均纳入部门预算管理。收入包括：一般公共预算拨款收入；支出包括：一般公共服务支出、教育支出。王家小学2025年收支预算总数639.41万元，比2024年收支预算总数减少10.3万元，主要原因是基本支出预算减少。</w:t>
      </w:r>
    </w:p>
    <w:p w14:paraId="4E8197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0897"/>
      <w:r>
        <w:rPr>
          <w:rFonts w:hint="eastAsia" w:ascii="楷体_GB2312" w:hAnsi="楷体_GB2312" w:eastAsia="楷体_GB2312" w:cs="楷体_GB2312"/>
          <w:sz w:val="32"/>
          <w:szCs w:val="32"/>
          <w:lang w:val="en-US" w:eastAsia="zh-CN"/>
        </w:rPr>
        <w:t>（一）收入预算情况</w:t>
      </w:r>
      <w:bookmarkEnd w:id="10"/>
    </w:p>
    <w:p w14:paraId="574964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王家小学2025年收入预算639.41万元，一般公共预算拨款收入639.41万元，占100%。</w:t>
      </w:r>
    </w:p>
    <w:p w14:paraId="473798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754"/>
      <w:r>
        <w:rPr>
          <w:rFonts w:hint="eastAsia" w:ascii="楷体_GB2312" w:hAnsi="楷体_GB2312" w:eastAsia="楷体_GB2312" w:cs="楷体_GB2312"/>
          <w:sz w:val="32"/>
          <w:szCs w:val="32"/>
          <w:lang w:val="en-US" w:eastAsia="zh-CN"/>
        </w:rPr>
        <w:t>（二）支出预算情况</w:t>
      </w:r>
      <w:bookmarkEnd w:id="11"/>
    </w:p>
    <w:p w14:paraId="1802A4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王家小学2025年支出预算639.41万元，其中：基本支出591.31万元，占92.48%；项目支出48.1万元，占7.52%</w:t>
      </w:r>
      <w:r>
        <w:rPr>
          <w:rFonts w:hint="eastAsia" w:ascii="仿宋_GB2312" w:hAnsi="仿宋_GB2312" w:eastAsia="仿宋_GB2312" w:cs="仿宋_GB2312"/>
          <w:b w:val="0"/>
          <w:bCs w:val="0"/>
          <w:sz w:val="32"/>
          <w:szCs w:val="32"/>
          <w:lang w:val="en-US" w:eastAsia="zh-CN"/>
        </w:rPr>
        <w:t>。</w:t>
      </w:r>
    </w:p>
    <w:p w14:paraId="67F83C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7405"/>
      <w:r>
        <w:rPr>
          <w:rFonts w:hint="eastAsia" w:ascii="黑体" w:hAnsi="黑体" w:eastAsia="黑体" w:cs="黑体"/>
          <w:sz w:val="32"/>
          <w:szCs w:val="32"/>
          <w:lang w:val="en-US" w:eastAsia="zh-CN"/>
        </w:rPr>
        <w:t>四、财政拨款收支预算情况说明</w:t>
      </w:r>
      <w:bookmarkEnd w:id="12"/>
    </w:p>
    <w:p w14:paraId="537074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王家小学2025年财政拨款收支预算总数639.41万元，比2024年财政拨款收支预算总数减少10.3万元，主要原因是基本支出预算减少。</w:t>
      </w:r>
    </w:p>
    <w:p w14:paraId="642757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收入包括：本年一般公共预算拨款收入639.41万元；支出包括：教育支出639.41万元。</w:t>
      </w:r>
    </w:p>
    <w:p w14:paraId="590BA0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 w:name="_Toc25685"/>
      <w:r>
        <w:rPr>
          <w:rFonts w:hint="eastAsia" w:ascii="黑体" w:hAnsi="黑体" w:eastAsia="黑体" w:cs="黑体"/>
          <w:sz w:val="32"/>
          <w:szCs w:val="32"/>
          <w:lang w:val="en-US" w:eastAsia="zh-CN"/>
        </w:rPr>
        <w:t>五、一般公共预算当年拨款情况说明</w:t>
      </w:r>
      <w:bookmarkEnd w:id="13"/>
    </w:p>
    <w:p w14:paraId="71E3EB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2918"/>
      <w:r>
        <w:rPr>
          <w:rFonts w:hint="eastAsia" w:ascii="楷体_GB2312" w:hAnsi="楷体_GB2312" w:eastAsia="楷体_GB2312" w:cs="楷体_GB2312"/>
          <w:sz w:val="32"/>
          <w:szCs w:val="32"/>
          <w:lang w:val="en-US" w:eastAsia="zh-CN"/>
        </w:rPr>
        <w:t>（一）一般公共预算当年拨款规模变化情况</w:t>
      </w:r>
      <w:bookmarkEnd w:id="14"/>
    </w:p>
    <w:p w14:paraId="1FB1AC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王家小学2025年一般公共预算当年拨款639.41万元，比2024年预算数减少10.3万元，主要原因是基本支出预算减少。</w:t>
      </w:r>
    </w:p>
    <w:p w14:paraId="2BE48D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599"/>
      <w:r>
        <w:rPr>
          <w:rFonts w:hint="eastAsia" w:ascii="楷体_GB2312" w:hAnsi="楷体_GB2312" w:eastAsia="楷体_GB2312" w:cs="楷体_GB2312"/>
          <w:sz w:val="32"/>
          <w:szCs w:val="32"/>
          <w:lang w:val="en-US" w:eastAsia="zh-CN"/>
        </w:rPr>
        <w:t>（二）一般公共预算当年拨款结构情况</w:t>
      </w:r>
      <w:bookmarkEnd w:id="15"/>
    </w:p>
    <w:p w14:paraId="10D343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教育支出639.41万元，占100%。</w:t>
      </w:r>
    </w:p>
    <w:p w14:paraId="6000D4E5">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30557"/>
      <w:r>
        <w:rPr>
          <w:rFonts w:hint="eastAsia" w:ascii="楷体_GB2312" w:hAnsi="楷体_GB2312" w:eastAsia="楷体_GB2312" w:cs="楷体_GB2312"/>
          <w:sz w:val="32"/>
          <w:szCs w:val="32"/>
          <w:lang w:val="en-US" w:eastAsia="zh-CN"/>
        </w:rPr>
        <w:t>一般公共预算当年拨款具体使用情况</w:t>
      </w:r>
      <w:bookmarkEnd w:id="16"/>
    </w:p>
    <w:p w14:paraId="49BEDA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学前教育（项）2025年预算数为54.22万元，主要用于：学前教育机构的基本支出，包括基本工资、津贴补贴、基础绩效奖等人员经费以及机构运行所需的办公费、印刷费、维修（护）费、工会经费等运行补助经费。</w:t>
      </w:r>
    </w:p>
    <w:p w14:paraId="1B91A2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小学教育（项）2025年预算数为585.19万元，主要用于：小学教育机构的基本支出，包括基本工资、津贴补贴、基础绩效奖等人员经费以及机构运行所需的办公费、印刷费、维修（护）费、工会经费等运行补助经费。</w:t>
      </w:r>
    </w:p>
    <w:p w14:paraId="30F4934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2813"/>
      <w:r>
        <w:rPr>
          <w:rFonts w:hint="eastAsia" w:ascii="黑体" w:hAnsi="黑体" w:eastAsia="黑体" w:cs="黑体"/>
          <w:sz w:val="32"/>
          <w:szCs w:val="32"/>
          <w:lang w:val="en-US" w:eastAsia="zh-CN"/>
        </w:rPr>
        <w:t>六、一般公共预算基本支出情况说明</w:t>
      </w:r>
      <w:bookmarkEnd w:id="17"/>
    </w:p>
    <w:p w14:paraId="593F4C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王家小学2025年一般公共预算基本支出639.41万元，其中：</w:t>
      </w:r>
    </w:p>
    <w:p w14:paraId="34EBDD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人员经费591.31万元，主要包括：基本工资、津贴补贴、奖金、绩效工资、社会保险缴费、住房公积金、生活补助、奖励金等支出。</w:t>
      </w:r>
    </w:p>
    <w:p w14:paraId="3492C5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11AFBD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22001"/>
      <w:r>
        <w:rPr>
          <w:rFonts w:hint="eastAsia" w:ascii="黑体" w:hAnsi="黑体" w:eastAsia="黑体" w:cs="黑体"/>
          <w:sz w:val="32"/>
          <w:szCs w:val="32"/>
          <w:lang w:val="en-US" w:eastAsia="zh-CN"/>
        </w:rPr>
        <w:t>七、“三公”经费财政拨款预算安排情况说明</w:t>
      </w:r>
      <w:bookmarkEnd w:id="18"/>
    </w:p>
    <w:p w14:paraId="5E5E15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王家小学2025年“三公”经费财政拨款预算数0万元，其中：公务接待费0万元，公务用车购置及运行维护费0万元，因公出国（境）经费0万元。</w:t>
      </w:r>
    </w:p>
    <w:p w14:paraId="0AF14C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9440"/>
      <w:bookmarkStart w:id="20" w:name="_Toc6315"/>
      <w:bookmarkStart w:id="21" w:name="_Toc8524"/>
      <w:r>
        <w:rPr>
          <w:rFonts w:hint="eastAsia" w:ascii="楷体_GB2312" w:hAnsi="楷体_GB2312" w:eastAsia="楷体_GB2312" w:cs="楷体_GB2312"/>
          <w:sz w:val="32"/>
          <w:szCs w:val="32"/>
          <w:lang w:val="en-US" w:eastAsia="zh-CN"/>
        </w:rPr>
        <w:t>（一）公务接待费</w:t>
      </w:r>
      <w:bookmarkEnd w:id="19"/>
      <w:bookmarkEnd w:id="20"/>
      <w:bookmarkEnd w:id="21"/>
    </w:p>
    <w:p w14:paraId="13EDB9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3F46A5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46A250A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6779"/>
      <w:bookmarkStart w:id="23" w:name="_Toc28502"/>
      <w:bookmarkStart w:id="24" w:name="_Toc5212"/>
      <w:r>
        <w:rPr>
          <w:rFonts w:hint="eastAsia" w:ascii="楷体_GB2312" w:hAnsi="楷体_GB2312" w:eastAsia="楷体_GB2312" w:cs="楷体_GB2312"/>
          <w:sz w:val="32"/>
          <w:szCs w:val="32"/>
          <w:lang w:val="en-US" w:eastAsia="zh-CN"/>
        </w:rPr>
        <w:t>公务用车购置及运行维护费</w:t>
      </w:r>
      <w:bookmarkEnd w:id="22"/>
      <w:bookmarkEnd w:id="23"/>
      <w:bookmarkEnd w:id="24"/>
    </w:p>
    <w:p w14:paraId="272FFD8C">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02F92D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D6387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687786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015951A">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5" w:name="_Toc8607"/>
      <w:bookmarkStart w:id="26" w:name="_Toc26404"/>
      <w:bookmarkStart w:id="27" w:name="_Toc1291"/>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5"/>
      <w:bookmarkEnd w:id="26"/>
      <w:bookmarkEnd w:id="27"/>
    </w:p>
    <w:p w14:paraId="0A38EC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1EA888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3139"/>
      <w:r>
        <w:rPr>
          <w:rFonts w:hint="eastAsia" w:ascii="黑体" w:hAnsi="黑体" w:eastAsia="黑体" w:cs="黑体"/>
          <w:sz w:val="32"/>
          <w:szCs w:val="32"/>
          <w:lang w:val="en-US" w:eastAsia="zh-CN"/>
        </w:rPr>
        <w:t>八、政府性基金预算支出情况说明</w:t>
      </w:r>
      <w:bookmarkEnd w:id="28"/>
    </w:p>
    <w:p w14:paraId="428C1D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王家小学2025年无政府性基金预算拨款安排的支出。</w:t>
      </w:r>
    </w:p>
    <w:p w14:paraId="65BA4A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9" w:name="_Toc1566"/>
      <w:r>
        <w:rPr>
          <w:rFonts w:hint="eastAsia" w:ascii="黑体" w:hAnsi="黑体" w:eastAsia="黑体" w:cs="黑体"/>
          <w:sz w:val="32"/>
          <w:szCs w:val="32"/>
          <w:lang w:val="en-US" w:eastAsia="zh-CN"/>
        </w:rPr>
        <w:t>九、国有资本经营预算支出情况说明</w:t>
      </w:r>
      <w:bookmarkEnd w:id="29"/>
    </w:p>
    <w:p w14:paraId="443954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王家小学2025年无国有资本经营预算拨款安排的支出。</w:t>
      </w:r>
    </w:p>
    <w:p w14:paraId="070937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7154"/>
      <w:r>
        <w:rPr>
          <w:rFonts w:hint="eastAsia" w:ascii="黑体" w:hAnsi="黑体" w:eastAsia="黑体" w:cs="黑体"/>
          <w:sz w:val="32"/>
          <w:szCs w:val="32"/>
          <w:lang w:val="en-US" w:eastAsia="zh-CN"/>
        </w:rPr>
        <w:t>十、其他重要事项的情况说明</w:t>
      </w:r>
      <w:bookmarkEnd w:id="30"/>
    </w:p>
    <w:p w14:paraId="534AF3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27351"/>
      <w:bookmarkStart w:id="32" w:name="_Toc31353"/>
      <w:bookmarkStart w:id="33" w:name="_Toc2547"/>
      <w:r>
        <w:rPr>
          <w:rFonts w:hint="eastAsia" w:ascii="楷体_GB2312" w:hAnsi="楷体_GB2312" w:eastAsia="楷体_GB2312" w:cs="楷体_GB2312"/>
          <w:sz w:val="32"/>
          <w:szCs w:val="32"/>
          <w:lang w:val="en-US" w:eastAsia="zh-CN"/>
        </w:rPr>
        <w:t>（一）机关运行经费</w:t>
      </w:r>
      <w:bookmarkEnd w:id="31"/>
      <w:bookmarkEnd w:id="32"/>
      <w:bookmarkEnd w:id="33"/>
    </w:p>
    <w:p w14:paraId="7BDCE1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37380B4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4" w:name="_Toc40"/>
      <w:bookmarkStart w:id="35" w:name="_Toc16463"/>
      <w:bookmarkStart w:id="36" w:name="_Toc6782"/>
      <w:r>
        <w:rPr>
          <w:rFonts w:hint="eastAsia" w:ascii="楷体_GB2312" w:hAnsi="楷体_GB2312" w:eastAsia="楷体_GB2312" w:cs="楷体_GB2312"/>
          <w:sz w:val="32"/>
          <w:szCs w:val="32"/>
          <w:lang w:val="en-US" w:eastAsia="zh-CN"/>
        </w:rPr>
        <w:t>（二）政府采购情况</w:t>
      </w:r>
      <w:bookmarkEnd w:id="34"/>
      <w:bookmarkEnd w:id="35"/>
      <w:bookmarkEnd w:id="36"/>
    </w:p>
    <w:p w14:paraId="5F6D6B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2025年，王家小学安排政府采购预算0万元。</w:t>
      </w:r>
    </w:p>
    <w:p w14:paraId="59E683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7" w:name="_Toc29489"/>
      <w:bookmarkStart w:id="38" w:name="_Toc17980"/>
      <w:bookmarkStart w:id="39" w:name="_Toc29321"/>
      <w:r>
        <w:rPr>
          <w:rFonts w:hint="eastAsia" w:ascii="楷体_GB2312" w:hAnsi="楷体_GB2312" w:eastAsia="楷体_GB2312" w:cs="楷体_GB2312"/>
          <w:sz w:val="32"/>
          <w:szCs w:val="32"/>
          <w:lang w:val="en-US" w:eastAsia="zh-CN"/>
        </w:rPr>
        <w:t>（三）国有资产占有使用情况</w:t>
      </w:r>
      <w:bookmarkEnd w:id="37"/>
      <w:bookmarkEnd w:id="38"/>
      <w:bookmarkEnd w:id="39"/>
    </w:p>
    <w:p w14:paraId="47D4E2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截至2025年底，王家小学共有车辆0辆，单位无价值200万元以上的大型设备。</w:t>
      </w:r>
    </w:p>
    <w:p w14:paraId="511015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038618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0" w:name="_Toc31513"/>
      <w:bookmarkStart w:id="41" w:name="_Toc20374"/>
      <w:bookmarkStart w:id="42" w:name="_Toc18637"/>
      <w:r>
        <w:rPr>
          <w:rFonts w:hint="eastAsia" w:ascii="楷体_GB2312" w:hAnsi="楷体_GB2312" w:eastAsia="楷体_GB2312" w:cs="楷体_GB2312"/>
          <w:sz w:val="32"/>
          <w:szCs w:val="32"/>
          <w:lang w:val="en-US" w:eastAsia="zh-CN"/>
        </w:rPr>
        <w:t>（四）绩效目标设置情况</w:t>
      </w:r>
      <w:bookmarkEnd w:id="40"/>
      <w:bookmarkEnd w:id="41"/>
      <w:bookmarkEnd w:id="42"/>
    </w:p>
    <w:p w14:paraId="548C68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2025年王家小学开展绩效目标管理的项目14个，涉及预算639.41万元。其中：人员类项目10个，涉及预算 591.31万元；运转类项目4个，涉及预算48.1万元；特定目标类项目0个，涉及预算0万元。因部分项目内容涉密，不予公开。</w:t>
      </w:r>
    </w:p>
    <w:p w14:paraId="2A623E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3" w:name="_Toc25030"/>
      <w:r>
        <w:rPr>
          <w:rFonts w:hint="eastAsia" w:ascii="黑体" w:hAnsi="黑体" w:eastAsia="黑体" w:cs="黑体"/>
          <w:sz w:val="32"/>
          <w:szCs w:val="32"/>
          <w:lang w:val="en-US" w:eastAsia="zh-CN"/>
        </w:rPr>
        <w:t>十一、名词解释</w:t>
      </w:r>
      <w:bookmarkEnd w:id="43"/>
    </w:p>
    <w:p w14:paraId="384C08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4D1C89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6193E65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033796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67ACA0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（五）教育支出（类）普通教育（款）学前教育（项）：指学前教育发展的基本支出，包括基本工资、津贴补贴等人员经费以及办公费、印刷费、水电费等日常公用经费。</w:t>
      </w:r>
    </w:p>
    <w:p w14:paraId="0731D6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（六）教育支出（类）普通教育（款）小学教育（项）：指小学教育发展的基本支出，包括基本工资、津贴补贴等人员经费以及办公费、印刷费、水电费等日常公用经费。</w:t>
      </w:r>
    </w:p>
    <w:p w14:paraId="34FB92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（七）社会保障和就业（类）行政事业单位养老支出（款）机关事业单位基本养老保险缴费支出（项）：指部门实施养老保险制度由单位缴纳的养老保险的支出。</w:t>
      </w:r>
    </w:p>
    <w:p w14:paraId="763DF0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（八）社会保障和就业（类）行政事业单位养老支出（款）机关事业单位职业年金缴费支出（项）：指部门实施养老保险制度由单位缴纳的职业年金的支出。</w:t>
      </w:r>
    </w:p>
    <w:p w14:paraId="5A2FC3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（九）卫生健康（类）行政事业单位医疗（款）事业单位医疗（项）：指事业单位用于单位应缴纳基本医疗保险支出。</w:t>
      </w:r>
    </w:p>
    <w:p w14:paraId="46759F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（十）住房保障（类）住房改革支出（款）住房公积金（项）：指按照《住房公积金管理条例》的规定，由单位及其在职职工缴存的长期住房资金。</w:t>
      </w:r>
    </w:p>
    <w:p w14:paraId="1B58B1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（十一）基本支出：指为保证机构正常运转，完成日常工作任务而发生的人员支出和公用支出。</w:t>
      </w:r>
    </w:p>
    <w:p w14:paraId="002FFD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（十二）项目支出：指在基本支出之外为完成特定行政任务和事业发展目标所发生的支出。</w:t>
      </w:r>
    </w:p>
    <w:p w14:paraId="2C66BD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三公”经费：纳入各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02512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CE989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77DCC99F">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4" w:name="_Toc16314"/>
      <w:bookmarkStart w:id="45" w:name="_Toc8209"/>
      <w:bookmarkStart w:id="46" w:name="_Toc21095"/>
      <w:r>
        <w:rPr>
          <w:rFonts w:hint="eastAsia" w:ascii="仿宋_GB2312" w:hAnsi="仿宋_GB2312" w:eastAsia="仿宋_GB2312" w:cs="仿宋_GB2312"/>
          <w:sz w:val="32"/>
          <w:szCs w:val="32"/>
          <w:lang w:val="en-US" w:eastAsia="zh-CN"/>
        </w:rPr>
        <w:t>单位预算项目绩效目标表</w:t>
      </w:r>
      <w:bookmarkEnd w:id="44"/>
      <w:bookmarkEnd w:id="45"/>
      <w:bookmarkEnd w:id="46"/>
    </w:p>
    <w:p w14:paraId="28C00D48">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677808-1C64-4F4C-A80B-A0ED1573279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turday Sans Regular">
    <w:panose1 w:val="02010600010101010101"/>
    <w:charset w:val="86"/>
    <w:family w:val="auto"/>
    <w:pitch w:val="default"/>
    <w:sig w:usb0="00000001" w:usb1="080E0000" w:usb2="00000000" w:usb3="00000000" w:csb0="00040000" w:csb1="00000000"/>
    <w:embedRegular r:id="rId2" w:fontKey="{4496735C-23A8-49E4-8F2D-F98BD5DEA680}"/>
  </w:font>
  <w:font w:name="方正小标宋简体">
    <w:panose1 w:val="02000000000000000000"/>
    <w:charset w:val="86"/>
    <w:family w:val="auto"/>
    <w:pitch w:val="default"/>
    <w:sig w:usb0="00000001" w:usb1="080E0000" w:usb2="00000000" w:usb3="00000000" w:csb0="00040000" w:csb1="00000000"/>
    <w:embedRegular r:id="rId3" w:fontKey="{9F5A5717-D3A8-4663-A857-C8F17D4C1F92}"/>
  </w:font>
  <w:font w:name="仿宋_GB2312">
    <w:panose1 w:val="02010609030101010101"/>
    <w:charset w:val="86"/>
    <w:family w:val="auto"/>
    <w:pitch w:val="default"/>
    <w:sig w:usb0="00000001" w:usb1="080E0000" w:usb2="00000000" w:usb3="00000000" w:csb0="00040000" w:csb1="00000000"/>
    <w:embedRegular r:id="rId4" w:fontKey="{9A2CEDF8-B929-41AB-B858-661FFFDAB919}"/>
  </w:font>
  <w:font w:name="楷体_GB2312">
    <w:panose1 w:val="02010609030101010101"/>
    <w:charset w:val="86"/>
    <w:family w:val="auto"/>
    <w:pitch w:val="default"/>
    <w:sig w:usb0="00000001" w:usb1="080E0000" w:usb2="00000000" w:usb3="00000000" w:csb0="00040000" w:csb1="00000000"/>
    <w:embedRegular r:id="rId5" w:fontKey="{FA46B319-B207-41DD-B2FE-EE235FA7208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792A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116A398">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YNVVR/gEAAAAEAAAOAAAAAAAAAAEAIAAAAB8BAABkcnMvZTJvRG9jLnht&#10;bFBLBQYAAAAABgAGAFkBAACPBQAAAAA=&#10;">
              <v:fill on="f" focussize="0,0"/>
              <v:stroke on="f"/>
              <v:imagedata o:title=""/>
              <o:lock v:ext="edit" aspectratio="f"/>
              <v:textbox inset="0mm,0mm,0mm,0mm" style="mso-fit-shape-to-text:t;">
                <w:txbxContent>
                  <w:p w14:paraId="5116A398">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18F81"/>
    <w:multiLevelType w:val="singleLevel"/>
    <w:tmpl w:val="85D18F81"/>
    <w:lvl w:ilvl="0" w:tentative="0">
      <w:start w:val="2"/>
      <w:numFmt w:val="chineseCounting"/>
      <w:suff w:val="nothing"/>
      <w:lvlText w:val="（%1）"/>
      <w:lvlJc w:val="left"/>
      <w:rPr>
        <w:rFonts w:hint="eastAsia"/>
      </w:rPr>
    </w:lvl>
  </w:abstractNum>
  <w:abstractNum w:abstractNumId="1">
    <w:nsid w:val="9EDD4DA7"/>
    <w:multiLevelType w:val="singleLevel"/>
    <w:tmpl w:val="9EDD4DA7"/>
    <w:lvl w:ilvl="0" w:tentative="0">
      <w:start w:val="2"/>
      <w:numFmt w:val="decimal"/>
      <w:lvlText w:val="%1."/>
      <w:lvlJc w:val="left"/>
      <w:pPr>
        <w:tabs>
          <w:tab w:val="left" w:pos="312"/>
        </w:tabs>
        <w:ind w:left="1600" w:leftChars="0" w:firstLine="0" w:firstLineChars="0"/>
      </w:pPr>
    </w:lvl>
  </w:abstractNum>
  <w:abstractNum w:abstractNumId="2">
    <w:nsid w:val="02F6AB6C"/>
    <w:multiLevelType w:val="singleLevel"/>
    <w:tmpl w:val="02F6AB6C"/>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647D50D6"/>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Saturday Sans Regular" w:hAnsi="Saturday Sans Regular" w:eastAsia="Saturday Sans Regular" w:cs="Saturday Sans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4307</Words>
  <Characters>4527</Characters>
  <TotalTime>4</TotalTime>
  <ScaleCrop>false</ScaleCrop>
  <LinksUpToDate>false</LinksUpToDate>
  <CharactersWithSpaces>4601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6BA3AA33052749E5B966F601FFF3AC48_13</vt:lpwstr>
  </property>
  <property fmtid="{D5CDD505-2E9C-101B-9397-08002B2CF9AE}" pid="4" name="KSOTemplateDocerSaveRecord">
    <vt:lpwstr>eyJoZGlkIjoiOTlhNTlmMWMwY2NkZGNhOTM0ZTIzOTMwM2UwMjVlYzgiLCJ1c2VySWQiOiI2MDAwNDk2NTIifQ==</vt:lpwstr>
  </property>
</Properties>
</file>