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BCEA0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default"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17594"/>
      <w:bookmarkStart w:id="1" w:name="_Toc30375"/>
      <w:bookmarkStart w:id="2" w:name="_Toc30468"/>
      <w:bookmarkStart w:id="3" w:name="_Toc28167"/>
      <w:bookmarkStart w:id="4" w:name="_Toc12911"/>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广元市昭化区磨滩镇小新小学</w:t>
      </w:r>
      <w:bookmarkEnd w:id="0"/>
      <w:bookmarkEnd w:id="1"/>
      <w:bookmarkEnd w:id="2"/>
      <w:bookmarkEnd w:id="3"/>
      <w:bookmarkEnd w:id="4"/>
    </w:p>
    <w:p w14:paraId="0D4F7F7A">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14:textFill>
            <w14:solidFill>
              <w14:schemeClr w14:val="tx1"/>
            </w14:solidFill>
          </w14:textFill>
        </w:rPr>
        <w:t>2025年部门预算编制说明</w:t>
      </w:r>
    </w:p>
    <w:p w14:paraId="4E55C5C3">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64470"/>
        <w:docPartObj>
          <w:docPartGallery w:val="Table of Contents"/>
          <w:docPartUnique/>
        </w:docPartObj>
      </w:sdtPr>
      <w:sdtEndPr>
        <w:rPr>
          <w:rFonts w:hint="eastAsia" w:ascii="宋体" w:hAnsi="宋体" w:eastAsia="宋体" w:cs="宋体"/>
          <w:b/>
          <w:i w:val="0"/>
          <w:caps w:val="0"/>
          <w:color w:val="000000" w:themeColor="text1"/>
          <w:spacing w:val="0"/>
          <w:kern w:val="0"/>
          <w:sz w:val="24"/>
          <w:szCs w:val="28"/>
          <w:highlight w:val="none"/>
          <w:shd w:val="clear" w:color="auto" w:fill="FFFFFF"/>
          <w:lang w:val="en-US" w:eastAsia="zh-CN" w:bidi="ar-SA"/>
          <w14:textFill>
            <w14:solidFill>
              <w14:schemeClr w14:val="tx1"/>
            </w14:solidFill>
          </w14:textFill>
        </w:rPr>
      </w:sdtEndPr>
      <w:sdtContent>
        <w:p w14:paraId="7CA341F1">
          <w:pPr>
            <w:spacing w:before="0" w:beforeLines="0" w:after="0" w:afterLines="0" w:line="240" w:lineRule="auto"/>
            <w:ind w:left="0" w:leftChars="0" w:right="0" w:rightChars="0" w:firstLine="0" w:firstLineChars="0"/>
            <w:jc w:val="center"/>
          </w:pPr>
        </w:p>
        <w:p w14:paraId="3FD95F42">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fldChar w:fldCharType="begin"/>
          </w:r>
          <w:r>
            <w:rPr>
              <w:rFonts w:hint="eastAsia" w:ascii="宋体" w:hAnsi="宋体" w:eastAsia="宋体" w:cs="宋体"/>
              <w:i w:val="0"/>
              <w:caps w:val="0"/>
              <w:color w:val="000000" w:themeColor="text1"/>
              <w:spacing w:val="0"/>
              <w:kern w:val="0"/>
              <w:sz w:val="28"/>
              <w:szCs w:val="28"/>
              <w:highlight w:val="none"/>
              <w:lang w:val="en-US" w:eastAsia="zh-CN"/>
              <w14:textFill>
                <w14:solidFill>
                  <w14:schemeClr w14:val="tx1"/>
                </w14:solidFill>
              </w14:textFill>
            </w:rPr>
            <w:instrText xml:space="preserve">TOC \o "1-2" \h \u</w:instrText>
          </w:r>
          <w:r>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fldChar w:fldCharType="separate"/>
          </w:r>
          <w:r>
            <w:fldChar w:fldCharType="begin"/>
          </w:r>
          <w:r>
            <w:instrText xml:space="preserve"> HYPERLINK \l "_Toc19197" </w:instrText>
          </w:r>
          <w:r>
            <w:fldChar w:fldCharType="separate"/>
          </w:r>
          <w:r>
            <w:rPr>
              <w:rFonts w:hint="eastAsia" w:ascii="仿宋_GB2312" w:hAnsi="仿宋_GB2312" w:eastAsia="仿宋_GB2312" w:cs="仿宋_GB2312"/>
              <w:color w:val="auto"/>
              <w:kern w:val="2"/>
              <w:sz w:val="32"/>
              <w:szCs w:val="32"/>
              <w:lang w:val="en-US" w:eastAsia="zh-CN" w:bidi="ar-SA"/>
            </w:rPr>
            <w:t>一、基本职能及主要工作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_Toc19197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105E33B">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"_Toc18781" </w:instrText>
          </w:r>
          <w:r>
            <w:fldChar w:fldCharType="separate"/>
          </w:r>
          <w:r>
            <w:rPr>
              <w:rFonts w:hint="eastAsia" w:ascii="仿宋_GB2312" w:hAnsi="仿宋_GB2312" w:eastAsia="仿宋_GB2312" w:cs="仿宋_GB2312"/>
              <w:color w:val="auto"/>
              <w:kern w:val="2"/>
              <w:sz w:val="32"/>
              <w:szCs w:val="32"/>
              <w:lang w:val="en-US" w:eastAsia="zh-CN" w:bidi="ar-SA"/>
            </w:rPr>
            <w:t>（一）单位职能简介</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_Toc18781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24DD6ED">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"_Toc22416" </w:instrText>
          </w:r>
          <w:r>
            <w:fldChar w:fldCharType="separate"/>
          </w:r>
          <w:r>
            <w:rPr>
              <w:rFonts w:hint="eastAsia" w:ascii="仿宋_GB2312" w:hAnsi="仿宋_GB2312" w:eastAsia="仿宋_GB2312" w:cs="仿宋_GB2312"/>
              <w:color w:val="auto"/>
              <w:kern w:val="2"/>
              <w:sz w:val="32"/>
              <w:szCs w:val="32"/>
              <w:lang w:val="en-US" w:eastAsia="zh-CN" w:bidi="ar-SA"/>
            </w:rPr>
            <w:t>（二）2025年重点工作</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_Toc22416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3</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ADB51F9">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"_Toc5983" </w:instrText>
          </w:r>
          <w:r>
            <w:fldChar w:fldCharType="separate"/>
          </w:r>
          <w:r>
            <w:rPr>
              <w:rFonts w:hint="eastAsia" w:ascii="仿宋_GB2312" w:hAnsi="仿宋_GB2312" w:eastAsia="仿宋_GB2312" w:cs="仿宋_GB2312"/>
              <w:color w:val="auto"/>
              <w:kern w:val="2"/>
              <w:sz w:val="32"/>
              <w:szCs w:val="32"/>
              <w:lang w:val="en-US" w:eastAsia="zh-CN" w:bidi="ar-SA"/>
            </w:rPr>
            <w:t>二、部门预算单位构成</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_Toc5983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33A67D7">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"_Toc17255" </w:instrText>
          </w:r>
          <w:r>
            <w:fldChar w:fldCharType="separate"/>
          </w:r>
          <w:r>
            <w:rPr>
              <w:rFonts w:hint="eastAsia" w:ascii="仿宋_GB2312" w:hAnsi="仿宋_GB2312" w:eastAsia="仿宋_GB2312" w:cs="仿宋_GB2312"/>
              <w:color w:val="auto"/>
              <w:kern w:val="2"/>
              <w:sz w:val="32"/>
              <w:szCs w:val="32"/>
              <w:lang w:val="en-US" w:eastAsia="zh-CN" w:bidi="ar-SA"/>
            </w:rPr>
            <w:t>三、收支预算情况说明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_Toc17255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07D3350">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"_Toc23752" </w:instrText>
          </w:r>
          <w:r>
            <w:fldChar w:fldCharType="separate"/>
          </w:r>
          <w:r>
            <w:rPr>
              <w:rFonts w:hint="eastAsia" w:ascii="仿宋_GB2312" w:hAnsi="仿宋_GB2312" w:eastAsia="仿宋_GB2312" w:cs="仿宋_GB2312"/>
              <w:color w:val="auto"/>
              <w:kern w:val="2"/>
              <w:sz w:val="32"/>
              <w:szCs w:val="32"/>
              <w:lang w:val="en-US" w:eastAsia="zh-CN" w:bidi="ar-SA"/>
            </w:rPr>
            <w:t>（一）收入预算情况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_Toc23752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4A4C754A">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"_Toc4202" </w:instrText>
          </w:r>
          <w:r>
            <w:fldChar w:fldCharType="separate"/>
          </w:r>
          <w:r>
            <w:rPr>
              <w:rFonts w:hint="eastAsia" w:ascii="仿宋_GB2312" w:hAnsi="仿宋_GB2312" w:eastAsia="仿宋_GB2312" w:cs="仿宋_GB2312"/>
              <w:color w:val="auto"/>
              <w:kern w:val="2"/>
              <w:sz w:val="32"/>
              <w:szCs w:val="32"/>
              <w:lang w:val="en-US" w:eastAsia="zh-CN" w:bidi="ar-SA"/>
            </w:rPr>
            <w:t>（二）支出预算情况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_Toc4202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B4D14C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"_Toc11679" </w:instrText>
          </w:r>
          <w:r>
            <w:fldChar w:fldCharType="separate"/>
          </w:r>
          <w:r>
            <w:rPr>
              <w:rFonts w:hint="eastAsia" w:ascii="仿宋_GB2312" w:hAnsi="仿宋_GB2312" w:eastAsia="仿宋_GB2312" w:cs="仿宋_GB2312"/>
              <w:color w:val="auto"/>
              <w:kern w:val="2"/>
              <w:sz w:val="32"/>
              <w:szCs w:val="32"/>
              <w:lang w:val="en-US" w:eastAsia="zh-CN" w:bidi="ar-SA"/>
            </w:rPr>
            <w:t>四、财政拨款收支预算情况说明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_Toc11679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DB9718C">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"_Toc18273" </w:instrText>
          </w:r>
          <w:r>
            <w:fldChar w:fldCharType="separate"/>
          </w:r>
          <w:r>
            <w:rPr>
              <w:rFonts w:hint="eastAsia" w:ascii="仿宋_GB2312" w:hAnsi="仿宋_GB2312" w:eastAsia="仿宋_GB2312" w:cs="仿宋_GB2312"/>
              <w:color w:val="auto"/>
              <w:kern w:val="2"/>
              <w:sz w:val="32"/>
              <w:szCs w:val="32"/>
              <w:lang w:val="en-US" w:eastAsia="zh-CN" w:bidi="ar-SA"/>
            </w:rPr>
            <w:t>五、一般公共预算当年拨款情况说明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_Toc18273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EE22AA8">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"_Toc6378" </w:instrText>
          </w:r>
          <w:r>
            <w:fldChar w:fldCharType="separate"/>
          </w:r>
          <w:r>
            <w:rPr>
              <w:rFonts w:hint="eastAsia" w:ascii="仿宋_GB2312" w:hAnsi="仿宋_GB2312" w:eastAsia="仿宋_GB2312" w:cs="仿宋_GB2312"/>
              <w:color w:val="auto"/>
              <w:kern w:val="2"/>
              <w:sz w:val="32"/>
              <w:szCs w:val="32"/>
              <w:lang w:val="en-US" w:eastAsia="zh-CN" w:bidi="ar-SA"/>
            </w:rPr>
            <w:t>（一）一般公共预算当年拨款规模变化情况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_Toc6378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61F1C8A">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"_Toc12048" </w:instrText>
          </w:r>
          <w:r>
            <w:fldChar w:fldCharType="separate"/>
          </w:r>
          <w:r>
            <w:rPr>
              <w:rFonts w:hint="eastAsia" w:ascii="仿宋_GB2312" w:hAnsi="仿宋_GB2312" w:eastAsia="仿宋_GB2312" w:cs="仿宋_GB2312"/>
              <w:color w:val="auto"/>
              <w:kern w:val="2"/>
              <w:sz w:val="32"/>
              <w:szCs w:val="32"/>
              <w:lang w:val="en-US" w:eastAsia="zh-CN" w:bidi="ar-SA"/>
            </w:rPr>
            <w:t>（二）一般公共预算当年拨款结构情况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_Toc12048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3E31E4AA">
          <w:pPr>
            <w:pStyle w:val="15"/>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"_Toc22222" </w:instrText>
          </w:r>
          <w:r>
            <w:fldChar w:fldCharType="separate"/>
          </w:r>
          <w:r>
            <w:rPr>
              <w:rFonts w:hint="eastAsia" w:ascii="仿宋_GB2312" w:hAnsi="仿宋_GB2312" w:eastAsia="仿宋_GB2312" w:cs="仿宋_GB2312"/>
              <w:color w:val="auto"/>
              <w:kern w:val="2"/>
              <w:sz w:val="32"/>
              <w:szCs w:val="32"/>
              <w:lang w:val="en-US" w:eastAsia="zh-CN" w:bidi="ar-SA"/>
            </w:rPr>
            <w:t>（三）一般公共预算当年拨款具体使用情况</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_Toc22222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2C546FD6">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"_Toc16818" </w:instrText>
          </w:r>
          <w:r>
            <w:fldChar w:fldCharType="separate"/>
          </w:r>
          <w:r>
            <w:rPr>
              <w:rFonts w:hint="eastAsia" w:ascii="仿宋_GB2312" w:hAnsi="仿宋_GB2312" w:eastAsia="仿宋_GB2312" w:cs="仿宋_GB2312"/>
              <w:color w:val="auto"/>
              <w:kern w:val="2"/>
              <w:sz w:val="32"/>
              <w:szCs w:val="32"/>
              <w:lang w:val="en-US" w:eastAsia="zh-CN" w:bidi="ar-SA"/>
            </w:rPr>
            <w:t>六、一般公共预算基本支出情况说明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_Toc16818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6C54954A">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"_Toc14489" </w:instrText>
          </w:r>
          <w:r>
            <w:fldChar w:fldCharType="separate"/>
          </w:r>
          <w:r>
            <w:rPr>
              <w:rFonts w:hint="eastAsia" w:ascii="仿宋_GB2312" w:hAnsi="仿宋_GB2312" w:eastAsia="仿宋_GB2312" w:cs="仿宋_GB2312"/>
              <w:color w:val="auto"/>
              <w:kern w:val="2"/>
              <w:sz w:val="32"/>
              <w:szCs w:val="32"/>
              <w:lang w:val="en-US" w:eastAsia="zh-CN" w:bidi="ar-SA"/>
            </w:rPr>
            <w:t>七、“三公”经费财政拨款预算安排情况说明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_Toc14489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7</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0FC88511">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"_Toc28577" </w:instrText>
          </w:r>
          <w:r>
            <w:fldChar w:fldCharType="separate"/>
          </w:r>
          <w:r>
            <w:rPr>
              <w:rFonts w:hint="eastAsia" w:ascii="仿宋_GB2312" w:hAnsi="仿宋_GB2312" w:eastAsia="仿宋_GB2312" w:cs="仿宋_GB2312"/>
              <w:color w:val="auto"/>
              <w:kern w:val="2"/>
              <w:sz w:val="32"/>
              <w:szCs w:val="32"/>
              <w:lang w:val="en-US" w:eastAsia="zh-CN" w:bidi="ar-SA"/>
            </w:rPr>
            <w:t>八、政府性基金预算支出情况说明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_Toc28577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ADA223E">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"_Toc2551" </w:instrText>
          </w:r>
          <w:r>
            <w:fldChar w:fldCharType="separate"/>
          </w:r>
          <w:r>
            <w:rPr>
              <w:rFonts w:hint="eastAsia" w:ascii="仿宋_GB2312" w:hAnsi="仿宋_GB2312" w:eastAsia="仿宋_GB2312" w:cs="仿宋_GB2312"/>
              <w:color w:val="auto"/>
              <w:kern w:val="2"/>
              <w:sz w:val="32"/>
              <w:szCs w:val="32"/>
              <w:lang w:val="en-US" w:eastAsia="zh-CN" w:bidi="ar-SA"/>
            </w:rPr>
            <w:t>九、国有资本经营预算支出情况说明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_Toc2551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5DFA27C0">
          <w:pPr>
            <w:pStyle w:val="14"/>
            <w:tabs>
              <w:tab w:val="right" w:leader="dot" w:pos="8845"/>
            </w:tabs>
            <w:rPr>
              <w:rFonts w:hint="eastAsia" w:ascii="仿宋_GB2312" w:hAnsi="仿宋_GB2312" w:eastAsia="仿宋_GB2312" w:cs="仿宋_GB2312"/>
              <w:color w:val="auto"/>
              <w:kern w:val="2"/>
              <w:sz w:val="32"/>
              <w:szCs w:val="32"/>
              <w:lang w:val="en-US" w:eastAsia="zh-CN" w:bidi="ar-SA"/>
            </w:rPr>
          </w:pPr>
          <w:r>
            <w:fldChar w:fldCharType="begin"/>
          </w:r>
          <w:r>
            <w:instrText xml:space="preserve"> HYPERLINK \l "_Toc16757" </w:instrText>
          </w:r>
          <w:r>
            <w:fldChar w:fldCharType="separate"/>
          </w:r>
          <w:r>
            <w:rPr>
              <w:rFonts w:hint="eastAsia" w:ascii="仿宋_GB2312" w:hAnsi="仿宋_GB2312" w:eastAsia="仿宋_GB2312" w:cs="仿宋_GB2312"/>
              <w:color w:val="auto"/>
              <w:kern w:val="2"/>
              <w:sz w:val="32"/>
              <w:szCs w:val="32"/>
              <w:lang w:val="en-US" w:eastAsia="zh-CN" w:bidi="ar-SA"/>
            </w:rPr>
            <w:t>十、其他重要事项的情况说明</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_Toc16757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17F3DC6E">
          <w:pPr>
            <w:pStyle w:val="14"/>
            <w:tabs>
              <w:tab w:val="right" w:leader="dot" w:pos="8845"/>
            </w:tabs>
            <w:rPr>
              <w:b/>
              <w:bCs/>
            </w:rPr>
          </w:pPr>
          <w:r>
            <w:fldChar w:fldCharType="begin"/>
          </w:r>
          <w:r>
            <w:instrText xml:space="preserve"> HYPERLINK \l "_Toc13655" </w:instrText>
          </w:r>
          <w:r>
            <w:fldChar w:fldCharType="separate"/>
          </w:r>
          <w:r>
            <w:rPr>
              <w:rFonts w:hint="eastAsia" w:ascii="仿宋_GB2312" w:hAnsi="仿宋_GB2312" w:eastAsia="仿宋_GB2312" w:cs="仿宋_GB2312"/>
              <w:color w:val="auto"/>
              <w:kern w:val="2"/>
              <w:sz w:val="32"/>
              <w:szCs w:val="32"/>
              <w:lang w:val="en-US" w:eastAsia="zh-CN" w:bidi="ar-SA"/>
            </w:rPr>
            <w:t>十一、名词解释</w:t>
          </w:r>
          <w:r>
            <w:rPr>
              <w:rFonts w:hint="eastAsia" w:ascii="仿宋_GB2312" w:hAnsi="仿宋_GB2312" w:eastAsia="仿宋_GB2312" w:cs="仿宋_GB2312"/>
              <w:color w:val="auto"/>
              <w:kern w:val="2"/>
              <w:sz w:val="32"/>
              <w:szCs w:val="32"/>
              <w:lang w:val="en-US" w:eastAsia="zh-CN" w:bidi="ar-SA"/>
            </w:rPr>
            <w:tab/>
          </w:r>
          <w:r>
            <w:rPr>
              <w:rFonts w:hint="eastAsia" w:ascii="仿宋_GB2312" w:hAnsi="仿宋_GB2312" w:eastAsia="仿宋_GB2312" w:cs="仿宋_GB2312"/>
              <w:color w:val="auto"/>
              <w:kern w:val="2"/>
              <w:sz w:val="32"/>
              <w:szCs w:val="32"/>
              <w:lang w:val="en-US" w:eastAsia="zh-CN" w:bidi="ar-SA"/>
            </w:rPr>
            <w:fldChar w:fldCharType="begin"/>
          </w:r>
          <w:r>
            <w:rPr>
              <w:rFonts w:hint="eastAsia" w:ascii="仿宋_GB2312" w:hAnsi="仿宋_GB2312" w:eastAsia="仿宋_GB2312" w:cs="仿宋_GB2312"/>
              <w:color w:val="auto"/>
              <w:kern w:val="2"/>
              <w:sz w:val="32"/>
              <w:szCs w:val="32"/>
              <w:lang w:val="en-US" w:eastAsia="zh-CN" w:bidi="ar-SA"/>
            </w:rPr>
            <w:instrText xml:space="preserve"> PAGEREF _Toc13655 \h </w:instrText>
          </w:r>
          <w:r>
            <w:rPr>
              <w:rFonts w:hint="eastAsia" w:ascii="仿宋_GB2312" w:hAnsi="仿宋_GB2312" w:eastAsia="仿宋_GB2312" w:cs="仿宋_GB2312"/>
              <w:color w:val="auto"/>
              <w:kern w:val="2"/>
              <w:sz w:val="32"/>
              <w:szCs w:val="32"/>
              <w:lang w:val="en-US" w:eastAsia="zh-CN" w:bidi="ar-SA"/>
            </w:rPr>
            <w:fldChar w:fldCharType="separate"/>
          </w:r>
          <w:r>
            <w:rPr>
              <w:rFonts w:hint="eastAsia" w:ascii="仿宋_GB2312" w:hAnsi="仿宋_GB2312" w:eastAsia="仿宋_GB2312" w:cs="仿宋_GB2312"/>
              <w:color w:val="auto"/>
              <w:kern w:val="2"/>
              <w:sz w:val="32"/>
              <w:szCs w:val="32"/>
              <w:lang w:val="en-US" w:eastAsia="zh-CN" w:bidi="ar-SA"/>
            </w:rPr>
            <w:t>8</w:t>
          </w:r>
          <w:r>
            <w:rPr>
              <w:rFonts w:hint="eastAsia" w:ascii="仿宋_GB2312" w:hAnsi="仿宋_GB2312" w:eastAsia="仿宋_GB2312" w:cs="仿宋_GB2312"/>
              <w:color w:val="auto"/>
              <w:kern w:val="2"/>
              <w:sz w:val="32"/>
              <w:szCs w:val="32"/>
              <w:lang w:val="en-US" w:eastAsia="zh-CN" w:bidi="ar-SA"/>
            </w:rPr>
            <w:fldChar w:fldCharType="end"/>
          </w:r>
          <w:r>
            <w:rPr>
              <w:rFonts w:hint="eastAsia" w:ascii="仿宋_GB2312" w:hAnsi="仿宋_GB2312" w:eastAsia="仿宋_GB2312" w:cs="仿宋_GB2312"/>
              <w:color w:val="auto"/>
              <w:kern w:val="2"/>
              <w:sz w:val="32"/>
              <w:szCs w:val="32"/>
              <w:lang w:val="en-US" w:eastAsia="zh-CN" w:bidi="ar-SA"/>
            </w:rPr>
            <w:fldChar w:fldCharType="end"/>
          </w:r>
        </w:p>
        <w:p w14:paraId="77A6E963">
          <w:pPr>
            <w:pStyle w:val="15"/>
            <w:tabs>
              <w:tab w:val="right" w:leader="dot" w:pos="8845"/>
            </w:tabs>
          </w:pPr>
        </w:p>
        <w:p w14:paraId="5124B65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14:textFill>
                <w14:solidFill>
                  <w14:schemeClr w14:val="tx1"/>
                </w14:solidFill>
              </w14:textFill>
            </w:rPr>
          </w:pPr>
          <w:r>
            <w:rPr>
              <w:rFonts w:hint="eastAsia" w:ascii="宋体" w:hAnsi="宋体" w:eastAsia="宋体" w:cs="宋体"/>
              <w:b/>
              <w:i w:val="0"/>
              <w:caps w:val="0"/>
              <w:color w:val="000000" w:themeColor="text1"/>
              <w:spacing w:val="0"/>
              <w:kern w:val="0"/>
              <w:szCs w:val="28"/>
              <w:highlight w:val="none"/>
              <w:shd w:val="clear" w:color="auto" w:fill="FFFFFF"/>
              <w:lang w:val="en-US" w:eastAsia="zh-CN"/>
              <w14:textFill>
                <w14:solidFill>
                  <w14:schemeClr w14:val="tx1"/>
                </w14:solidFill>
              </w14:textFill>
            </w:rPr>
            <w:fldChar w:fldCharType="end"/>
          </w:r>
        </w:p>
      </w:sdtContent>
    </w:sdt>
    <w:p w14:paraId="524E810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482" w:firstLineChars="200"/>
        <w:jc w:val="both"/>
        <w:rPr>
          <w:rFonts w:hint="eastAsia" w:ascii="宋体" w:hAnsi="宋体" w:eastAsia="宋体" w:cs="宋体"/>
          <w:b/>
          <w:i w:val="0"/>
          <w:caps w:val="0"/>
          <w:color w:val="000000" w:themeColor="text1"/>
          <w:spacing w:val="0"/>
          <w:kern w:val="0"/>
          <w:sz w:val="24"/>
          <w:szCs w:val="28"/>
          <w:highlight w:val="none"/>
          <w:shd w:val="clear" w:color="auto" w:fill="FFFFFF"/>
          <w:lang w:val="en-US" w:eastAsia="zh-CN"/>
          <w14:textFill>
            <w14:solidFill>
              <w14:schemeClr w14:val="tx1"/>
            </w14:solidFill>
          </w14:textFill>
        </w:rPr>
      </w:pPr>
    </w:p>
    <w:p w14:paraId="120976F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B0EA39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5B2507C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06EB1B0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9366C9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89080A7">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682AFAA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B42687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DCC05B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560" w:firstLineChars="20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15F83E1A">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CDB32E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74AAD2D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2B5E8B0E">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14:textFill>
            <w14:solidFill>
              <w14:schemeClr w14:val="tx1"/>
            </w14:solidFill>
          </w14:textFill>
        </w:rPr>
      </w:pPr>
    </w:p>
    <w:p w14:paraId="3651445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9197"/>
      <w:r>
        <w:rPr>
          <w:rFonts w:hint="eastAsia" w:ascii="黑体" w:hAnsi="黑体" w:eastAsia="黑体" w:cs="黑体"/>
          <w:sz w:val="32"/>
          <w:szCs w:val="32"/>
          <w:lang w:val="en-US" w:eastAsia="zh-CN"/>
        </w:rPr>
        <w:t>一、基本职能及主要工作</w:t>
      </w:r>
      <w:bookmarkEnd w:id="5"/>
    </w:p>
    <w:p w14:paraId="48A0210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18781"/>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6"/>
    </w:p>
    <w:p w14:paraId="71C405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1.贯彻党的教育方针，坚持社会主义办学方向，实行教育与生产劳动相结合，对学生进行德育、智育、体育、美育和劳动等方面的教育。</w:t>
      </w:r>
    </w:p>
    <w:p w14:paraId="7562CAC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2.负责配合政府依法动员、组织适龄儿童、少年入学，严格控制学生辍学，依法保证适龄儿童、少年接受九年义务教育。</w:t>
      </w:r>
    </w:p>
    <w:p w14:paraId="1A2E6E7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3.负责依法制定学校章程，并按照章程自主管理。</w:t>
      </w:r>
    </w:p>
    <w:p w14:paraId="2301CAE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4.负责制定学校教育发展规划，并抓好组织和实施工作。</w:t>
      </w:r>
    </w:p>
    <w:p w14:paraId="3F87564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5.负责按照教育主管部门发布的指导性教学计划、教学大纲，组织实施教育教学活动。</w:t>
      </w:r>
    </w:p>
    <w:p w14:paraId="7D533E6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6.负责学籍管理并对学生实施奖励或处分。</w:t>
      </w:r>
    </w:p>
    <w:p w14:paraId="007D4C1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7.负责依法制定本校教师及其他职工聘任制度，并对教师及其他员工实施包括奖励、处分在内的具体管理活动。</w:t>
      </w:r>
    </w:p>
    <w:p w14:paraId="20013AB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8.负责科学管理、合理使用学校的设施和经费，并积极筹措资金，改善办学条件。</w:t>
      </w:r>
    </w:p>
    <w:p w14:paraId="28EC8AF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9.负责维护学校、师生的合法权益，有权拒绝任何组织和个人对教育教学活动的非法干扰。</w:t>
      </w:r>
    </w:p>
    <w:p w14:paraId="4C53BC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10.依法接受各级教育行政部门的检查指导和人民群众的监督。</w:t>
      </w:r>
    </w:p>
    <w:p w14:paraId="09EB135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11.承办上级交办的其他事项。</w:t>
      </w:r>
    </w:p>
    <w:p w14:paraId="0CFB2A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7" w:name="_Toc22416"/>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rPr>
        <w:t>202</w:t>
      </w:r>
      <w:r>
        <w:rPr>
          <w:rFonts w:hint="eastAsia" w:ascii="楷体_GB2312" w:hAnsi="楷体_GB2312" w:eastAsia="楷体_GB2312" w:cs="楷体_GB2312"/>
          <w:sz w:val="32"/>
          <w:szCs w:val="32"/>
          <w:lang w:val="en-US" w:eastAsia="zh-CN"/>
        </w:rPr>
        <w:t>5</w:t>
      </w:r>
      <w:r>
        <w:rPr>
          <w:rFonts w:hint="eastAsia" w:ascii="楷体_GB2312" w:hAnsi="楷体_GB2312" w:eastAsia="楷体_GB2312" w:cs="楷体_GB2312"/>
          <w:sz w:val="32"/>
          <w:szCs w:val="32"/>
        </w:rPr>
        <w:t>年重点工作</w:t>
      </w:r>
      <w:bookmarkEnd w:id="7"/>
    </w:p>
    <w:p w14:paraId="5DA56EA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1"/>
        <w:rPr>
          <w:rFonts w:hint="eastAsia" w:ascii="仿宋" w:hAnsi="仿宋" w:eastAsia="仿宋" w:cs="仿宋"/>
          <w:sz w:val="32"/>
          <w:szCs w:val="32"/>
          <w:lang w:val="en-US" w:eastAsia="zh-CN"/>
        </w:rPr>
      </w:pPr>
      <w:bookmarkStart w:id="8" w:name="_Toc26922"/>
      <w:bookmarkStart w:id="9" w:name="_Toc11437"/>
      <w:r>
        <w:rPr>
          <w:rFonts w:hint="eastAsia" w:ascii="仿宋" w:hAnsi="仿宋" w:eastAsia="仿宋" w:cs="仿宋"/>
          <w:sz w:val="32"/>
          <w:szCs w:val="32"/>
          <w:lang w:val="en-US" w:eastAsia="zh-CN"/>
        </w:rPr>
        <w:t>1.求实务本办实事</w:t>
      </w:r>
      <w:bookmarkEnd w:id="8"/>
      <w:bookmarkEnd w:id="9"/>
    </w:p>
    <w:p w14:paraId="7A28168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支部将围绕教学抓党建，抓好党建促教学，把党史学习教育与教育教学工作紧密结合。要求全体教师潜心育人，通过师生结对学业辅导、心理疏导、多渠道资助帮扶、千名教师访万家等各种途径关爱留守儿童、困境儿童，努力提升教学质量和育人成效，真正为民办实事。</w:t>
      </w:r>
    </w:p>
    <w:p w14:paraId="5120C3A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1"/>
        <w:rPr>
          <w:rFonts w:hint="eastAsia" w:ascii="仿宋" w:hAnsi="仿宋" w:eastAsia="仿宋" w:cs="仿宋"/>
          <w:sz w:val="32"/>
          <w:szCs w:val="32"/>
          <w:lang w:val="en-US" w:eastAsia="zh-CN"/>
        </w:rPr>
      </w:pPr>
      <w:bookmarkStart w:id="10" w:name="_Toc21113"/>
      <w:bookmarkStart w:id="11" w:name="_Toc6947"/>
      <w:r>
        <w:rPr>
          <w:rFonts w:hint="eastAsia" w:ascii="仿宋" w:hAnsi="仿宋" w:eastAsia="仿宋" w:cs="仿宋"/>
          <w:sz w:val="32"/>
          <w:szCs w:val="32"/>
          <w:lang w:val="en-US" w:eastAsia="zh-CN"/>
        </w:rPr>
        <w:t>2.廉洁自律抓作风</w:t>
      </w:r>
      <w:bookmarkEnd w:id="10"/>
      <w:bookmarkEnd w:id="11"/>
    </w:p>
    <w:p w14:paraId="4C0A54F6">
      <w:pPr>
        <w:numPr>
          <w:ilvl w:val="0"/>
          <w:numId w:val="0"/>
        </w:numPr>
        <w:ind w:firstLine="64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深入开展干部纪律作风整顿工作和“以案促改”工作，强化师德师风建设。一是加强学习和警示教育。组织全体教职工认真学习各级有关干部纪律作风整顿的文件和要求，以身边人、常见事加强警示教育。紧密结合教育教学工作，以问题为导向，以工作中的小问题为切入口，以自查和他人提、领导点等方式全面开展问题查摆，深入开展剖析，并在工作中立行立改、按期销号，并形成长效机制。</w:t>
      </w:r>
    </w:p>
    <w:p w14:paraId="38AD046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3.整合资源，积极开展教研教改。</w:t>
      </w:r>
    </w:p>
    <w:p w14:paraId="37DCA9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一是支持教师外派学习、培训，充实理论，积累经验；</w:t>
      </w:r>
    </w:p>
    <w:p w14:paraId="742305FB">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是合理利用网络等资源，提升能力，辅助教学；三是联合研讨，共同成长，积极对接广元尚熙、康乐园送教到园，与柏林小学开展教学交流；四是以微课题为切入口进行农村小班化有效教学模式探索；五是通过实习生指导增强学校教研氛围。</w:t>
      </w:r>
    </w:p>
    <w:p w14:paraId="3EB4A75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4.做实常规，扎实过程管理</w:t>
      </w:r>
    </w:p>
    <w:p w14:paraId="78F3828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加强教学常规管理，做实教学六认真，通计划、明要求、</w:t>
      </w:r>
    </w:p>
    <w:p w14:paraId="0335880A">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过程，交叉检查，例会公布，逗硬奖惩。学校领导班子带头上主课，坚持推门听课，及时交流，当周整改。以幼儿园为源头，抓实常规，丰富活动，文明礼仪；以小学为主体，规范课堂，丰富课程，深抓习惯；以毕业班为突破口，夯实过程，改进教法，提升效率。</w:t>
      </w:r>
    </w:p>
    <w:p w14:paraId="60E4B51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outlineLvl w:val="1"/>
        <w:rPr>
          <w:rFonts w:hint="eastAsia" w:ascii="仿宋" w:hAnsi="仿宋" w:eastAsia="仿宋" w:cs="仿宋"/>
          <w:sz w:val="32"/>
          <w:szCs w:val="32"/>
          <w:lang w:val="en-US" w:eastAsia="zh-CN"/>
        </w:rPr>
      </w:pPr>
      <w:bookmarkStart w:id="12" w:name="_Toc32653"/>
      <w:bookmarkStart w:id="13" w:name="_Toc32643"/>
      <w:r>
        <w:rPr>
          <w:rFonts w:hint="eastAsia" w:ascii="仿宋" w:hAnsi="仿宋" w:eastAsia="仿宋" w:cs="仿宋"/>
          <w:sz w:val="32"/>
          <w:szCs w:val="32"/>
          <w:lang w:val="en-US" w:eastAsia="zh-CN"/>
        </w:rPr>
        <w:t>5.五项管理和“双减”全面落细落实</w:t>
      </w:r>
      <w:bookmarkEnd w:id="12"/>
      <w:bookmarkEnd w:id="13"/>
    </w:p>
    <w:p w14:paraId="62D9E95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cs="仿宋"/>
          <w:sz w:val="32"/>
          <w:szCs w:val="32"/>
          <w:lang w:val="en-US" w:eastAsia="zh-CN"/>
        </w:rPr>
        <w:t>学校严格落实教育部、省市区关于五项管理和“双减”工作要求，结合学校实际，规范教学行为，严守作息时间，严控手机管理，加强心理健康教育。精心组织设计课后延时服务，搞好社团建设，培养学生兴趣特长。认真组织每天的体育锻炼，积极训练，参加了区运动会，开展了秋季运动会。充分发挥农村独特的自然资源优势，利用课余时间研学，带领学生走出教室，走进田野，认识自然的美妙神奇，感受家乡的变化，展望美好未来。加强了音乐、美术等课程学习，并通过每周一画，美文朗诵等全面加强美育。每日扫除、保洁，责任到人，植树种花、清淤拔草，校园地开垦、种植等活动全面加强劳动教育。学生全员参与，个个能唱会跳、能写会画，才艺多样展示。</w:t>
      </w:r>
    </w:p>
    <w:p w14:paraId="7FAD70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4" w:name="_Toc5983"/>
      <w:r>
        <w:rPr>
          <w:rFonts w:hint="eastAsia" w:ascii="黑体" w:hAnsi="黑体" w:eastAsia="黑体" w:cs="黑体"/>
          <w:sz w:val="32"/>
          <w:szCs w:val="32"/>
          <w:lang w:val="en-US" w:eastAsia="zh-CN"/>
        </w:rPr>
        <w:t>二、部门预算单位构成</w:t>
      </w:r>
      <w:bookmarkEnd w:id="14"/>
    </w:p>
    <w:p w14:paraId="6954092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我单位为广元市昭化区教育局的下属二级预算单位，属于公益一类事业单位，无下属机构。</w:t>
      </w:r>
    </w:p>
    <w:p w14:paraId="257E22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5" w:name="_Toc17255"/>
      <w:r>
        <w:rPr>
          <w:rFonts w:hint="eastAsia" w:ascii="黑体" w:hAnsi="黑体" w:eastAsia="黑体" w:cs="黑体"/>
          <w:sz w:val="32"/>
          <w:szCs w:val="32"/>
          <w:lang w:val="en-US" w:eastAsia="zh-CN"/>
        </w:rPr>
        <w:t>三、收支预算情况说明</w:t>
      </w:r>
      <w:bookmarkEnd w:id="15"/>
    </w:p>
    <w:p w14:paraId="50BD01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小新小学所有收入和支出均纳入部门预算管理。收入包括：一般公共预算拨款收入；支出包括：教育支出。新小学2025年收支预算总数263.57万元，比2024年收支预算总数减少44.89万元，主要原因是基本支出减少。</w:t>
      </w:r>
    </w:p>
    <w:p w14:paraId="2F0C4C9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6" w:name="_Toc23752"/>
      <w:r>
        <w:rPr>
          <w:rFonts w:hint="eastAsia" w:ascii="楷体_GB2312" w:hAnsi="楷体_GB2312" w:eastAsia="楷体_GB2312" w:cs="楷体_GB2312"/>
          <w:sz w:val="32"/>
          <w:szCs w:val="32"/>
          <w:lang w:val="en-US" w:eastAsia="zh-CN"/>
        </w:rPr>
        <w:t>（一）收入预算情况</w:t>
      </w:r>
      <w:bookmarkEnd w:id="16"/>
    </w:p>
    <w:p w14:paraId="695759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小新小学2025年收入预算263.57万元，占100%；一般公共预算拨款收入263.57万元。</w:t>
      </w:r>
    </w:p>
    <w:p w14:paraId="1984410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7" w:name="_Toc4202"/>
      <w:r>
        <w:rPr>
          <w:rFonts w:hint="eastAsia" w:ascii="楷体_GB2312" w:hAnsi="楷体_GB2312" w:eastAsia="楷体_GB2312" w:cs="楷体_GB2312"/>
          <w:sz w:val="32"/>
          <w:szCs w:val="32"/>
          <w:lang w:val="en-US" w:eastAsia="zh-CN"/>
        </w:rPr>
        <w:t>（二）支出预算情况</w:t>
      </w:r>
      <w:bookmarkEnd w:id="17"/>
    </w:p>
    <w:p w14:paraId="47014E6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小新小学2025年支出预算263.57万元，其中：基本支出238.17万元，占90.36%；项目支出25.4万元占9.64%</w:t>
      </w:r>
      <w:r>
        <w:rPr>
          <w:rFonts w:hint="eastAsia" w:ascii="仿宋_GB2312" w:hAnsi="仿宋_GB2312" w:eastAsia="仿宋_GB2312" w:cs="仿宋_GB2312"/>
          <w:b w:val="0"/>
          <w:bCs w:val="0"/>
          <w:sz w:val="32"/>
          <w:szCs w:val="32"/>
          <w:lang w:val="en-US" w:eastAsia="zh-CN"/>
        </w:rPr>
        <w:t>。</w:t>
      </w:r>
    </w:p>
    <w:p w14:paraId="7D376CA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11679"/>
      <w:r>
        <w:rPr>
          <w:rFonts w:hint="eastAsia" w:ascii="黑体" w:hAnsi="黑体" w:eastAsia="黑体" w:cs="黑体"/>
          <w:sz w:val="32"/>
          <w:szCs w:val="32"/>
          <w:lang w:val="en-US" w:eastAsia="zh-CN"/>
        </w:rPr>
        <w:t>四、财政拨款收支预算情况说明</w:t>
      </w:r>
      <w:bookmarkEnd w:id="18"/>
    </w:p>
    <w:p w14:paraId="497D733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小新小学2025年财政拨款收支预算总数为263.57万元，比2024年财政拨款收支预算总数减少44.89万元，主要原因是基本支出减少。</w:t>
      </w:r>
    </w:p>
    <w:p w14:paraId="7385AF7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收入包括：本年一般公共预算拨款收入263.57万元、支出包括：教育支出263.57万元。</w:t>
      </w:r>
    </w:p>
    <w:p w14:paraId="1EC56C0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9" w:name="_Toc18273"/>
      <w:r>
        <w:rPr>
          <w:rFonts w:hint="eastAsia" w:ascii="黑体" w:hAnsi="黑体" w:eastAsia="黑体" w:cs="黑体"/>
          <w:sz w:val="32"/>
          <w:szCs w:val="32"/>
          <w:lang w:val="en-US" w:eastAsia="zh-CN"/>
        </w:rPr>
        <w:t>五、一般公共预算当年拨款情况说明</w:t>
      </w:r>
      <w:bookmarkEnd w:id="19"/>
    </w:p>
    <w:p w14:paraId="689D15D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6378"/>
      <w:r>
        <w:rPr>
          <w:rFonts w:hint="eastAsia" w:ascii="楷体_GB2312" w:hAnsi="楷体_GB2312" w:eastAsia="楷体_GB2312" w:cs="楷体_GB2312"/>
          <w:sz w:val="32"/>
          <w:szCs w:val="32"/>
          <w:lang w:val="en-US" w:eastAsia="zh-CN"/>
        </w:rPr>
        <w:t>（一）一般公共预算当年拨款规模变化情况</w:t>
      </w:r>
      <w:bookmarkEnd w:id="20"/>
    </w:p>
    <w:p w14:paraId="54E3073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小新小学2025年一般公共预算当年拨款263.57万元，比2024年预算数减少44.89万元，主要原因是基本支出减少。</w:t>
      </w:r>
    </w:p>
    <w:p w14:paraId="5769F92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1" w:name="_Toc12048"/>
      <w:r>
        <w:rPr>
          <w:rFonts w:hint="eastAsia" w:ascii="楷体_GB2312" w:hAnsi="楷体_GB2312" w:eastAsia="楷体_GB2312" w:cs="楷体_GB2312"/>
          <w:sz w:val="32"/>
          <w:szCs w:val="32"/>
          <w:lang w:val="en-US" w:eastAsia="zh-CN"/>
        </w:rPr>
        <w:t>（二）一般公共预算当年拨款结构情况</w:t>
      </w:r>
      <w:bookmarkEnd w:id="21"/>
    </w:p>
    <w:p w14:paraId="69A85B4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教育支出263.57万元，占100%。</w:t>
      </w:r>
    </w:p>
    <w:p w14:paraId="008BF1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22222"/>
      <w:r>
        <w:rPr>
          <w:rFonts w:hint="eastAsia" w:ascii="楷体_GB2312" w:hAnsi="楷体_GB2312" w:eastAsia="楷体_GB2312" w:cs="楷体_GB2312"/>
          <w:sz w:val="32"/>
          <w:szCs w:val="32"/>
          <w:lang w:val="en-US" w:eastAsia="zh-CN"/>
        </w:rPr>
        <w:t>（三）一般公共预算当年拨款具体使用情况</w:t>
      </w:r>
      <w:bookmarkEnd w:id="22"/>
    </w:p>
    <w:p w14:paraId="66C7026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default" w:ascii="仿宋_GB2312" w:hAnsi="仿宋_GB2312" w:eastAsia="仿宋_GB2312" w:cs="仿宋_GB2312"/>
          <w:sz w:val="32"/>
          <w:szCs w:val="32"/>
          <w:lang w:val="en-US" w:eastAsia="zh-CN"/>
        </w:rPr>
        <w:t>教育支出（类）普通教育（款）小学教育（项）2025年预算数为</w:t>
      </w:r>
      <w:r>
        <w:rPr>
          <w:rFonts w:hint="eastAsia" w:ascii="仿宋_GB2312" w:hAnsi="仿宋_GB2312" w:eastAsia="仿宋_GB2312" w:cs="仿宋_GB2312"/>
          <w:sz w:val="32"/>
          <w:szCs w:val="32"/>
          <w:lang w:val="en-US" w:eastAsia="zh-CN"/>
        </w:rPr>
        <w:t>263.57</w:t>
      </w:r>
      <w:r>
        <w:rPr>
          <w:rFonts w:hint="default" w:ascii="仿宋_GB2312" w:hAnsi="仿宋_GB2312" w:eastAsia="仿宋_GB2312" w:cs="仿宋_GB2312"/>
          <w:sz w:val="32"/>
          <w:szCs w:val="32"/>
          <w:lang w:val="en-US" w:eastAsia="zh-CN"/>
        </w:rPr>
        <w:t>万元，主要用于：小学教育机构的基本支出，包括基本工资、津贴补贴、基础绩效奖等人员经费以及机构运行所需的办公费、印刷费、维修（护）费、工会经费等运行补助经费。</w:t>
      </w:r>
    </w:p>
    <w:p w14:paraId="103EEBA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3" w:name="_Toc16818"/>
      <w:r>
        <w:rPr>
          <w:rFonts w:hint="eastAsia" w:ascii="黑体" w:hAnsi="黑体" w:eastAsia="黑体" w:cs="黑体"/>
          <w:sz w:val="32"/>
          <w:szCs w:val="32"/>
          <w:lang w:val="en-US" w:eastAsia="zh-CN"/>
        </w:rPr>
        <w:t>六、一般公共预算基本支出情况说明</w:t>
      </w:r>
      <w:bookmarkEnd w:id="23"/>
    </w:p>
    <w:p w14:paraId="08F5B4A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小新小学2025年一般公共预算基本支出238.17万元，其中：</w:t>
      </w:r>
    </w:p>
    <w:p w14:paraId="78A9DC6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人员经费238.17万元，主要包括：基本工资、津贴补贴、奖金、绩效工资、社会保险缴费、住房公积金、其他工资福利支出、生活补助支出。</w:t>
      </w:r>
    </w:p>
    <w:p w14:paraId="609814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公用经费0万元。</w:t>
      </w:r>
    </w:p>
    <w:p w14:paraId="15A5528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4" w:name="_Toc14489"/>
      <w:r>
        <w:rPr>
          <w:rFonts w:hint="eastAsia" w:ascii="黑体" w:hAnsi="黑体" w:eastAsia="黑体" w:cs="黑体"/>
          <w:sz w:val="32"/>
          <w:szCs w:val="32"/>
          <w:lang w:val="en-US" w:eastAsia="zh-CN"/>
        </w:rPr>
        <w:t>七、“三公”经费财政拨款预算安排情况说明</w:t>
      </w:r>
      <w:bookmarkEnd w:id="24"/>
    </w:p>
    <w:p w14:paraId="56AFAA7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小新小学2025年“三公”经费财政拨款预算数为0万元，其中：公务接待费0万元，公务用车购置及运行维护费0万元，因公出国（境）经费0万元。</w:t>
      </w:r>
    </w:p>
    <w:p w14:paraId="46E243A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5" w:name="_Toc21338"/>
      <w:r>
        <w:rPr>
          <w:rFonts w:hint="eastAsia" w:ascii="楷体_GB2312" w:hAnsi="楷体_GB2312" w:eastAsia="楷体_GB2312" w:cs="楷体_GB2312"/>
          <w:sz w:val="32"/>
          <w:szCs w:val="32"/>
          <w:lang w:val="en-US" w:eastAsia="zh-CN"/>
        </w:rPr>
        <w:t>（一）公务接待费</w:t>
      </w:r>
      <w:bookmarkEnd w:id="25"/>
    </w:p>
    <w:p w14:paraId="32C22F9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公务接待费与2024年预算相比持平。</w:t>
      </w:r>
    </w:p>
    <w:p w14:paraId="6A50B81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2025年公务接待费计划用于执行接待考察调研、检查指导等公务活动开支的交通费、住宿费、用餐费等。</w:t>
      </w:r>
    </w:p>
    <w:p w14:paraId="2BC5B960">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6" w:name="_Toc21035"/>
      <w:r>
        <w:rPr>
          <w:rFonts w:hint="eastAsia" w:ascii="楷体_GB2312" w:hAnsi="楷体_GB2312" w:eastAsia="楷体_GB2312" w:cs="楷体_GB2312"/>
          <w:sz w:val="32"/>
          <w:szCs w:val="32"/>
          <w:lang w:val="en-US" w:eastAsia="zh-CN"/>
        </w:rPr>
        <w:t>公务用车购置及运行维护费</w:t>
      </w:r>
      <w:bookmarkEnd w:id="26"/>
    </w:p>
    <w:p w14:paraId="1019B8C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公务用车购置及运行维护费与2024年预算相比持平。</w:t>
      </w:r>
    </w:p>
    <w:p w14:paraId="1A58E4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单位现有公务用车0辆。</w:t>
      </w:r>
    </w:p>
    <w:p w14:paraId="2FA2378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2025年未安排公务用车购置费。</w:t>
      </w:r>
    </w:p>
    <w:p w14:paraId="70457D4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2025年安排公务用车运行维护费0万元。</w:t>
      </w:r>
    </w:p>
    <w:p w14:paraId="25F99538">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27" w:name="_Toc16433"/>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27"/>
    </w:p>
    <w:p w14:paraId="7A1BA06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因公出国（境）经费与2024年预算相比持平。</w:t>
      </w:r>
    </w:p>
    <w:p w14:paraId="7515D0B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8" w:name="_Toc28577"/>
      <w:r>
        <w:rPr>
          <w:rFonts w:hint="eastAsia" w:ascii="黑体" w:hAnsi="黑体" w:eastAsia="黑体" w:cs="黑体"/>
          <w:sz w:val="32"/>
          <w:szCs w:val="32"/>
          <w:lang w:val="en-US" w:eastAsia="zh-CN"/>
        </w:rPr>
        <w:t>八、政府性基金预算支出情况说明</w:t>
      </w:r>
      <w:bookmarkEnd w:id="28"/>
    </w:p>
    <w:p w14:paraId="005115F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小新小学2025年无政府性基金预算拨款安排的支出。</w:t>
      </w:r>
    </w:p>
    <w:p w14:paraId="3227CB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29" w:name="_Toc2551"/>
      <w:r>
        <w:rPr>
          <w:rFonts w:hint="eastAsia" w:ascii="黑体" w:hAnsi="黑体" w:eastAsia="黑体" w:cs="黑体"/>
          <w:sz w:val="32"/>
          <w:szCs w:val="32"/>
          <w:lang w:val="en-US" w:eastAsia="zh-CN"/>
        </w:rPr>
        <w:t>九、国有资本经营预算支出情况说明</w:t>
      </w:r>
      <w:bookmarkEnd w:id="29"/>
    </w:p>
    <w:p w14:paraId="5425614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小新小学2025年无国有资本经营预算拨款安排的支出。</w:t>
      </w:r>
    </w:p>
    <w:p w14:paraId="6020AD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0" w:name="_Toc16757"/>
      <w:r>
        <w:rPr>
          <w:rFonts w:hint="eastAsia" w:ascii="黑体" w:hAnsi="黑体" w:eastAsia="黑体" w:cs="黑体"/>
          <w:sz w:val="32"/>
          <w:szCs w:val="32"/>
          <w:lang w:val="en-US" w:eastAsia="zh-CN"/>
        </w:rPr>
        <w:t>十、其他重要事项的情况说明</w:t>
      </w:r>
      <w:bookmarkEnd w:id="30"/>
    </w:p>
    <w:p w14:paraId="38A1742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1" w:name="_Toc17963"/>
      <w:r>
        <w:rPr>
          <w:rFonts w:hint="eastAsia" w:ascii="楷体_GB2312" w:hAnsi="楷体_GB2312" w:eastAsia="楷体_GB2312" w:cs="楷体_GB2312"/>
          <w:sz w:val="32"/>
          <w:szCs w:val="32"/>
          <w:lang w:val="en-US" w:eastAsia="zh-CN"/>
        </w:rPr>
        <w:t>（一）机关运行经费</w:t>
      </w:r>
      <w:bookmarkEnd w:id="31"/>
    </w:p>
    <w:p w14:paraId="2BD42FA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2025年，本单位属公益一类事业单位，无机关运行经费。</w:t>
      </w:r>
    </w:p>
    <w:p w14:paraId="7248B7F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14953"/>
      <w:r>
        <w:rPr>
          <w:rFonts w:hint="eastAsia" w:ascii="楷体_GB2312" w:hAnsi="楷体_GB2312" w:eastAsia="楷体_GB2312" w:cs="楷体_GB2312"/>
          <w:sz w:val="32"/>
          <w:szCs w:val="32"/>
          <w:lang w:val="en-US" w:eastAsia="zh-CN"/>
        </w:rPr>
        <w:t>（二）政府采购情况</w:t>
      </w:r>
      <w:bookmarkEnd w:id="32"/>
    </w:p>
    <w:p w14:paraId="04C1E6F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2025年，小新小学安排政府采购预算0万元。</w:t>
      </w:r>
    </w:p>
    <w:p w14:paraId="06CD155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3" w:name="_Toc2752"/>
      <w:r>
        <w:rPr>
          <w:rFonts w:hint="eastAsia" w:ascii="楷体_GB2312" w:hAnsi="楷体_GB2312" w:eastAsia="楷体_GB2312" w:cs="楷体_GB2312"/>
          <w:sz w:val="32"/>
          <w:szCs w:val="32"/>
          <w:lang w:val="en-US" w:eastAsia="zh-CN"/>
        </w:rPr>
        <w:t>（三）国有资产占有使用情况</w:t>
      </w:r>
      <w:bookmarkEnd w:id="33"/>
    </w:p>
    <w:p w14:paraId="1ADBDAE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截至2024年底，小新小学共有车辆0辆。单位无价值200万元以上的大型设备。</w:t>
      </w:r>
    </w:p>
    <w:p w14:paraId="7D9C3EE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2025年部门预算未安排购置车辆及单位价值200万元以上大型设备。</w:t>
      </w:r>
    </w:p>
    <w:p w14:paraId="397C9CD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34" w:name="_Toc13814"/>
      <w:r>
        <w:rPr>
          <w:rFonts w:hint="eastAsia" w:ascii="楷体_GB2312" w:hAnsi="楷体_GB2312" w:eastAsia="楷体_GB2312" w:cs="楷体_GB2312"/>
          <w:sz w:val="32"/>
          <w:szCs w:val="32"/>
          <w:lang w:val="en-US" w:eastAsia="zh-CN"/>
        </w:rPr>
        <w:t>（四）绩效目标设置情况</w:t>
      </w:r>
      <w:bookmarkEnd w:id="34"/>
    </w:p>
    <w:p w14:paraId="77F8DC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2025年小新小学开展绩效目标管理的项目13个，涉及预算263.57万元。其中：人员类项目10个，涉及预算238.17万元；运转类项目3个，涉及预算25.4万元；特定目标类项目0个，涉及预算0万元。因部分项目内容涉密，不予公开。</w:t>
      </w:r>
    </w:p>
    <w:p w14:paraId="3805736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35" w:name="_Toc13655"/>
      <w:r>
        <w:rPr>
          <w:rFonts w:hint="eastAsia" w:ascii="黑体" w:hAnsi="黑体" w:eastAsia="黑体" w:cs="黑体"/>
          <w:sz w:val="32"/>
          <w:szCs w:val="32"/>
          <w:lang w:val="en-US" w:eastAsia="zh-CN"/>
        </w:rPr>
        <w:t>十一、名词解释</w:t>
      </w:r>
      <w:bookmarkEnd w:id="35"/>
    </w:p>
    <w:p w14:paraId="17D1D6B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eastAsia" w:ascii="仿宋_GB2312" w:hAnsi="仿宋_GB2312" w:eastAsia="仿宋_GB2312" w:cs="仿宋_GB2312"/>
          <w:sz w:val="32"/>
          <w:szCs w:val="32"/>
          <w:lang w:val="en-US" w:eastAsia="zh-CN"/>
        </w:rPr>
        <w:t>指区级财政当年安排的财政预算收入。按现行管理制度，部门预算中反映的财政拨款包括一般公共预算拨款和政府性基金预算拨款。</w:t>
      </w:r>
    </w:p>
    <w:p w14:paraId="498847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（二）事业收入：</w:t>
      </w:r>
      <w:r>
        <w:rPr>
          <w:rFonts w:hint="eastAsia" w:ascii="仿宋_GB2312" w:hAnsi="仿宋_GB2312" w:eastAsia="仿宋_GB2312" w:cs="仿宋_GB2312"/>
          <w:sz w:val="32"/>
          <w:szCs w:val="32"/>
          <w:lang w:val="en-US" w:eastAsia="zh-CN"/>
        </w:rPr>
        <w:t>指事业单位开展专业业务活动及辅助活动所取得的收入。主要为学校根据国家有关部门批准的项目和标准收取的学费、住宿费等。</w:t>
      </w:r>
    </w:p>
    <w:p w14:paraId="39C8D2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（三）其他收入：</w:t>
      </w:r>
      <w:r>
        <w:rPr>
          <w:rFonts w:hint="eastAsia" w:ascii="仿宋_GB2312" w:hAnsi="仿宋_GB2312" w:eastAsia="仿宋_GB2312" w:cs="仿宋_GB2312"/>
          <w:sz w:val="32"/>
          <w:szCs w:val="32"/>
          <w:lang w:val="en-US" w:eastAsia="zh-CN"/>
        </w:rPr>
        <w:t>指除上述“一般公共预算拨款收入和事业收入”等以外的收入，银行存款利息收入等。</w:t>
      </w:r>
    </w:p>
    <w:p w14:paraId="7726F66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（四）上年结转：</w:t>
      </w:r>
      <w:r>
        <w:rPr>
          <w:rFonts w:hint="eastAsia" w:ascii="仿宋_GB2312" w:hAnsi="仿宋_GB2312" w:eastAsia="仿宋_GB2312" w:cs="仿宋_GB2312"/>
          <w:sz w:val="32"/>
          <w:szCs w:val="32"/>
          <w:lang w:val="en-US" w:eastAsia="zh-CN"/>
        </w:rPr>
        <w:t>指以前年度尚未完成，结转到本年仍按原规定用途继续使用的资金。</w:t>
      </w:r>
    </w:p>
    <w:p w14:paraId="5458814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（五）</w:t>
      </w:r>
      <w:r>
        <w:rPr>
          <w:rFonts w:hint="eastAsia" w:ascii="仿宋_GB2312" w:hAnsi="仿宋_GB2312" w:eastAsia="仿宋_GB2312" w:cs="仿宋_GB2312"/>
          <w:sz w:val="32"/>
          <w:szCs w:val="32"/>
          <w:lang w:val="en-US" w:eastAsia="zh-CN"/>
        </w:rPr>
        <w:t>教育支出（类）普通教育（款）小学教育（项）：指小学教育发展的基本支出，包括基本工资、津贴补贴等人员经费，以及办公费、印刷费、水电费等日常公用经费</w:t>
      </w:r>
      <w:r>
        <w:rPr>
          <w:rFonts w:hint="eastAsia"/>
          <w:lang w:eastAsia="zh-CN"/>
        </w:rPr>
        <w:t>。</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楷体_GB2312" w:hAnsi="楷体_GB2312" w:eastAsia="楷体_GB2312" w:cs="楷体_GB2312"/>
          <w:sz w:val="32"/>
          <w:szCs w:val="32"/>
          <w:lang w:val="en-US" w:eastAsia="zh-CN"/>
        </w:rPr>
        <w:t>（六）</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社会保障和就业（类）行政事业单位养老支出（款）机关事业单位基本养老保险缴费支出（项）：指部门实施养老保险制度由单位缴纳的养老保险费的支出。</w:t>
      </w:r>
    </w:p>
    <w:p w14:paraId="0E58063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（七）</w:t>
      </w:r>
      <w:r>
        <w:rPr>
          <w:rFonts w:hint="eastAsia" w:ascii="仿宋_GB2312" w:hAnsi="仿宋_GB2312" w:eastAsia="仿宋_GB2312" w:cs="仿宋_GB2312"/>
          <w:sz w:val="32"/>
          <w:szCs w:val="32"/>
          <w:lang w:val="en-US" w:eastAsia="zh-CN"/>
        </w:rPr>
        <w:t>社会保障和就业（类）行政事业单位养老支出（款）机关事业单位职业年金缴费支出（项）：指部门实施养老保险制度由单位缴纳的职业年金的支出。</w:t>
      </w:r>
    </w:p>
    <w:p w14:paraId="72B1D7A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（八）</w:t>
      </w:r>
      <w:r>
        <w:rPr>
          <w:rFonts w:hint="eastAsia" w:ascii="仿宋_GB2312" w:hAnsi="仿宋_GB2312" w:eastAsia="仿宋_GB2312" w:cs="仿宋_GB2312"/>
          <w:sz w:val="32"/>
          <w:szCs w:val="32"/>
          <w:lang w:val="en-US" w:eastAsia="zh-CN"/>
        </w:rPr>
        <w:t>卫生健康（类）行政事业单位医疗（款）事业单位医疗（项）：指事业单位用于单位应缴纳基本医疗保险支出。</w:t>
      </w:r>
    </w:p>
    <w:p w14:paraId="7D7E23D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（九）</w:t>
      </w:r>
      <w:r>
        <w:rPr>
          <w:rFonts w:hint="eastAsia" w:ascii="仿宋_GB2312" w:hAnsi="仿宋_GB2312" w:eastAsia="仿宋_GB2312" w:cs="仿宋_GB2312"/>
          <w:sz w:val="32"/>
          <w:szCs w:val="32"/>
          <w:lang w:val="en-US" w:eastAsia="zh-CN"/>
        </w:rPr>
        <w:t>住房保障（类）住房改革支出（款）住房公积金（项）：指按照《住房公积金管理条例》的规定，由单位及其在职职工缴存的长期住房储金。</w:t>
      </w:r>
    </w:p>
    <w:p w14:paraId="08A4016E">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（十）</w:t>
      </w:r>
      <w:r>
        <w:rPr>
          <w:rFonts w:hint="eastAsia" w:ascii="仿宋_GB2312" w:hAnsi="仿宋_GB2312" w:eastAsia="仿宋_GB2312" w:cs="仿宋_GB2312"/>
          <w:sz w:val="32"/>
          <w:szCs w:val="32"/>
          <w:lang w:val="en-US" w:eastAsia="zh-CN"/>
        </w:rPr>
        <w:t>基本支出：指为保证机构正常运转，完成日常工作任务而发生的人员支出和公用支出。</w:t>
      </w:r>
    </w:p>
    <w:p w14:paraId="0346FEDF">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（十一）</w:t>
      </w:r>
      <w:r>
        <w:rPr>
          <w:rFonts w:hint="eastAsia" w:ascii="仿宋_GB2312" w:hAnsi="仿宋_GB2312" w:eastAsia="仿宋_GB2312" w:cs="仿宋_GB2312"/>
          <w:sz w:val="32"/>
          <w:szCs w:val="32"/>
          <w:lang w:val="en-US" w:eastAsia="zh-CN"/>
        </w:rPr>
        <w:t>项目支出：指在基本支出之外为完成特定行政任务和事业发展目标所发生的支出。</w:t>
      </w:r>
    </w:p>
    <w:p w14:paraId="4C7B4FD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（十二）</w:t>
      </w:r>
      <w:r>
        <w:rPr>
          <w:rFonts w:hint="eastAsia" w:ascii="仿宋_GB2312" w:hAnsi="仿宋_GB2312" w:eastAsia="仿宋_GB2312" w:cs="仿宋_GB2312"/>
          <w:sz w:val="32"/>
          <w:szCs w:val="32"/>
          <w:lang w:val="en-US" w:eastAsia="zh-CN"/>
        </w:rPr>
        <w:t>“三公”经费：纳入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费</w:t>
      </w:r>
      <w:bookmarkStart w:id="37" w:name="_GoBack"/>
      <w:bookmarkEnd w:id="37"/>
      <w:r>
        <w:rPr>
          <w:rFonts w:hint="eastAsia" w:ascii="仿宋_GB2312" w:hAnsi="仿宋_GB2312" w:eastAsia="仿宋_GB2312" w:cs="仿宋_GB2312"/>
          <w:sz w:val="32"/>
          <w:szCs w:val="32"/>
          <w:lang w:val="en-US" w:eastAsia="zh-CN"/>
        </w:rPr>
        <w:t>（含外宾接待）支出。</w:t>
      </w:r>
    </w:p>
    <w:p w14:paraId="3979821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14:paraId="5F14919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 单位预算公开表</w:t>
      </w:r>
    </w:p>
    <w:p w14:paraId="00E88886">
      <w:pPr>
        <w:keepNext w:val="0"/>
        <w:keepLines w:val="0"/>
        <w:pageBreakBefore w:val="0"/>
        <w:widowControl w:val="0"/>
        <w:numPr>
          <w:ilvl w:val="0"/>
          <w:numId w:val="2"/>
        </w:numPr>
        <w:kinsoku/>
        <w:wordWrap/>
        <w:overflowPunct/>
        <w:topLinePunct w:val="0"/>
        <w:autoSpaceDE/>
        <w:autoSpaceDN/>
        <w:bidi w:val="0"/>
        <w:adjustRightInd/>
        <w:snapToGrid/>
        <w:spacing w:line="576" w:lineRule="exact"/>
        <w:ind w:left="1600" w:leftChars="0" w:firstLine="0" w:firstLineChars="0"/>
        <w:textAlignment w:val="auto"/>
        <w:outlineLvl w:val="1"/>
        <w:rPr>
          <w:rFonts w:hint="eastAsia" w:ascii="仿宋_GB2312" w:hAnsi="仿宋_GB2312" w:eastAsia="仿宋_GB2312" w:cs="仿宋_GB2312"/>
          <w:sz w:val="32"/>
          <w:szCs w:val="32"/>
          <w:lang w:val="en-US" w:eastAsia="zh-CN"/>
        </w:rPr>
      </w:pPr>
      <w:bookmarkStart w:id="36" w:name="_Toc29467"/>
      <w:r>
        <w:rPr>
          <w:rFonts w:hint="eastAsia" w:ascii="仿宋_GB2312" w:hAnsi="仿宋_GB2312" w:eastAsia="仿宋_GB2312" w:cs="仿宋_GB2312"/>
          <w:sz w:val="32"/>
          <w:szCs w:val="32"/>
          <w:lang w:val="en-US" w:eastAsia="zh-CN"/>
        </w:rPr>
        <w:t>单位预算项目绩效目标表</w:t>
      </w:r>
      <w:bookmarkEnd w:id="36"/>
    </w:p>
    <w:p w14:paraId="4357A370">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sz w:val="32"/>
          <w:szCs w:val="32"/>
          <w:lang w:val="en-US"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Segoe Print"/>
    <w:panose1 w:val="020B0604020202020204"/>
    <w:charset w:val="00"/>
    <w:family w:val="auto"/>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41A1D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6"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5192B88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anchor="t" upright="0">
                      <a:spAutoFit/>
                    </wps:bodyPr>
                  </wps:wsp>
                </a:graphicData>
              </a:graphic>
            </wp:anchor>
          </w:drawing>
        </mc:Choice>
        <mc:Fallback>
          <w:pict>
            <v:rect id="文本框 1" o:spid="_x0000_s1026" o:spt="1"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Ll1uVLQAAAABQEAAA8AAAAAAAAAAQAgAAAAIgAAAGRycy9kb3ducmV2LnhtbFBL&#10;AQIUABQAAAAIAIdO4kDFj7p//gEAAAAEAAAOAAAAAAAAAAEAIAAAAB8BAABkcnMvZTJvRG9jLnht&#10;bFBLBQYAAAAABgAGAFkBAACPBQAAAAA=&#10;">
              <v:fill on="f" focussize="0,0"/>
              <v:stroke on="f"/>
              <v:imagedata o:title=""/>
              <o:lock v:ext="edit" aspectratio="f"/>
              <v:textbox inset="0mm,0mm,0mm,0mm" style="mso-fit-shape-to-text:t;">
                <w:txbxContent>
                  <w:p w14:paraId="5192B88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D125F0"/>
    <w:multiLevelType w:val="singleLevel"/>
    <w:tmpl w:val="01D125F0"/>
    <w:lvl w:ilvl="0" w:tentative="0">
      <w:start w:val="2"/>
      <w:numFmt w:val="chineseCounting"/>
      <w:suff w:val="nothing"/>
      <w:lvlText w:val="（%1）"/>
      <w:lvlJc w:val="left"/>
      <w:rPr>
        <w:rFonts w:hint="eastAsia"/>
      </w:rPr>
    </w:lvl>
  </w:abstractNum>
  <w:abstractNum w:abstractNumId="1">
    <w:nsid w:val="7A0F3B13"/>
    <w:multiLevelType w:val="singleLevel"/>
    <w:tmpl w:val="7A0F3B13"/>
    <w:lvl w:ilvl="0" w:tentative="0">
      <w:start w:val="2"/>
      <w:numFmt w:val="decimal"/>
      <w:lvlText w:val="%1."/>
      <w:lvlJc w:val="left"/>
      <w:pPr>
        <w:tabs>
          <w:tab w:val="left" w:pos="312"/>
        </w:tabs>
        <w:ind w:left="1600"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YmQ3N2FhZmE1Yjg0OGFkNTU5NTg3M2QzNjJlMDgifQ=="/>
  </w:docVars>
  <w:rsids>
    <w:rsidRoot w:val="00000000"/>
    <w:rsid w:val="5A566925"/>
  </w:rsids>
  <m:mathPr>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autoRedefine/>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table" w:styleId="9">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1">
    <w:name w:val="默认段落字体1"/>
    <w:autoRedefine/>
    <w:qFormat/>
    <w:uiPriority w:val="0"/>
  </w:style>
  <w:style w:type="paragraph" w:customStyle="1" w:styleId="12">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autoRedefine/>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3758</Words>
  <Characters>3972</Characters>
  <TotalTime>0</TotalTime>
  <ScaleCrop>false</ScaleCrop>
  <LinksUpToDate>false</LinksUpToDate>
  <CharactersWithSpaces>4036</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丽丽</cp:lastModifiedBy>
  <dcterms:modified xsi:type="dcterms:W3CDTF">2025-02-15T05:23:25Z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96081F72B7444D3C8C1C7DDAED24732C_13</vt:lpwstr>
  </property>
  <property fmtid="{D5CDD505-2E9C-101B-9397-08002B2CF9AE}" pid="4" name="KSOTemplateDocerSaveRecord">
    <vt:lpwstr>eyJoZGlkIjoiOTlhNTlmMWMwY2NkZGNhOTM0ZTIzOTMwM2UwMjVlYzgiLCJ1c2VySWQiOiI2MDAwNDk2NTIifQ==</vt:lpwstr>
  </property>
</Properties>
</file>