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3C63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广元市昭化区磨滩镇观音小学</w:t>
      </w:r>
    </w:p>
    <w:p w14:paraId="5C98EC5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BF4CBBB">
      <w:pPr>
        <w:jc w:val="center"/>
        <w:outlineLvl w:val="0"/>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bookmarkStart w:id="0" w:name="_Toc9398"/>
      <w:bookmarkStart w:id="1" w:name="_Toc3382"/>
      <w:bookmarkStart w:id="2" w:name="_Toc26288"/>
      <w:bookmarkStart w:id="3" w:name="_Toc16593"/>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bookmarkEnd w:id="0"/>
      <w:bookmarkEnd w:id="1"/>
      <w:bookmarkEnd w:id="2"/>
      <w:bookmarkEnd w:id="3"/>
    </w:p>
    <w:p w14:paraId="5CA5D63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7827"/>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14:paraId="7B43B0DF">
          <w:pPr>
            <w:spacing w:before="0" w:beforeLines="0" w:after="0" w:afterLines="0" w:line="240" w:lineRule="auto"/>
            <w:ind w:left="0" w:leftChars="0" w:right="0" w:rightChars="0" w:firstLine="0" w:firstLineChars="0"/>
            <w:jc w:val="center"/>
          </w:pPr>
        </w:p>
        <w:p w14:paraId="565D5013">
          <w:pPr>
            <w:pStyle w:val="7"/>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r>
            <w:fldChar w:fldCharType="begin"/>
          </w:r>
          <w:r>
            <w:instrText xml:space="preserve"> HYPERLINK \l "_Toc31459"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_Toc31459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DABCF80">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"_Toc18156"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_Toc18156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9878B1C">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"_Toc3414" </w:instrText>
          </w:r>
          <w:r>
            <w:fldChar w:fldCharType="separate"/>
          </w:r>
          <w:r>
            <w:rPr>
              <w:rFonts w:hint="eastAsia" w:ascii="仿宋_GB2312" w:hAnsi="仿宋_GB2312" w:eastAsia="仿宋_GB2312" w:cs="仿宋_GB2312"/>
              <w:color w:val="auto"/>
              <w:kern w:val="2"/>
              <w:sz w:val="32"/>
              <w:szCs w:val="32"/>
              <w:lang w:val="en-US" w:eastAsia="zh-CN" w:bidi="ar-SA"/>
            </w:rPr>
            <w:t>（二） 观音小学2025年重点工作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_Toc3414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0BEA1D3">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"_Toc15738"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_Toc15738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CA36B73">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"_Toc23057"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_Toc23057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5F6C727">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"_Toc6065"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_Toc6065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0F8E8F">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"_Toc5460" </w:instrText>
          </w:r>
          <w:r>
            <w:fldChar w:fldCharType="separate"/>
          </w:r>
          <w:r>
            <w:rPr>
              <w:rFonts w:hint="eastAsia" w:ascii="仿宋_GB2312" w:hAnsi="仿宋_GB2312" w:eastAsia="仿宋_GB2312" w:cs="仿宋_GB2312"/>
              <w:color w:val="auto"/>
              <w:kern w:val="2"/>
              <w:sz w:val="32"/>
              <w:szCs w:val="32"/>
              <w:lang w:val="en-US" w:eastAsia="zh-CN" w:bidi="ar-SA"/>
            </w:rPr>
            <w:t>（二） 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_Toc5460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F689606">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"_Toc26323" </w:instrText>
          </w:r>
          <w:r>
            <w:fldChar w:fldCharType="separate"/>
          </w:r>
          <w:r>
            <w:rPr>
              <w:rFonts w:hint="eastAsia" w:ascii="仿宋_GB2312" w:hAnsi="仿宋_GB2312" w:eastAsia="仿宋_GB2312" w:cs="仿宋_GB2312"/>
              <w:color w:val="auto"/>
              <w:kern w:val="2"/>
              <w:sz w:val="32"/>
              <w:szCs w:val="32"/>
              <w:lang w:val="en-US" w:eastAsia="zh-CN" w:bidi="ar-SA"/>
            </w:rPr>
            <w:t>四、 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_Toc26323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C8331B5">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"_Toc2383"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A30895">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"_Toc14945"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_Toc14945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EEF2B96">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"_Toc1354"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_Toc1354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5496EBE">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"_Toc21287"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_Toc21287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EF41E8E">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"_Toc30647"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_Toc30647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54E28CC">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"_Toc23440"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_Toc23440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CC30B1">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"_Toc10410"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_Toc10410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D952281">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"_Toc9297"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_Toc9297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167A00A">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"_Toc20505"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_Toc20505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475736E">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8A5590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end"/>
          </w:r>
        </w:p>
      </w:sdtContent>
    </w:sdt>
    <w:p w14:paraId="1F83C8F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0" w:firstLineChars="200"/>
        <w:jc w:val="both"/>
        <w:rPr>
          <w:rFonts w:hint="eastAsia" w:ascii="宋体" w:hAnsi="宋体" w:eastAsia="宋体" w:cs="宋体"/>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2685877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C28212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4D5B0A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DB2052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D6704F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C9A429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034E6B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616633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DC4E12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F6FFDA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6A9DB3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90CD5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31459"/>
      <w:r>
        <w:rPr>
          <w:rFonts w:hint="eastAsia" w:ascii="黑体" w:hAnsi="黑体" w:eastAsia="黑体" w:cs="黑体"/>
          <w:sz w:val="32"/>
          <w:szCs w:val="32"/>
          <w:lang w:val="en-US" w:eastAsia="zh-CN"/>
        </w:rPr>
        <w:t>一、基本职能及主要工作</w:t>
      </w:r>
      <w:bookmarkEnd w:id="4"/>
    </w:p>
    <w:p w14:paraId="5F96C0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1815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5"/>
    </w:p>
    <w:p w14:paraId="1E2224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A95AD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7EC39B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37465A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620DCB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8207D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67423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03E22D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6421C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16F67F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50C9B8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329278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9EB5386">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3414"/>
      <w:bookmarkStart w:id="37" w:name="_GoBack"/>
      <w:bookmarkEnd w:id="37"/>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6"/>
    </w:p>
    <w:p w14:paraId="5B991309">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1.</w:t>
      </w:r>
      <w:r>
        <w:rPr>
          <w:rFonts w:hint="eastAsia" w:ascii="仿宋_GB2312" w:eastAsia="仿宋_GB2312"/>
          <w:b/>
          <w:sz w:val="32"/>
          <w:szCs w:val="32"/>
        </w:rPr>
        <w:t>以安全建设为保障，构建校园文明和谐及稳定平安。</w:t>
      </w:r>
    </w:p>
    <w:p w14:paraId="79BACE3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（1）继续做好校园安全网格化管理和双重预防机制建设，实施清单制管理。</w:t>
      </w:r>
    </w:p>
    <w:p w14:paraId="405D738A">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（2）加强路队建设，做好学生上学、放学安全教育工作。</w:t>
      </w:r>
    </w:p>
    <w:p w14:paraId="2D78A3C3">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）做好与家长的联络工作，做到信息畅通。</w:t>
      </w:r>
    </w:p>
    <w:p w14:paraId="55901EA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）做好门卫及安保工作，确保校园平安。</w:t>
      </w:r>
    </w:p>
    <w:p w14:paraId="6FD4EC8E">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）加强食品卫生安全，严格规范操作流程。</w:t>
      </w:r>
    </w:p>
    <w:p w14:paraId="04E8220D">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6</w:t>
      </w:r>
      <w:r>
        <w:rPr>
          <w:rFonts w:hint="eastAsia" w:ascii="仿宋_GB2312" w:eastAsia="仿宋_GB2312"/>
          <w:sz w:val="32"/>
          <w:szCs w:val="32"/>
        </w:rPr>
        <w:t>）加强学生的自我保护、自我救护能力的培养。</w:t>
      </w:r>
    </w:p>
    <w:p w14:paraId="7CFF8EDC">
      <w:pPr>
        <w:autoSpaceDE w:val="0"/>
        <w:spacing w:line="576" w:lineRule="exact"/>
        <w:ind w:firstLine="643" w:firstLineChars="200"/>
        <w:outlineLvl w:val="2"/>
        <w:rPr>
          <w:rFonts w:hint="eastAsia" w:ascii="仿宋_GB2312" w:eastAsia="仿宋_GB2312"/>
          <w:b/>
          <w:bCs/>
          <w:sz w:val="32"/>
          <w:szCs w:val="32"/>
        </w:rPr>
      </w:pPr>
      <w:r>
        <w:rPr>
          <w:rFonts w:hint="eastAsia" w:ascii="仿宋_GB2312" w:eastAsia="仿宋_GB2312"/>
          <w:b/>
          <w:bCs/>
          <w:sz w:val="32"/>
          <w:szCs w:val="32"/>
          <w:lang w:val="en-US" w:eastAsia="zh-CN"/>
        </w:rPr>
        <w:t>2</w:t>
      </w:r>
      <w:r>
        <w:rPr>
          <w:rFonts w:hint="eastAsia" w:ascii="仿宋_GB2312" w:eastAsia="仿宋_GB2312"/>
          <w:b/>
          <w:sz w:val="32"/>
          <w:szCs w:val="32"/>
          <w:lang w:val="en-US" w:eastAsia="zh-CN"/>
        </w:rPr>
        <w:t>.</w:t>
      </w:r>
      <w:r>
        <w:rPr>
          <w:rFonts w:hint="eastAsia" w:ascii="仿宋_GB2312" w:eastAsia="仿宋_GB2312"/>
          <w:b/>
          <w:bCs/>
          <w:sz w:val="32"/>
          <w:szCs w:val="32"/>
        </w:rPr>
        <w:t>以疫情防控为抓手，确保师生身体健康及心理健康。</w:t>
      </w:r>
    </w:p>
    <w:p w14:paraId="3CEBCF4A">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（1）结合学校实际情况，拟定好“两案”“九制”，并认真落实到位，将疫情防控常态化。</w:t>
      </w:r>
    </w:p>
    <w:p w14:paraId="7C51172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）加强师生每天的健康监测。</w:t>
      </w:r>
    </w:p>
    <w:p w14:paraId="5D552C3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）规范处置疫情防控期间的各种情况，明确责任边界。</w:t>
      </w:r>
    </w:p>
    <w:p w14:paraId="2063C62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）落实好学生错时错峰上学、放学、就餐、就寝的各项安排。</w:t>
      </w:r>
    </w:p>
    <w:p w14:paraId="5729F6FC">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以扶贫工作为重点，做好适龄儿童就学保障和资助工作。</w:t>
      </w:r>
    </w:p>
    <w:p w14:paraId="1C000798">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（1）继续做好适龄儿童控辍保学工作。继续严格按照“六长”负责制要求，切实履行好学校责任，确保每个适龄儿童接受完义务教育。</w:t>
      </w:r>
    </w:p>
    <w:p w14:paraId="1EE85BBA">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（2）按照国家政策要求，全面落实学生资助工作，继续做好政策宣传，及时兑现，不遗漏一人。</w:t>
      </w:r>
    </w:p>
    <w:p w14:paraId="7AE75A1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（3）巩固好标准中心校建设，确保四项指标不下滑，严格按照事业年报，保证好各项指标。</w:t>
      </w:r>
    </w:p>
    <w:p w14:paraId="6C6D1498">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以工会工作为桥梁，做好教师关爱慰问及权益保障。</w:t>
      </w:r>
    </w:p>
    <w:p w14:paraId="0F601651">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（1）做好老教师及生病、困难教师</w:t>
      </w:r>
      <w:r>
        <w:rPr>
          <w:rFonts w:hint="eastAsia" w:ascii="仿宋_GB2312" w:eastAsia="仿宋_GB2312"/>
          <w:sz w:val="32"/>
          <w:szCs w:val="32"/>
          <w:lang w:val="en-US" w:eastAsia="zh-CN"/>
        </w:rPr>
        <w:t>的</w:t>
      </w:r>
      <w:r>
        <w:rPr>
          <w:rFonts w:hint="eastAsia" w:ascii="仿宋_GB2312" w:eastAsia="仿宋_GB2312"/>
          <w:sz w:val="32"/>
          <w:szCs w:val="32"/>
        </w:rPr>
        <w:t>慰问工作。</w:t>
      </w:r>
    </w:p>
    <w:p w14:paraId="7E0FFF9F">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（2）切实履行好教代会职责，做好学校监督工作。</w:t>
      </w:r>
    </w:p>
    <w:p w14:paraId="272A9C63">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（3）根据实际开展好工会活动，增强教师的凝聚力。</w:t>
      </w:r>
    </w:p>
    <w:p w14:paraId="4705FD74">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（4）合理解决教职工的实际困难。</w:t>
      </w:r>
    </w:p>
    <w:p w14:paraId="3B742E04">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（5）做好校务</w:t>
      </w:r>
      <w:r>
        <w:rPr>
          <w:rFonts w:hint="eastAsia" w:ascii="仿宋_GB2312" w:eastAsia="仿宋_GB2312"/>
          <w:sz w:val="32"/>
          <w:szCs w:val="32"/>
          <w:lang w:val="en-US" w:eastAsia="zh-CN"/>
        </w:rPr>
        <w:t>的</w:t>
      </w:r>
      <w:r>
        <w:rPr>
          <w:rFonts w:hint="eastAsia" w:ascii="仿宋_GB2312" w:eastAsia="仿宋_GB2312"/>
          <w:sz w:val="32"/>
          <w:szCs w:val="32"/>
        </w:rPr>
        <w:t>公开。</w:t>
      </w:r>
    </w:p>
    <w:p w14:paraId="55ABE658">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5</w:t>
      </w:r>
      <w:r>
        <w:rPr>
          <w:rFonts w:hint="eastAsia" w:ascii="仿宋_GB2312" w:eastAsia="仿宋_GB2312"/>
          <w:b/>
          <w:sz w:val="32"/>
          <w:szCs w:val="32"/>
          <w:lang w:eastAsia="zh-CN"/>
        </w:rPr>
        <w:t>.</w:t>
      </w:r>
      <w:r>
        <w:rPr>
          <w:rFonts w:hint="eastAsia" w:ascii="仿宋_GB2312" w:eastAsia="仿宋_GB2312"/>
          <w:b/>
          <w:sz w:val="32"/>
          <w:szCs w:val="32"/>
        </w:rPr>
        <w:t>后勤工作为服务，做好师生后勤服务及营养工作。</w:t>
      </w:r>
    </w:p>
    <w:p w14:paraId="4F3BC092">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（1）加强学生的营养餐的阳光管理。</w:t>
      </w:r>
    </w:p>
    <w:p w14:paraId="63D0F516">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（2）严把食品入口关，做到单据合理规范，索票索证齐全。</w:t>
      </w:r>
    </w:p>
    <w:p w14:paraId="7977EDD0">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（3）加强从业人员的培训，持证上岗。</w:t>
      </w:r>
    </w:p>
    <w:p w14:paraId="5CEAEF72">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（4）严格规范操作程序，确保食品卫生安全。</w:t>
      </w:r>
    </w:p>
    <w:p w14:paraId="3FDB1F57">
      <w:pPr>
        <w:autoSpaceDE w:val="0"/>
        <w:spacing w:line="576" w:lineRule="exact"/>
        <w:ind w:firstLine="643" w:firstLineChars="200"/>
        <w:outlineLvl w:val="2"/>
        <w:rPr>
          <w:rFonts w:hint="eastAsia" w:ascii="仿宋_GB2312" w:eastAsia="仿宋_GB2312"/>
          <w:b/>
          <w:sz w:val="32"/>
          <w:szCs w:val="32"/>
        </w:rPr>
      </w:pPr>
      <w:r>
        <w:rPr>
          <w:rFonts w:hint="eastAsia" w:ascii="仿宋_GB2312" w:eastAsia="仿宋_GB2312"/>
          <w:b/>
          <w:sz w:val="32"/>
          <w:szCs w:val="32"/>
          <w:lang w:val="en-US" w:eastAsia="zh-CN"/>
        </w:rPr>
        <w:t>6</w:t>
      </w:r>
      <w:r>
        <w:rPr>
          <w:rFonts w:hint="eastAsia" w:ascii="仿宋_GB2312" w:eastAsia="仿宋_GB2312"/>
          <w:b/>
          <w:sz w:val="32"/>
          <w:szCs w:val="32"/>
          <w:lang w:eastAsia="zh-CN"/>
        </w:rPr>
        <w:t>.</w:t>
      </w:r>
      <w:r>
        <w:rPr>
          <w:rFonts w:hint="eastAsia" w:ascii="仿宋_GB2312" w:eastAsia="仿宋_GB2312"/>
          <w:b/>
          <w:sz w:val="32"/>
          <w:szCs w:val="32"/>
        </w:rPr>
        <w:t>以信息工作为窗口，做好校园文化建设及宣传工作。</w:t>
      </w:r>
    </w:p>
    <w:p w14:paraId="0497C5A9">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（1）及时报送学校信息，完成区教育局下达的目标任务。</w:t>
      </w:r>
    </w:p>
    <w:p w14:paraId="0F8F18AC">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（2）做好校园橱窗建设，按时更换有关内容。每个班</w:t>
      </w:r>
      <w:r>
        <w:rPr>
          <w:rFonts w:hint="eastAsia" w:ascii="仿宋_GB2312" w:eastAsia="仿宋_GB2312"/>
          <w:sz w:val="32"/>
          <w:szCs w:val="32"/>
          <w:lang w:val="en-US" w:eastAsia="zh-CN"/>
        </w:rPr>
        <w:t>级</w:t>
      </w:r>
      <w:r>
        <w:rPr>
          <w:rFonts w:hint="eastAsia" w:ascii="仿宋_GB2312" w:eastAsia="仿宋_GB2312"/>
          <w:sz w:val="32"/>
          <w:szCs w:val="32"/>
        </w:rPr>
        <w:t>建好“贤文化”宣传栏。</w:t>
      </w:r>
    </w:p>
    <w:p w14:paraId="656EF932">
      <w:pPr>
        <w:autoSpaceDE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（3）做好办公室的各项工作，做好电子显示屏宣传工作。</w:t>
      </w:r>
    </w:p>
    <w:p w14:paraId="67A08D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15738"/>
      <w:r>
        <w:rPr>
          <w:rFonts w:hint="eastAsia" w:ascii="黑体" w:hAnsi="黑体" w:eastAsia="黑体" w:cs="黑体"/>
          <w:sz w:val="32"/>
          <w:szCs w:val="32"/>
          <w:lang w:val="en-US" w:eastAsia="zh-CN"/>
        </w:rPr>
        <w:t>二、部门预算单位构成</w:t>
      </w:r>
      <w:bookmarkEnd w:id="7"/>
    </w:p>
    <w:p w14:paraId="494B54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7A4885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3057"/>
      <w:r>
        <w:rPr>
          <w:rFonts w:hint="eastAsia" w:ascii="黑体" w:hAnsi="黑体" w:eastAsia="黑体" w:cs="黑体"/>
          <w:sz w:val="32"/>
          <w:szCs w:val="32"/>
          <w:lang w:val="en-US" w:eastAsia="zh-CN"/>
        </w:rPr>
        <w:t>三、收支预算情况说明</w:t>
      </w:r>
      <w:bookmarkEnd w:id="8"/>
    </w:p>
    <w:p w14:paraId="188A2C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按照综合预算的原则，观音小学所有收入和支出均纳入部门预算管理。收入包括：一般公共预算拨款收入；支出包括：教育支出。观音小学2025年收支总预算466.38万元，比2024年收支预算总数减少14.82万元，主要原因是基本支出预算减少。</w:t>
      </w:r>
    </w:p>
    <w:p w14:paraId="22FAE2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6065"/>
      <w:r>
        <w:rPr>
          <w:rFonts w:hint="eastAsia" w:ascii="楷体_GB2312" w:hAnsi="楷体_GB2312" w:eastAsia="楷体_GB2312" w:cs="楷体_GB2312"/>
          <w:sz w:val="32"/>
          <w:szCs w:val="32"/>
          <w:lang w:val="en-US" w:eastAsia="zh-CN"/>
        </w:rPr>
        <w:t>（一）收入预算情况</w:t>
      </w:r>
      <w:bookmarkEnd w:id="9"/>
    </w:p>
    <w:p w14:paraId="0E332062">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观音小学2025年收入预算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 w:hAnsi="仿宋" w:eastAsia="仿宋" w:cs="Times New Roman"/>
          <w:sz w:val="32"/>
          <w:szCs w:val="32"/>
          <w:lang w:val="en-US" w:eastAsia="zh-CN"/>
        </w:rPr>
        <w:t>万元，其中：一般公共预算拨款收入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 w:hAnsi="仿宋" w:eastAsia="仿宋" w:cs="Times New Roman"/>
          <w:sz w:val="32"/>
          <w:szCs w:val="32"/>
          <w:lang w:val="en-US" w:eastAsia="zh-CN"/>
        </w:rPr>
        <w:t>万元，占100%。</w:t>
      </w:r>
    </w:p>
    <w:p w14:paraId="709EFD25">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10" w:name="_Toc5460"/>
      <w:r>
        <w:rPr>
          <w:rFonts w:hint="eastAsia" w:ascii="楷体_GB2312" w:hAnsi="楷体_GB2312" w:eastAsia="楷体_GB2312" w:cs="楷体_GB2312"/>
          <w:sz w:val="32"/>
          <w:szCs w:val="32"/>
          <w:lang w:val="en-US" w:eastAsia="zh-CN"/>
        </w:rPr>
        <w:t>支出预算情况</w:t>
      </w:r>
      <w:bookmarkEnd w:id="10"/>
    </w:p>
    <w:p w14:paraId="462C265E">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 w:hAnsi="仿宋" w:eastAsia="仿宋" w:cs="Times New Roman"/>
          <w:sz w:val="32"/>
          <w:szCs w:val="32"/>
          <w:lang w:val="en-US" w:eastAsia="zh-CN"/>
        </w:rPr>
        <w:t>观音小学2025年支出预算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466.38万元，其中：基本支出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rPr>
        <w:t>428.32</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万元，占91.84%；项目支出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rPr>
        <w:t>38.06</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万元，占8.16%。</w:t>
      </w:r>
    </w:p>
    <w:p w14:paraId="5552EF36">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1" w:name="_Toc26323"/>
      <w:r>
        <w:rPr>
          <w:rFonts w:hint="eastAsia" w:ascii="黑体" w:hAnsi="黑体" w:eastAsia="黑体" w:cs="黑体"/>
          <w:sz w:val="32"/>
          <w:szCs w:val="32"/>
          <w:lang w:val="en-US" w:eastAsia="zh-CN"/>
        </w:rPr>
        <w:t>财政拨款收支预算情况说明</w:t>
      </w:r>
      <w:bookmarkEnd w:id="11"/>
    </w:p>
    <w:p w14:paraId="44C80C2C">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lang w:val="en-US"/>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观音小学2025年财政拨款收支总预算466.38万元，比2024年收支预算总数减少14.82万元，主要原因是基本支出预算减少。</w:t>
      </w:r>
    </w:p>
    <w:p w14:paraId="4132F4C9">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收入包括：本年一般公共预算拨款收入466.38万元；</w:t>
      </w:r>
    </w:p>
    <w:p w14:paraId="3B4D507A">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支出包括：教育支出466.38万元。</w:t>
      </w:r>
    </w:p>
    <w:p w14:paraId="3253B823">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rPr>
      </w:pPr>
    </w:p>
    <w:p w14:paraId="0BC4B7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2383"/>
      <w:r>
        <w:rPr>
          <w:rFonts w:hint="eastAsia" w:ascii="黑体" w:hAnsi="黑体" w:eastAsia="黑体" w:cs="黑体"/>
          <w:sz w:val="32"/>
          <w:szCs w:val="32"/>
          <w:lang w:val="en-US" w:eastAsia="zh-CN"/>
        </w:rPr>
        <w:t>五、一般公共预算当年拨款情况说明</w:t>
      </w:r>
      <w:bookmarkEnd w:id="12"/>
    </w:p>
    <w:p w14:paraId="62F0A6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4945"/>
      <w:r>
        <w:rPr>
          <w:rFonts w:hint="eastAsia" w:ascii="楷体_GB2312" w:hAnsi="楷体_GB2312" w:eastAsia="楷体_GB2312" w:cs="楷体_GB2312"/>
          <w:sz w:val="32"/>
          <w:szCs w:val="32"/>
          <w:lang w:val="en-US" w:eastAsia="zh-CN"/>
        </w:rPr>
        <w:t>（一）一般公共预算当年拨款规模变化情况</w:t>
      </w:r>
      <w:bookmarkEnd w:id="13"/>
    </w:p>
    <w:p w14:paraId="49513F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观音小学2025年一般公共预算当年拨款</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_GB2312" w:hAnsi="仿宋_GB2312" w:eastAsia="仿宋_GB2312" w:cs="仿宋_GB2312"/>
          <w:sz w:val="32"/>
          <w:szCs w:val="32"/>
          <w:lang w:val="en-US" w:eastAsia="zh-CN"/>
        </w:rPr>
        <w:t>万元，比2024年预算数减少</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14.82</w:t>
      </w:r>
      <w:r>
        <w:rPr>
          <w:rFonts w:hint="eastAsia" w:ascii="仿宋_GB2312" w:hAnsi="仿宋_GB2312" w:eastAsia="仿宋_GB2312" w:cs="仿宋_GB2312"/>
          <w:sz w:val="32"/>
          <w:szCs w:val="32"/>
          <w:lang w:val="en-US" w:eastAsia="zh-CN"/>
        </w:rPr>
        <w:t>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基本支出预算</w:t>
      </w:r>
      <w:r>
        <w:rPr>
          <w:rFonts w:hint="eastAsia" w:ascii="仿宋_GB2312" w:hAnsi="仿宋_GB2312" w:eastAsia="仿宋_GB2312" w:cs="仿宋_GB2312"/>
          <w:sz w:val="32"/>
          <w:szCs w:val="32"/>
          <w:lang w:val="en-US" w:eastAsia="zh-CN"/>
        </w:rPr>
        <w:t>减少。</w:t>
      </w:r>
    </w:p>
    <w:p w14:paraId="1C4CA9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354"/>
      <w:r>
        <w:rPr>
          <w:rFonts w:hint="eastAsia" w:ascii="楷体_GB2312" w:hAnsi="楷体_GB2312" w:eastAsia="楷体_GB2312" w:cs="楷体_GB2312"/>
          <w:sz w:val="32"/>
          <w:szCs w:val="32"/>
          <w:lang w:val="en-US" w:eastAsia="zh-CN"/>
        </w:rPr>
        <w:t>（二）一般公共预算当年拨款结构情况</w:t>
      </w:r>
      <w:bookmarkEnd w:id="14"/>
    </w:p>
    <w:p w14:paraId="01BC5F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_GB2312" w:hAnsi="仿宋_GB2312" w:eastAsia="仿宋_GB2312" w:cs="仿宋_GB2312"/>
          <w:sz w:val="32"/>
          <w:szCs w:val="32"/>
          <w:lang w:val="en-US" w:eastAsia="zh-CN"/>
        </w:rPr>
        <w:t>万元，占100%。</w:t>
      </w:r>
    </w:p>
    <w:p w14:paraId="451CEE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1287"/>
      <w:r>
        <w:rPr>
          <w:rFonts w:hint="eastAsia" w:ascii="楷体_GB2312" w:hAnsi="楷体_GB2312" w:eastAsia="楷体_GB2312" w:cs="楷体_GB2312"/>
          <w:sz w:val="32"/>
          <w:szCs w:val="32"/>
          <w:lang w:val="en-US" w:eastAsia="zh-CN"/>
        </w:rPr>
        <w:t>（三）一般公共预算当年拨款具体使用情况</w:t>
      </w:r>
      <w:bookmarkEnd w:id="15"/>
    </w:p>
    <w:p w14:paraId="53EB4A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小学教育（项）2025年预算数为466.38万元，主要用于：小学教育机构的基本支出，包括基本工资、津贴补贴、基础绩效奖等人员经费以及机构运行所需的办公费、印刷费、维修（护）费、工会经费等运行补助经费。</w:t>
      </w:r>
    </w:p>
    <w:p w14:paraId="71D8BA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6" w:name="_Toc17145"/>
      <w:r>
        <w:rPr>
          <w:rFonts w:hint="eastAsia" w:ascii="仿宋_GB2312" w:hAnsi="仿宋_GB2312" w:eastAsia="仿宋_GB2312" w:cs="仿宋_GB2312"/>
          <w:sz w:val="32"/>
          <w:szCs w:val="32"/>
          <w:lang w:val="en-US" w:eastAsia="zh-CN"/>
        </w:rPr>
        <w:t>2.教育支出（类）普通教育（款）学前教育（项）2025年预算数为1.8万元，主要用于：学前教育机构的基本支出，包括基本工资、津贴补贴、基础绩效奖等人员经费以及机构运行所需的办公费、印刷费、维修（护）费、工会经费等运行补助经费。</w:t>
      </w:r>
      <w:bookmarkEnd w:id="16"/>
    </w:p>
    <w:p w14:paraId="2CB255BE">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p>
    <w:p w14:paraId="297EF9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30647"/>
      <w:r>
        <w:rPr>
          <w:rFonts w:hint="eastAsia" w:ascii="黑体" w:hAnsi="黑体" w:eastAsia="黑体" w:cs="黑体"/>
          <w:sz w:val="32"/>
          <w:szCs w:val="32"/>
          <w:lang w:val="en-US" w:eastAsia="zh-CN"/>
        </w:rPr>
        <w:t>六、一般公共预算基本支出情况说明</w:t>
      </w:r>
      <w:bookmarkEnd w:id="17"/>
    </w:p>
    <w:p w14:paraId="5E913C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观音小学2025年一般公共预算基本支出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_GB2312" w:hAnsi="仿宋_GB2312" w:eastAsia="仿宋_GB2312" w:cs="仿宋_GB2312"/>
          <w:sz w:val="32"/>
          <w:szCs w:val="32"/>
          <w:lang w:val="en-US" w:eastAsia="zh-CN"/>
        </w:rPr>
        <w:t>万元，其中：</w:t>
      </w:r>
    </w:p>
    <w:p w14:paraId="6C7511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人员经费428.32万元，主要包括：基本工资、津贴补贴、奖金、绩效工资、社会保险缴费、住房公积金、  奖励金等支出。</w:t>
      </w:r>
    </w:p>
    <w:p w14:paraId="587DDF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4F091E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4CE66E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23440"/>
      <w:r>
        <w:rPr>
          <w:rFonts w:hint="eastAsia" w:ascii="黑体" w:hAnsi="黑体" w:eastAsia="黑体" w:cs="黑体"/>
          <w:sz w:val="32"/>
          <w:szCs w:val="32"/>
          <w:lang w:val="en-US" w:eastAsia="zh-CN"/>
        </w:rPr>
        <w:t>七、“三公”经费财政拨款预算安排情况说明</w:t>
      </w:r>
      <w:bookmarkEnd w:id="18"/>
    </w:p>
    <w:p w14:paraId="1D7DE0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观音小学2025年“三公”经费财政拨款预算数0万元，其中：公务接待费0万元，公务用车购置及运行维护费0万元，因公出国（境）经费0万元。</w:t>
      </w:r>
    </w:p>
    <w:p w14:paraId="02CEAC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5802"/>
      <w:bookmarkStart w:id="20" w:name="_Toc4477"/>
      <w:r>
        <w:rPr>
          <w:rFonts w:hint="eastAsia" w:ascii="楷体_GB2312" w:hAnsi="楷体_GB2312" w:eastAsia="楷体_GB2312" w:cs="楷体_GB2312"/>
          <w:sz w:val="32"/>
          <w:szCs w:val="32"/>
          <w:lang w:val="en-US" w:eastAsia="zh-CN"/>
        </w:rPr>
        <w:t>（一）公务接待费</w:t>
      </w:r>
      <w:bookmarkEnd w:id="19"/>
      <w:bookmarkEnd w:id="20"/>
    </w:p>
    <w:p w14:paraId="3B4ECC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公务接待费与2024年预算相比持平。</w:t>
      </w:r>
    </w:p>
    <w:p w14:paraId="7CC5DE12">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9265"/>
      <w:bookmarkStart w:id="22" w:name="_Toc9435"/>
      <w:r>
        <w:rPr>
          <w:rFonts w:hint="eastAsia" w:ascii="楷体_GB2312" w:hAnsi="楷体_GB2312" w:eastAsia="楷体_GB2312" w:cs="楷体_GB2312"/>
          <w:sz w:val="32"/>
          <w:szCs w:val="32"/>
          <w:lang w:val="en-US" w:eastAsia="zh-CN"/>
        </w:rPr>
        <w:t>公务用车购置及运行维护费</w:t>
      </w:r>
      <w:bookmarkEnd w:id="21"/>
      <w:bookmarkEnd w:id="22"/>
    </w:p>
    <w:p w14:paraId="2472DD91">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57C3EA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CC31F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0942E9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B2A66C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3" w:name="_Toc3602"/>
      <w:bookmarkStart w:id="24" w:name="_Toc3039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3"/>
      <w:bookmarkEnd w:id="24"/>
    </w:p>
    <w:p w14:paraId="5345E5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B12C5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5" w:name="_Toc10410"/>
      <w:r>
        <w:rPr>
          <w:rFonts w:hint="eastAsia" w:ascii="黑体" w:hAnsi="黑体" w:eastAsia="黑体" w:cs="黑体"/>
          <w:sz w:val="32"/>
          <w:szCs w:val="32"/>
          <w:lang w:val="en-US" w:eastAsia="zh-CN"/>
        </w:rPr>
        <w:t>八、政府性基金预算支出情况说明</w:t>
      </w:r>
      <w:bookmarkEnd w:id="25"/>
    </w:p>
    <w:p w14:paraId="3AC8D4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观音小学2025年无政府性基金预算拨款安排的支出。</w:t>
      </w:r>
    </w:p>
    <w:p w14:paraId="225ECA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6" w:name="_Toc9297"/>
      <w:r>
        <w:rPr>
          <w:rFonts w:hint="eastAsia" w:ascii="黑体" w:hAnsi="黑体" w:eastAsia="黑体" w:cs="黑体"/>
          <w:sz w:val="32"/>
          <w:szCs w:val="32"/>
          <w:lang w:val="en-US" w:eastAsia="zh-CN"/>
        </w:rPr>
        <w:t>九、国有资本经营预算支出情况说明</w:t>
      </w:r>
      <w:bookmarkEnd w:id="26"/>
    </w:p>
    <w:p w14:paraId="6E2ACF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观音小学2025年无国有资本经营预算拨款安排的支出。</w:t>
      </w:r>
    </w:p>
    <w:p w14:paraId="06BA8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20505"/>
      <w:r>
        <w:rPr>
          <w:rFonts w:hint="eastAsia" w:ascii="黑体" w:hAnsi="黑体" w:eastAsia="黑体" w:cs="黑体"/>
          <w:sz w:val="32"/>
          <w:szCs w:val="32"/>
          <w:lang w:val="en-US" w:eastAsia="zh-CN"/>
        </w:rPr>
        <w:t>十、其他重要事项的情况说明</w:t>
      </w:r>
      <w:bookmarkEnd w:id="27"/>
    </w:p>
    <w:p w14:paraId="186228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8" w:name="_Toc14068"/>
      <w:bookmarkStart w:id="29" w:name="_Toc7122"/>
      <w:r>
        <w:rPr>
          <w:rFonts w:hint="eastAsia" w:ascii="楷体_GB2312" w:hAnsi="楷体_GB2312" w:eastAsia="楷体_GB2312" w:cs="楷体_GB2312"/>
          <w:sz w:val="32"/>
          <w:szCs w:val="32"/>
          <w:lang w:val="en-US" w:eastAsia="zh-CN"/>
        </w:rPr>
        <w:t>（一）机关运行经费</w:t>
      </w:r>
      <w:bookmarkEnd w:id="28"/>
      <w:bookmarkEnd w:id="29"/>
    </w:p>
    <w:p w14:paraId="0131E3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6F4116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FEB22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2410"/>
      <w:bookmarkStart w:id="31" w:name="_Toc21217"/>
      <w:r>
        <w:rPr>
          <w:rFonts w:hint="eastAsia" w:ascii="楷体_GB2312" w:hAnsi="楷体_GB2312" w:eastAsia="楷体_GB2312" w:cs="楷体_GB2312"/>
          <w:sz w:val="32"/>
          <w:szCs w:val="32"/>
          <w:lang w:val="en-US" w:eastAsia="zh-CN"/>
        </w:rPr>
        <w:t>（二）政府采购情况</w:t>
      </w:r>
      <w:bookmarkEnd w:id="30"/>
      <w:bookmarkEnd w:id="31"/>
    </w:p>
    <w:p w14:paraId="3E23E3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2025年，观音小学安排政府采购预算0万元。</w:t>
      </w:r>
    </w:p>
    <w:p w14:paraId="138C3F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4175"/>
      <w:bookmarkStart w:id="33" w:name="_Toc13208"/>
      <w:r>
        <w:rPr>
          <w:rFonts w:hint="eastAsia" w:ascii="楷体_GB2312" w:hAnsi="楷体_GB2312" w:eastAsia="楷体_GB2312" w:cs="楷体_GB2312"/>
          <w:sz w:val="32"/>
          <w:szCs w:val="32"/>
          <w:lang w:val="en-US" w:eastAsia="zh-CN"/>
        </w:rPr>
        <w:t>（三）国有资产占有使用情况</w:t>
      </w:r>
      <w:bookmarkEnd w:id="32"/>
      <w:bookmarkEnd w:id="33"/>
    </w:p>
    <w:p w14:paraId="3F6A2C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截至2024年底，观音小学共有车辆0辆。单位价值无200万元以上大型设备。</w:t>
      </w:r>
    </w:p>
    <w:p w14:paraId="5AC442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79B31F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4" w:name="_Toc11618"/>
      <w:bookmarkStart w:id="35" w:name="_Toc26275"/>
      <w:r>
        <w:rPr>
          <w:rFonts w:hint="eastAsia" w:ascii="楷体_GB2312" w:hAnsi="楷体_GB2312" w:eastAsia="楷体_GB2312" w:cs="楷体_GB2312"/>
          <w:sz w:val="32"/>
          <w:szCs w:val="32"/>
          <w:lang w:val="en-US" w:eastAsia="zh-CN"/>
        </w:rPr>
        <w:t>（四）绩效目标设置情况</w:t>
      </w:r>
      <w:bookmarkEnd w:id="34"/>
      <w:bookmarkEnd w:id="35"/>
    </w:p>
    <w:p w14:paraId="2F5744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2025年观音小学开展绩效目标管理的项目15个，涉及预算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466.38</w:t>
      </w:r>
      <w:r>
        <w:rPr>
          <w:rFonts w:hint="eastAsia" w:ascii="仿宋_GB2312" w:hAnsi="仿宋_GB2312" w:eastAsia="仿宋_GB2312" w:cs="仿宋_GB2312"/>
          <w:sz w:val="32"/>
          <w:szCs w:val="32"/>
          <w:lang w:val="en-US" w:eastAsia="zh-CN"/>
        </w:rPr>
        <w:t>万元。其中：人员类项目11个，涉及预算428.32万元；运转类项目4个，涉及预算38.06万元；特定目标类项目0个，涉及预算0万元。因部分项目内容涉密，不予公开。</w:t>
      </w:r>
    </w:p>
    <w:p w14:paraId="203E82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9"/>
      <w:r>
        <w:rPr>
          <w:rFonts w:hint="eastAsia" w:ascii="黑体" w:hAnsi="黑体" w:eastAsia="黑体" w:cs="黑体"/>
          <w:sz w:val="32"/>
          <w:szCs w:val="32"/>
          <w:lang w:val="en-US" w:eastAsia="zh-CN"/>
        </w:rPr>
        <w:t>十一、名词解释</w:t>
      </w:r>
      <w:bookmarkEnd w:id="36"/>
    </w:p>
    <w:p w14:paraId="21ECE9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3710F9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5AFE99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7FC380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4D2FBF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p>
    <w:p w14:paraId="71B1BB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0254C1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29F0A0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4AE272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6EAE97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39FDD5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ADEF5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447AFA7">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50F00660">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CEE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3"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86ECD16">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CgMEA/gEAAAAEAAAOAAAAAAAAAAEAIAAAAB8BAABkcnMvZTJvRG9jLnht&#10;bFBLBQYAAAAABgAGAFkBAACPBQAAAAA=&#10;">
              <v:fill on="f" focussize="0,0"/>
              <v:stroke on="f"/>
              <v:imagedata o:title=""/>
              <o:lock v:ext="edit" aspectratio="f"/>
              <v:textbox inset="0mm,0mm,0mm,0mm" style="mso-fit-shape-to-text:t;">
                <w:txbxContent>
                  <w:p w14:paraId="086ECD16">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68F508"/>
    <w:multiLevelType w:val="singleLevel"/>
    <w:tmpl w:val="EE68F508"/>
    <w:lvl w:ilvl="0" w:tentative="0">
      <w:start w:val="2"/>
      <w:numFmt w:val="decimal"/>
      <w:lvlText w:val="%1."/>
      <w:lvlJc w:val="left"/>
      <w:pPr>
        <w:tabs>
          <w:tab w:val="left" w:pos="312"/>
        </w:tabs>
        <w:ind w:left="1600" w:leftChars="0" w:firstLine="0" w:firstLineChars="0"/>
      </w:pPr>
    </w:lvl>
  </w:abstractNum>
  <w:abstractNum w:abstractNumId="1">
    <w:nsid w:val="00C44041"/>
    <w:multiLevelType w:val="singleLevel"/>
    <w:tmpl w:val="00C44041"/>
    <w:lvl w:ilvl="0" w:tentative="0">
      <w:start w:val="2"/>
      <w:numFmt w:val="chineseCounting"/>
      <w:suff w:val="nothing"/>
      <w:lvlText w:val="（%1）"/>
      <w:lvlJc w:val="left"/>
      <w:rPr>
        <w:rFonts w:hint="eastAsia"/>
      </w:rPr>
    </w:lvl>
  </w:abstractNum>
  <w:abstractNum w:abstractNumId="2">
    <w:nsid w:val="5E476B4F"/>
    <w:multiLevelType w:val="singleLevel"/>
    <w:tmpl w:val="5E476B4F"/>
    <w:lvl w:ilvl="0" w:tentative="0">
      <w:start w:val="2"/>
      <w:numFmt w:val="chineseCounting"/>
      <w:suff w:val="nothing"/>
      <w:lvlText w:val="（%1）"/>
      <w:lvlJc w:val="left"/>
      <w:rPr>
        <w:rFonts w:hint="eastAsia"/>
      </w:rPr>
    </w:lvl>
  </w:abstractNum>
  <w:abstractNum w:abstractNumId="3">
    <w:nsid w:val="6C56086D"/>
    <w:multiLevelType w:val="singleLevel"/>
    <w:tmpl w:val="6C56086D"/>
    <w:lvl w:ilvl="0" w:tentative="0">
      <w:start w:val="2"/>
      <w:numFmt w:val="chineseCounting"/>
      <w:suff w:val="nothing"/>
      <w:lvlText w:val="（%1）"/>
      <w:lvlJc w:val="left"/>
      <w:rPr>
        <w:rFonts w:hint="eastAsia"/>
      </w:rPr>
    </w:lvl>
  </w:abstractNum>
  <w:abstractNum w:abstractNumId="4">
    <w:nsid w:val="73AEAB2E"/>
    <w:multiLevelType w:val="singleLevel"/>
    <w:tmpl w:val="73AEAB2E"/>
    <w:lvl w:ilvl="0" w:tentative="0">
      <w:start w:val="4"/>
      <w:numFmt w:val="chineseCounting"/>
      <w:suff w:val="nothing"/>
      <w:lvlText w:val="%1、"/>
      <w:lvlJc w:val="left"/>
      <w:rPr>
        <w:rFonts w:hint="eastAsia"/>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41BA4E15"/>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3816</Words>
  <Characters>4043</Characters>
  <TotalTime>1</TotalTime>
  <ScaleCrop>false</ScaleCrop>
  <LinksUpToDate>false</LinksUpToDate>
  <CharactersWithSpaces>4115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