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0A25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128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广元市昭化区实验小学</w:t>
      </w:r>
      <w:bookmarkEnd w:id="0"/>
    </w:p>
    <w:p w14:paraId="484CC3E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91BBC8F">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4C924583"/>
    <w:sdt>
      <w:sdtPr>
        <w:rPr>
          <w:rFonts w:ascii="宋体" w:hAnsi="宋体" w:eastAsia="宋体" w:cs="Times New Roman"/>
          <w:color w:val="auto"/>
          <w:kern w:val="2"/>
          <w:sz w:val="21"/>
          <w:szCs w:val="24"/>
          <w:lang w:val="en-US" w:eastAsia="zh-CN" w:bidi="ar-SA"/>
        </w:rPr>
        <w:id w:val="147464045"/>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45D333C9">
          <w:pPr>
            <w:spacing w:before="0" w:beforeLines="0" w:after="0" w:afterLines="0" w:line="240" w:lineRule="auto"/>
            <w:ind w:left="0" w:leftChars="0" w:right="0" w:rightChars="0" w:firstLine="0" w:firstLineChars="0"/>
            <w:jc w:val="center"/>
            <w:rPr>
              <w:b/>
            </w:rPr>
          </w:pPr>
          <w:r>
            <w:fldChar w:fldCharType="begin"/>
          </w:r>
          <w:r>
            <w:instrText xml:space="preserve">TOC \o "1-2" \h \u</w:instrText>
          </w:r>
          <w:r>
            <w:fldChar w:fldCharType="separate"/>
          </w:r>
        </w:p>
        <w:p w14:paraId="3BC47B22">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"_Toc8294"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_Toc8294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62E0EC4">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"_Toc4970"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_Toc4970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DFEDA94">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"_Toc948" </w:instrText>
          </w:r>
          <w:r>
            <w:fldChar w:fldCharType="separate"/>
          </w:r>
          <w:r>
            <w:rPr>
              <w:rFonts w:hint="eastAsia" w:ascii="仿宋_GB2312" w:hAnsi="仿宋_GB2312" w:eastAsia="仿宋_GB2312" w:cs="仿宋_GB2312"/>
              <w:color w:val="auto"/>
              <w:kern w:val="2"/>
              <w:sz w:val="32"/>
              <w:szCs w:val="32"/>
              <w:lang w:val="en-US" w:eastAsia="zh-CN" w:bidi="ar-SA"/>
            </w:rPr>
            <w:t>（二）单位2025年重点工作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_Toc948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F7B2A57">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"_Toc12744"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_Toc12744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6A1B767">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"_Toc16980"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_Toc16980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35814EC">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"_Toc20903"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_Toc20903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91C2E04">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"_Toc18554"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_Toc18554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B7C9AFB">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"_Toc32393"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_Toc32393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C2D0A2F">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"_Toc12791"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_Toc12791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F6870CD">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"_Toc26449"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_Toc26449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C8C90F4">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"_Toc9990"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_Toc9990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AE2135E">
          <w:pPr>
            <w:pStyle w:val="18"/>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"_Toc7306"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_Toc7306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4D8DDA2">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"_Toc25158"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_Toc25158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2722E23">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"_Toc4527"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_Toc4527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6F67B5F">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"_Toc4895"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_Toc4895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48E655F">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"_Toc17596"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_Toc17596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CC08DBE">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"_Toc3206"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_Toc3206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43C6183">
          <w:pPr>
            <w:pStyle w:val="17"/>
            <w:tabs>
              <w:tab w:val="right" w:leader="dot" w:pos="8845"/>
            </w:tabs>
            <w:rPr>
              <w:b/>
            </w:rPr>
          </w:pPr>
          <w:r>
            <w:fldChar w:fldCharType="begin"/>
          </w:r>
          <w:r>
            <w:instrText xml:space="preserve"> HYPERLINK \l "_Toc9477"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_Toc9477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3ADC212">
          <w:pPr>
            <w:rPr>
              <w:b/>
            </w:rPr>
          </w:pPr>
          <w:r>
            <w:rPr>
              <w:b/>
            </w:rPr>
            <w:fldChar w:fldCharType="end"/>
          </w:r>
        </w:p>
      </w:sdtContent>
    </w:sdt>
    <w:p w14:paraId="36A18D35">
      <w:pPr>
        <w:rPr>
          <w:b/>
        </w:rPr>
      </w:pPr>
    </w:p>
    <w:p w14:paraId="2AF7035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01A5DAB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709952F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7EFDD7B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1642444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3DB1324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1B0D4F5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520010A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5D74020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09D3EBE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75E55AC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52602F7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1A42452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14:paraId="2EB7D8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8294"/>
      <w:r>
        <w:rPr>
          <w:rFonts w:hint="eastAsia" w:ascii="黑体" w:hAnsi="黑体" w:eastAsia="黑体" w:cs="黑体"/>
          <w:sz w:val="32"/>
          <w:szCs w:val="32"/>
          <w:lang w:val="en-US" w:eastAsia="zh-CN"/>
        </w:rPr>
        <w:t>一、基本职能及主要工作</w:t>
      </w:r>
      <w:bookmarkEnd w:id="1"/>
    </w:p>
    <w:p w14:paraId="48BF9E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2" w:name="_Toc4970"/>
      <w:r>
        <w:rPr>
          <w:rFonts w:hint="eastAsia" w:ascii="仿宋_GB2312" w:hAnsi="仿宋_GB2312" w:eastAsia="仿宋_GB2312" w:cs="仿宋_GB2312"/>
          <w:sz w:val="32"/>
          <w:szCs w:val="32"/>
          <w:lang w:val="en-US" w:eastAsia="zh-CN"/>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3E70E8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298C1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5FF505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4204E0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10A88F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BE6FC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C771C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w:t>
      </w:r>
      <w:r>
        <w:rPr>
          <w:rFonts w:hint="eastAsia"/>
          <w:lang w:eastAsia="zh-CN"/>
        </w:rPr>
        <w:t>，</w:t>
      </w:r>
      <w:r>
        <w:rPr>
          <w:rFonts w:hint="eastAsia" w:ascii="仿宋_GB2312" w:hAnsi="仿宋_GB2312" w:eastAsia="仿宋_GB2312" w:cs="仿宋_GB2312"/>
          <w:sz w:val="32"/>
          <w:szCs w:val="32"/>
          <w:lang w:val="en-US" w:eastAsia="zh-CN"/>
        </w:rPr>
        <w:t>并对教师及其他员工实施包括奖励、处分在内的具体管理活动。</w:t>
      </w:r>
    </w:p>
    <w:p w14:paraId="7FA4F3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066116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039EF2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6BC4FA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2CA683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3" w:name="_Toc948"/>
      <w:r>
        <w:rPr>
          <w:rFonts w:hint="eastAsia" w:ascii="仿宋_GB2312" w:hAnsi="仿宋_GB2312" w:eastAsia="仿宋_GB2312" w:cs="仿宋_GB2312"/>
          <w:sz w:val="32"/>
          <w:szCs w:val="32"/>
          <w:lang w:val="en-US" w:eastAsia="zh-CN"/>
        </w:rPr>
        <w:t>（二）单位2025年重点工作</w:t>
      </w:r>
      <w:bookmarkEnd w:id="3"/>
    </w:p>
    <w:p w14:paraId="7B958A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eastAsia="zh-CN"/>
        </w:rPr>
      </w:pPr>
      <w:bookmarkStart w:id="4" w:name="_Toc19977"/>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深化教育</w:t>
      </w:r>
      <w:r>
        <w:rPr>
          <w:rFonts w:hint="eastAsia" w:ascii="仿宋" w:hAnsi="仿宋" w:eastAsia="仿宋" w:cs="仿宋"/>
          <w:sz w:val="32"/>
          <w:szCs w:val="32"/>
          <w:lang w:val="en-US" w:eastAsia="zh-CN"/>
        </w:rPr>
        <w:t>教学改革</w:t>
      </w:r>
      <w:r>
        <w:rPr>
          <w:rFonts w:hint="eastAsia" w:ascii="仿宋" w:hAnsi="仿宋" w:eastAsia="仿宋" w:cs="仿宋"/>
          <w:sz w:val="32"/>
          <w:szCs w:val="32"/>
          <w:lang w:eastAsia="zh-CN"/>
        </w:rPr>
        <w:t>与课堂改革：未来将持续加大对教育教学改革及课堂改革的投入力度。一方面，组织教师深入研究教育教学理论，结合学生实际情况，创新教学方法与模式，例如探索项目式学习、小组合作探究学习等在各学科中的有效应用，激发学生学习兴趣与主动性。另一方面，定期开展教学研讨活动，鼓励教师分享教学改革经验与成果，相互学习借鉴，以提升整体教学质量。同时，加强对教学成绩的跟踪与分析，通过与其他优质学校对比，寻找差距，制定针对性提升策略，进而扩大学校办学影响力，吸引更多学生与家长关注。</w:t>
      </w:r>
      <w:bookmarkEnd w:id="4"/>
    </w:p>
    <w:p w14:paraId="772E6F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eastAsia="zh-CN"/>
        </w:rPr>
      </w:pPr>
      <w:bookmarkStart w:id="5" w:name="_Toc30685"/>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推进五育并举，确保德育、智育、体育、美育、劳动教育全面发展。在德育方面，丰富德育活动形式，开展主题班会、志愿服务等活动，培养学生良好品德与社会责任感；智育上，不断优化课程设置，拓展学生知识面与思维能力；体育方面，增加体育课程与活动时间，举办各类体育赛事，增强学生体质；美育上，开展艺术社团活动、校园文化艺术节等，提升学生审美能力；劳动教育则通过校园劳动实践基地、家务劳动等途径，培养学生劳动技能与习惯。同时，加强校园文化建设，从精神文化、制度文化、物质文化等层面入手，打造独特且富有内涵的校园文化氛围，以文化育人。</w:t>
      </w:r>
      <w:bookmarkEnd w:id="5"/>
    </w:p>
    <w:p w14:paraId="785003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eastAsia="zh-CN"/>
        </w:rPr>
      </w:pPr>
      <w:bookmarkStart w:id="6" w:name="_Toc4244"/>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完善学校制度与规范管理流程：对现有的学校制度进行全面梳理，结合学校发展需求与教育政策变化，修订和完善各项规章制度，确保制度的科学性与合理性。进一步规范学校管理流程，明确各部门、各岗位的职责与工作流程，避免职责不清、流程</w:t>
      </w:r>
      <w:r>
        <w:rPr>
          <w:rFonts w:hint="eastAsia" w:ascii="仿宋" w:hAnsi="仿宋" w:eastAsia="仿宋" w:cs="仿宋"/>
          <w:sz w:val="32"/>
          <w:szCs w:val="32"/>
          <w:lang w:val="en-US" w:eastAsia="zh-CN"/>
        </w:rPr>
        <w:t>烦</w:t>
      </w:r>
      <w:r>
        <w:rPr>
          <w:rFonts w:hint="eastAsia" w:ascii="仿宋" w:hAnsi="仿宋" w:eastAsia="仿宋" w:cs="仿宋"/>
          <w:sz w:val="32"/>
          <w:szCs w:val="32"/>
          <w:lang w:eastAsia="zh-CN"/>
        </w:rPr>
        <w:t>琐等问题。</w:t>
      </w:r>
      <w:bookmarkEnd w:id="6"/>
    </w:p>
    <w:p w14:paraId="400ABC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12744"/>
      <w:r>
        <w:rPr>
          <w:rFonts w:hint="eastAsia" w:ascii="黑体" w:hAnsi="黑体" w:eastAsia="黑体" w:cs="黑体"/>
          <w:sz w:val="32"/>
          <w:szCs w:val="32"/>
          <w:lang w:val="en-US" w:eastAsia="zh-CN"/>
        </w:rPr>
        <w:t>二、部门预算单位构成</w:t>
      </w:r>
      <w:bookmarkEnd w:id="7"/>
    </w:p>
    <w:p w14:paraId="4524E3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2AF274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6980"/>
      <w:r>
        <w:rPr>
          <w:rFonts w:hint="eastAsia" w:ascii="黑体" w:hAnsi="黑体" w:eastAsia="黑体" w:cs="黑体"/>
          <w:sz w:val="32"/>
          <w:szCs w:val="32"/>
          <w:lang w:val="en-US" w:eastAsia="zh-CN"/>
        </w:rPr>
        <w:t>三、收支预算情况说明</w:t>
      </w:r>
      <w:bookmarkEnd w:id="8"/>
    </w:p>
    <w:p w14:paraId="52D201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按照综合预算的原则，实验小学所有收入和支出均纳入部门预算管理。收入包括：一般公共预算拨款收入；支出包括：教育支出。实验小学2025年收支预算总数为</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万元，比2024年收支预算总数增加</w:t>
      </w:r>
      <w:r>
        <w:rPr>
          <w:rFonts w:hint="eastAsia" w:ascii="Times New Roman" w:hAnsi="Times New Roman" w:eastAsia="仿宋_GB2312" w:cs="Times New Roman"/>
          <w:color w:val="000000"/>
          <w:kern w:val="2"/>
          <w:sz w:val="32"/>
          <w:szCs w:val="32"/>
          <w:highlight w:val="none"/>
          <w:lang w:val="en-US" w:eastAsia="zh-CN" w:bidi="ar-SA"/>
        </w:rPr>
        <w:t>63.24</w:t>
      </w:r>
      <w:r>
        <w:rPr>
          <w:rFonts w:hint="eastAsia" w:ascii="仿宋_GB2312" w:hAnsi="仿宋_GB2312" w:eastAsia="仿宋_GB2312" w:cs="仿宋_GB2312"/>
          <w:sz w:val="32"/>
          <w:szCs w:val="32"/>
          <w:lang w:val="en-US" w:eastAsia="zh-CN"/>
        </w:rPr>
        <w:t>万元，主要原因是基本支出和项目支出增加。</w:t>
      </w:r>
    </w:p>
    <w:p w14:paraId="424E6F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0903"/>
      <w:r>
        <w:rPr>
          <w:rFonts w:hint="eastAsia" w:ascii="楷体_GB2312" w:hAnsi="楷体_GB2312" w:eastAsia="楷体_GB2312" w:cs="楷体_GB2312"/>
          <w:sz w:val="32"/>
          <w:szCs w:val="32"/>
          <w:lang w:val="en-US" w:eastAsia="zh-CN"/>
        </w:rPr>
        <w:t>（一）收入预算情况</w:t>
      </w:r>
      <w:bookmarkEnd w:id="9"/>
    </w:p>
    <w:p w14:paraId="23365F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实验小学2025年收入预算</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万元，其中：一般公共预算拨款收入</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万元，占100%。</w:t>
      </w:r>
    </w:p>
    <w:p w14:paraId="61118E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8554"/>
      <w:r>
        <w:rPr>
          <w:rFonts w:hint="eastAsia" w:ascii="楷体_GB2312" w:hAnsi="楷体_GB2312" w:eastAsia="楷体_GB2312" w:cs="楷体_GB2312"/>
          <w:sz w:val="32"/>
          <w:szCs w:val="32"/>
          <w:lang w:val="en-US" w:eastAsia="zh-CN"/>
        </w:rPr>
        <w:t>（二）支出预算情况</w:t>
      </w:r>
      <w:bookmarkEnd w:id="10"/>
    </w:p>
    <w:p w14:paraId="77694A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实验小学2025年支出预算</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万元，其中：基本支出</w:t>
      </w:r>
      <w:r>
        <w:rPr>
          <w:rFonts w:hint="eastAsia" w:ascii="Times New Roman" w:hAnsi="Times New Roman" w:eastAsia="仿宋_GB2312" w:cs="Times New Roman"/>
          <w:color w:val="000000"/>
          <w:kern w:val="2"/>
          <w:sz w:val="32"/>
          <w:szCs w:val="32"/>
          <w:highlight w:val="none"/>
          <w:lang w:val="en-US" w:eastAsia="zh-CN" w:bidi="ar-SA"/>
        </w:rPr>
        <w:t>893.31</w:t>
      </w:r>
      <w:r>
        <w:rPr>
          <w:rFonts w:hint="eastAsia" w:ascii="仿宋_GB2312" w:hAnsi="仿宋_GB2312" w:eastAsia="仿宋_GB2312" w:cs="仿宋_GB2312"/>
          <w:sz w:val="32"/>
          <w:szCs w:val="32"/>
          <w:lang w:val="en-US" w:eastAsia="zh-CN"/>
        </w:rPr>
        <w:t>万元，占95.35%；项目支出</w:t>
      </w:r>
      <w:r>
        <w:rPr>
          <w:rFonts w:hint="eastAsia" w:ascii="Times New Roman" w:hAnsi="Times New Roman" w:eastAsia="仿宋_GB2312" w:cs="Times New Roman"/>
          <w:color w:val="000000"/>
          <w:kern w:val="2"/>
          <w:sz w:val="32"/>
          <w:szCs w:val="32"/>
          <w:highlight w:val="none"/>
          <w:lang w:val="en-US" w:eastAsia="zh-CN" w:bidi="ar-SA"/>
        </w:rPr>
        <w:t>43.50</w:t>
      </w:r>
      <w:r>
        <w:rPr>
          <w:rFonts w:hint="eastAsia" w:ascii="仿宋_GB2312" w:hAnsi="仿宋_GB2312" w:eastAsia="仿宋_GB2312" w:cs="仿宋_GB2312"/>
          <w:sz w:val="32"/>
          <w:szCs w:val="32"/>
          <w:lang w:val="en-US" w:eastAsia="zh-CN"/>
        </w:rPr>
        <w:t>万元，占4.65%</w:t>
      </w:r>
      <w:r>
        <w:rPr>
          <w:rFonts w:hint="eastAsia" w:ascii="仿宋_GB2312" w:hAnsi="仿宋_GB2312" w:eastAsia="仿宋_GB2312" w:cs="仿宋_GB2312"/>
          <w:b w:val="0"/>
          <w:bCs w:val="0"/>
          <w:sz w:val="32"/>
          <w:szCs w:val="32"/>
          <w:lang w:val="en-US" w:eastAsia="zh-CN"/>
        </w:rPr>
        <w:t>。</w:t>
      </w:r>
    </w:p>
    <w:p w14:paraId="3020CB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32393"/>
      <w:r>
        <w:rPr>
          <w:rFonts w:hint="eastAsia" w:ascii="黑体" w:hAnsi="黑体" w:eastAsia="黑体" w:cs="黑体"/>
          <w:sz w:val="32"/>
          <w:szCs w:val="32"/>
          <w:lang w:val="en-US" w:eastAsia="zh-CN"/>
        </w:rPr>
        <w:t>四、财政拨款收支预算情况说明</w:t>
      </w:r>
      <w:bookmarkEnd w:id="11"/>
    </w:p>
    <w:p w14:paraId="46121B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实验小学2025年财政拨款收支预算总数为</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万元，比2024年财政拨款收支预算总数增加</w:t>
      </w:r>
      <w:r>
        <w:rPr>
          <w:rFonts w:hint="eastAsia" w:ascii="Times New Roman" w:hAnsi="Times New Roman" w:eastAsia="仿宋_GB2312" w:cs="Times New Roman"/>
          <w:color w:val="000000"/>
          <w:kern w:val="2"/>
          <w:sz w:val="32"/>
          <w:szCs w:val="32"/>
          <w:highlight w:val="none"/>
          <w:lang w:val="en-US" w:eastAsia="zh-CN" w:bidi="ar-SA"/>
        </w:rPr>
        <w:t>63.24</w:t>
      </w:r>
      <w:r>
        <w:rPr>
          <w:rFonts w:hint="eastAsia" w:ascii="仿宋_GB2312" w:hAnsi="仿宋_GB2312" w:eastAsia="仿宋_GB2312" w:cs="仿宋_GB2312"/>
          <w:sz w:val="32"/>
          <w:szCs w:val="32"/>
          <w:lang w:val="en-US" w:eastAsia="zh-CN"/>
        </w:rPr>
        <w:t>万元，主要原因基本支出和项目支出增加。</w:t>
      </w:r>
    </w:p>
    <w:p w14:paraId="1D17C4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万元；支出包括：教育支出</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w:t>
      </w:r>
    </w:p>
    <w:p w14:paraId="429A30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12791"/>
      <w:r>
        <w:rPr>
          <w:rFonts w:hint="eastAsia" w:ascii="黑体" w:hAnsi="黑体" w:eastAsia="黑体" w:cs="黑体"/>
          <w:sz w:val="32"/>
          <w:szCs w:val="32"/>
          <w:lang w:val="en-US" w:eastAsia="zh-CN"/>
        </w:rPr>
        <w:t>五、一般公共预算当年拨款情况说明</w:t>
      </w:r>
      <w:bookmarkEnd w:id="12"/>
    </w:p>
    <w:p w14:paraId="463167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26449"/>
      <w:r>
        <w:rPr>
          <w:rFonts w:hint="eastAsia" w:ascii="楷体_GB2312" w:hAnsi="楷体_GB2312" w:eastAsia="楷体_GB2312" w:cs="楷体_GB2312"/>
          <w:sz w:val="32"/>
          <w:szCs w:val="32"/>
          <w:lang w:val="en-US" w:eastAsia="zh-CN"/>
        </w:rPr>
        <w:t>（一）一般公共预算当年拨款规模变化情况</w:t>
      </w:r>
      <w:bookmarkEnd w:id="13"/>
    </w:p>
    <w:p w14:paraId="1CBEFF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实验小学2025年一般公共预算当年拨款</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万元，比2024年预算数增加</w:t>
      </w:r>
      <w:r>
        <w:rPr>
          <w:rFonts w:hint="eastAsia" w:ascii="Times New Roman" w:hAnsi="Times New Roman" w:eastAsia="仿宋_GB2312" w:cs="Times New Roman"/>
          <w:color w:val="000000"/>
          <w:kern w:val="2"/>
          <w:sz w:val="32"/>
          <w:szCs w:val="32"/>
          <w:highlight w:val="none"/>
          <w:lang w:val="en-US" w:eastAsia="zh-CN" w:bidi="ar-SA"/>
        </w:rPr>
        <w:t>63.24</w:t>
      </w:r>
      <w:r>
        <w:rPr>
          <w:rFonts w:hint="eastAsia" w:ascii="仿宋_GB2312" w:hAnsi="仿宋_GB2312" w:eastAsia="仿宋_GB2312" w:cs="仿宋_GB2312"/>
          <w:sz w:val="32"/>
          <w:szCs w:val="32"/>
          <w:lang w:val="en-US" w:eastAsia="zh-CN"/>
        </w:rPr>
        <w:t>万元，主要原因是基本支出和项目支出增加。</w:t>
      </w:r>
    </w:p>
    <w:p w14:paraId="523C65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9990"/>
      <w:r>
        <w:rPr>
          <w:rFonts w:hint="eastAsia" w:ascii="楷体_GB2312" w:hAnsi="楷体_GB2312" w:eastAsia="楷体_GB2312" w:cs="楷体_GB2312"/>
          <w:sz w:val="32"/>
          <w:szCs w:val="32"/>
          <w:lang w:val="en-US" w:eastAsia="zh-CN"/>
        </w:rPr>
        <w:t>（二）一般公共预算当年拨款结构情况</w:t>
      </w:r>
      <w:bookmarkEnd w:id="14"/>
    </w:p>
    <w:p w14:paraId="3606DC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万元，占100%。</w:t>
      </w:r>
    </w:p>
    <w:p w14:paraId="4CD85E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7306"/>
      <w:r>
        <w:rPr>
          <w:rFonts w:hint="eastAsia" w:ascii="楷体_GB2312" w:hAnsi="楷体_GB2312" w:eastAsia="楷体_GB2312" w:cs="楷体_GB2312"/>
          <w:sz w:val="32"/>
          <w:szCs w:val="32"/>
          <w:lang w:val="en-US" w:eastAsia="zh-CN"/>
        </w:rPr>
        <w:t>（三）一般公共预算当年拨款具体使用情况</w:t>
      </w:r>
      <w:bookmarkEnd w:id="15"/>
    </w:p>
    <w:p w14:paraId="0F02B1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教育支出（类）普通教育（款）小学教育（项）2025年预算数为</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0570EA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25158"/>
      <w:r>
        <w:rPr>
          <w:rFonts w:hint="eastAsia" w:ascii="黑体" w:hAnsi="黑体" w:eastAsia="黑体" w:cs="黑体"/>
          <w:sz w:val="32"/>
          <w:szCs w:val="32"/>
          <w:lang w:val="en-US" w:eastAsia="zh-CN"/>
        </w:rPr>
        <w:t>六、一般公共预算基本支出情况说明</w:t>
      </w:r>
      <w:bookmarkEnd w:id="16"/>
    </w:p>
    <w:p w14:paraId="782332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实验小学2025年一般公共预算基本支出</w:t>
      </w:r>
      <w:r>
        <w:rPr>
          <w:rFonts w:hint="eastAsia" w:ascii="Times New Roman" w:hAnsi="Times New Roman" w:eastAsia="仿宋_GB2312" w:cs="Times New Roman"/>
          <w:color w:val="000000"/>
          <w:kern w:val="2"/>
          <w:sz w:val="32"/>
          <w:szCs w:val="32"/>
          <w:highlight w:val="none"/>
          <w:lang w:val="en-US" w:eastAsia="zh-CN" w:bidi="ar-SA"/>
        </w:rPr>
        <w:t>893.31</w:t>
      </w:r>
      <w:r>
        <w:rPr>
          <w:rFonts w:hint="eastAsia" w:ascii="仿宋_GB2312" w:hAnsi="仿宋_GB2312" w:eastAsia="仿宋_GB2312" w:cs="仿宋_GB2312"/>
          <w:sz w:val="32"/>
          <w:szCs w:val="32"/>
          <w:lang w:val="en-US" w:eastAsia="zh-CN"/>
        </w:rPr>
        <w:t>万元，其中：</w:t>
      </w:r>
    </w:p>
    <w:p w14:paraId="0621E8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w:t>
      </w:r>
      <w:r>
        <w:rPr>
          <w:rFonts w:hint="eastAsia" w:ascii="Times New Roman" w:hAnsi="Times New Roman" w:eastAsia="仿宋_GB2312" w:cs="Times New Roman"/>
          <w:color w:val="000000"/>
          <w:kern w:val="2"/>
          <w:sz w:val="32"/>
          <w:szCs w:val="32"/>
          <w:highlight w:val="none"/>
          <w:lang w:val="en-US" w:eastAsia="zh-CN" w:bidi="ar-SA"/>
        </w:rPr>
        <w:t>893.31</w:t>
      </w:r>
      <w:r>
        <w:rPr>
          <w:rFonts w:hint="eastAsia" w:ascii="仿宋_GB2312" w:hAnsi="仿宋_GB2312" w:eastAsia="仿宋_GB2312" w:cs="仿宋_GB2312"/>
          <w:sz w:val="32"/>
          <w:szCs w:val="32"/>
          <w:lang w:val="en-US" w:eastAsia="zh-CN"/>
        </w:rPr>
        <w:t>万元，主要包括：基本工资、津贴补贴、奖金、绩效工资、社会保险缴费、住房公积金、生活补助、奖励金等支出。</w:t>
      </w:r>
    </w:p>
    <w:p w14:paraId="1F93A517">
      <w:pPr>
        <w:pStyle w:val="2"/>
        <w:ind w:left="0" w:leftChars="0" w:firstLine="640" w:firstLineChars="200"/>
        <w:rPr>
          <w:rFonts w:hint="default"/>
          <w:lang w:val="en-US"/>
        </w:rPr>
      </w:pPr>
      <w:r>
        <w:rPr>
          <w:rFonts w:hint="eastAsia" w:ascii="仿宋_GB2312" w:hAnsi="仿宋_GB2312" w:eastAsia="仿宋_GB2312" w:cs="仿宋_GB2312"/>
          <w:sz w:val="32"/>
          <w:szCs w:val="32"/>
          <w:lang w:val="en-US" w:eastAsia="zh-CN"/>
        </w:rPr>
        <w:t>公用经费0元。</w:t>
      </w:r>
    </w:p>
    <w:p w14:paraId="1B104E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4527"/>
      <w:r>
        <w:rPr>
          <w:rFonts w:hint="eastAsia" w:ascii="黑体" w:hAnsi="黑体" w:eastAsia="黑体" w:cs="黑体"/>
          <w:sz w:val="32"/>
          <w:szCs w:val="32"/>
          <w:lang w:val="en-US" w:eastAsia="zh-CN"/>
        </w:rPr>
        <w:t>七、“三公”经费财政拨款预算安排情况说明</w:t>
      </w:r>
      <w:bookmarkEnd w:id="17"/>
    </w:p>
    <w:p w14:paraId="0C9750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实验小学2025年“三公”经费财政拨款预算数为0.1万元，其中：公务接待费0.1万元，公务用车购置及运行维护费0万元，因公出国（境）经费0万元。</w:t>
      </w:r>
    </w:p>
    <w:p w14:paraId="4A1358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26443"/>
      <w:r>
        <w:rPr>
          <w:rFonts w:hint="eastAsia" w:ascii="楷体_GB2312" w:hAnsi="楷体_GB2312" w:eastAsia="楷体_GB2312" w:cs="楷体_GB2312"/>
          <w:sz w:val="32"/>
          <w:szCs w:val="32"/>
          <w:lang w:val="en-US" w:eastAsia="zh-CN"/>
        </w:rPr>
        <w:t>（一）公务接待费</w:t>
      </w:r>
      <w:bookmarkEnd w:id="18"/>
    </w:p>
    <w:p w14:paraId="18AD2B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公务接待费与2024年预算相比下降，主要原因是奉行节约，严格执行三公经费压减政策。</w:t>
      </w:r>
    </w:p>
    <w:p w14:paraId="58C522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44B158BC">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8912"/>
      <w:r>
        <w:rPr>
          <w:rFonts w:hint="eastAsia" w:ascii="楷体_GB2312" w:hAnsi="楷体_GB2312" w:eastAsia="楷体_GB2312" w:cs="楷体_GB2312"/>
          <w:sz w:val="32"/>
          <w:szCs w:val="32"/>
          <w:lang w:val="en-US" w:eastAsia="zh-CN"/>
        </w:rPr>
        <w:t>公务用车购置及运行维护费</w:t>
      </w:r>
      <w:bookmarkEnd w:id="19"/>
    </w:p>
    <w:p w14:paraId="174CAB0E">
      <w:pPr>
        <w:pStyle w:val="10"/>
        <w:widowControl/>
        <w:numPr>
          <w:ilvl w:val="0"/>
          <w:numId w:val="0"/>
        </w:numPr>
        <w:spacing w:before="120" w:line="576" w:lineRule="exact"/>
        <w:ind w:right="0" w:righ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5486A4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val="en-US" w:eastAsia="zh-CN"/>
        </w:rPr>
        <w:t>单位现有公务用车0辆</w:t>
      </w:r>
      <w:r>
        <w:rPr>
          <w:rFonts w:hint="eastAsia" w:ascii="Times New Roman" w:hAnsi="Times New Roman" w:eastAsia="仿宋_GB2312" w:cs="Times New Roman"/>
          <w:kern w:val="2"/>
          <w:sz w:val="32"/>
          <w:szCs w:val="32"/>
          <w:lang w:val="en-US" w:eastAsia="zh-CN" w:bidi="ar-SA"/>
        </w:rPr>
        <w:t>。</w:t>
      </w:r>
    </w:p>
    <w:p w14:paraId="1B056A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69EDC2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62A03A4">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0" w:name="_Toc283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0"/>
    </w:p>
    <w:p w14:paraId="3DBCF8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2B7824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4895"/>
      <w:r>
        <w:rPr>
          <w:rFonts w:hint="eastAsia" w:ascii="黑体" w:hAnsi="黑体" w:eastAsia="黑体" w:cs="黑体"/>
          <w:sz w:val="32"/>
          <w:szCs w:val="32"/>
          <w:lang w:val="en-US" w:eastAsia="zh-CN"/>
        </w:rPr>
        <w:t>八、政府性基金预算支出情况说明</w:t>
      </w:r>
      <w:bookmarkEnd w:id="21"/>
    </w:p>
    <w:p w14:paraId="73C752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实验小学2025年无政府性基金预算拨款安排的支出。</w:t>
      </w:r>
    </w:p>
    <w:p w14:paraId="102A35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17596"/>
      <w:r>
        <w:rPr>
          <w:rFonts w:hint="eastAsia" w:ascii="黑体" w:hAnsi="黑体" w:eastAsia="黑体" w:cs="黑体"/>
          <w:sz w:val="32"/>
          <w:szCs w:val="32"/>
          <w:lang w:val="en-US" w:eastAsia="zh-CN"/>
        </w:rPr>
        <w:t>九、国有资本经营预算支出情况说明</w:t>
      </w:r>
      <w:bookmarkEnd w:id="22"/>
    </w:p>
    <w:p w14:paraId="3DCB38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实验小学2025年无国有资本经营预算拨款安排的支出。</w:t>
      </w:r>
    </w:p>
    <w:p w14:paraId="260031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3206"/>
      <w:r>
        <w:rPr>
          <w:rFonts w:hint="eastAsia" w:ascii="黑体" w:hAnsi="黑体" w:eastAsia="黑体" w:cs="黑体"/>
          <w:sz w:val="32"/>
          <w:szCs w:val="32"/>
          <w:lang w:val="en-US" w:eastAsia="zh-CN"/>
        </w:rPr>
        <w:t>十、其他重要事项的情况说明</w:t>
      </w:r>
      <w:bookmarkEnd w:id="23"/>
    </w:p>
    <w:p w14:paraId="192009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2666"/>
      <w:r>
        <w:rPr>
          <w:rFonts w:hint="eastAsia" w:ascii="楷体_GB2312" w:hAnsi="楷体_GB2312" w:eastAsia="楷体_GB2312" w:cs="楷体_GB2312"/>
          <w:sz w:val="32"/>
          <w:szCs w:val="32"/>
          <w:lang w:val="en-US" w:eastAsia="zh-CN"/>
        </w:rPr>
        <w:t>（一）机关运行经费</w:t>
      </w:r>
      <w:bookmarkEnd w:id="24"/>
    </w:p>
    <w:p w14:paraId="4D5C24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3204F6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2290"/>
      <w:r>
        <w:rPr>
          <w:rFonts w:hint="eastAsia" w:ascii="楷体_GB2312" w:hAnsi="楷体_GB2312" w:eastAsia="楷体_GB2312" w:cs="楷体_GB2312"/>
          <w:sz w:val="32"/>
          <w:szCs w:val="32"/>
          <w:lang w:val="en-US" w:eastAsia="zh-CN"/>
        </w:rPr>
        <w:t>（二）政府采购情况</w:t>
      </w:r>
      <w:bookmarkEnd w:id="25"/>
    </w:p>
    <w:p w14:paraId="5DB175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2025年，实验小学安排政府采购预算0万元。</w:t>
      </w:r>
    </w:p>
    <w:p w14:paraId="5EF0C3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9611"/>
      <w:r>
        <w:rPr>
          <w:rFonts w:hint="eastAsia" w:ascii="楷体_GB2312" w:hAnsi="楷体_GB2312" w:eastAsia="楷体_GB2312" w:cs="楷体_GB2312"/>
          <w:sz w:val="32"/>
          <w:szCs w:val="32"/>
          <w:lang w:val="en-US" w:eastAsia="zh-CN"/>
        </w:rPr>
        <w:t>（三）国有资产占有使用情况</w:t>
      </w:r>
      <w:bookmarkEnd w:id="26"/>
    </w:p>
    <w:p w14:paraId="2273FB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截至2024年底，实验小学共有车辆0辆，单位无价值200万元以上的大型设备。</w:t>
      </w:r>
    </w:p>
    <w:p w14:paraId="6095F2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5F15F6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7" w:name="_Toc3584"/>
      <w:r>
        <w:rPr>
          <w:rFonts w:hint="eastAsia" w:ascii="楷体_GB2312" w:hAnsi="楷体_GB2312" w:eastAsia="楷体_GB2312" w:cs="楷体_GB2312"/>
          <w:sz w:val="32"/>
          <w:szCs w:val="32"/>
          <w:lang w:val="en-US" w:eastAsia="zh-CN"/>
        </w:rPr>
        <w:t>（四）绩效目标设置情况</w:t>
      </w:r>
      <w:bookmarkEnd w:id="27"/>
    </w:p>
    <w:p w14:paraId="66FB77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2025年实验小学开展绩效目标管理的项目2个，涉及预算</w:t>
      </w:r>
      <w:r>
        <w:rPr>
          <w:rFonts w:hint="eastAsia" w:ascii="Times New Roman" w:hAnsi="Times New Roman" w:eastAsia="仿宋_GB2312" w:cs="Times New Roman"/>
          <w:color w:val="000000"/>
          <w:kern w:val="2"/>
          <w:sz w:val="32"/>
          <w:szCs w:val="32"/>
          <w:highlight w:val="none"/>
          <w:lang w:val="en-US" w:eastAsia="zh-CN" w:bidi="ar-SA"/>
        </w:rPr>
        <w:t>936.81</w:t>
      </w:r>
      <w:r>
        <w:rPr>
          <w:rFonts w:hint="eastAsia" w:ascii="仿宋_GB2312" w:hAnsi="仿宋_GB2312" w:eastAsia="仿宋_GB2312" w:cs="仿宋_GB2312"/>
          <w:sz w:val="32"/>
          <w:szCs w:val="32"/>
          <w:lang w:val="en-US" w:eastAsia="zh-CN"/>
        </w:rPr>
        <w:t>万元。其中：人员类项目17个，涉及预算</w:t>
      </w:r>
      <w:r>
        <w:rPr>
          <w:rFonts w:hint="eastAsia" w:ascii="Times New Roman" w:hAnsi="Times New Roman" w:eastAsia="仿宋_GB2312" w:cs="Times New Roman"/>
          <w:color w:val="000000"/>
          <w:kern w:val="2"/>
          <w:sz w:val="32"/>
          <w:szCs w:val="32"/>
          <w:highlight w:val="none"/>
          <w:lang w:val="en-US" w:eastAsia="zh-CN" w:bidi="ar-SA"/>
        </w:rPr>
        <w:t>893.31</w:t>
      </w:r>
      <w:r>
        <w:rPr>
          <w:rFonts w:hint="eastAsia" w:ascii="仿宋_GB2312" w:hAnsi="仿宋_GB2312" w:eastAsia="仿宋_GB2312" w:cs="仿宋_GB2312"/>
          <w:sz w:val="32"/>
          <w:szCs w:val="32"/>
          <w:lang w:val="en-US" w:eastAsia="zh-CN"/>
        </w:rPr>
        <w:t>万元；运转类项目2个，涉及预算43.50万元；特定目标类项目0个，涉及预算0万元。因部分项目内容涉密，不予公开。</w:t>
      </w:r>
    </w:p>
    <w:p w14:paraId="53E59B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9477"/>
      <w:r>
        <w:rPr>
          <w:rFonts w:hint="eastAsia" w:ascii="黑体" w:hAnsi="黑体" w:eastAsia="黑体" w:cs="黑体"/>
          <w:sz w:val="32"/>
          <w:szCs w:val="32"/>
          <w:lang w:val="en-US" w:eastAsia="zh-CN"/>
        </w:rPr>
        <w:t>十一、名词解释</w:t>
      </w:r>
      <w:bookmarkEnd w:id="28"/>
    </w:p>
    <w:p w14:paraId="79A784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30" w:name="_GoBack"/>
      <w:bookmarkEnd w:id="30"/>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21DAD7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12790E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指除上述“一般公共预算拨款收入”“事业收入”等以外的收入，如银行存款利息收入等。</w:t>
      </w:r>
    </w:p>
    <w:p w14:paraId="29C277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14:paraId="269ACB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（五）教育支出（类）普通教育（款）小学教育（项）：</w:t>
      </w:r>
      <w:r>
        <w:rPr>
          <w:rFonts w:hint="eastAsia" w:ascii="仿宋_GB2312" w:hAnsi="仿宋_GB2312" w:eastAsia="仿宋_GB2312" w:cs="仿宋_GB2312"/>
          <w:color w:val="auto"/>
          <w:sz w:val="32"/>
          <w:szCs w:val="32"/>
          <w:lang w:val="en-US" w:eastAsia="zh-CN"/>
        </w:rPr>
        <w:t>指全区小学教育发展的基本支出，包括基本工资、津贴补贴等人员经费以及办公费、印刷费、水电费等日常公用经费。</w:t>
      </w:r>
    </w:p>
    <w:p w14:paraId="56BF95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color w:val="auto"/>
          <w:sz w:val="32"/>
          <w:szCs w:val="32"/>
          <w:lang w:val="en-US" w:eastAsia="zh-CN"/>
        </w:rPr>
        <w:t>指部门实施养老保险制度由单位缴纳的养老保险费的支出。</w:t>
      </w:r>
    </w:p>
    <w:p w14:paraId="345F4E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color w:val="auto"/>
          <w:sz w:val="32"/>
          <w:szCs w:val="32"/>
          <w:lang w:val="en-US" w:eastAsia="zh-CN"/>
        </w:rPr>
        <w:t>指部门实施养老保险制度由单位缴纳的职业年金的支出。</w:t>
      </w:r>
    </w:p>
    <w:p w14:paraId="6566F2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（八）卫生健康（类）行政事业单位医疗（款）事业单位医疗（项）：</w:t>
      </w:r>
      <w:r>
        <w:rPr>
          <w:rFonts w:hint="eastAsia" w:ascii="仿宋_GB2312" w:hAnsi="仿宋_GB2312" w:eastAsia="仿宋_GB2312" w:cs="仿宋_GB2312"/>
          <w:color w:val="auto"/>
          <w:sz w:val="32"/>
          <w:szCs w:val="32"/>
          <w:lang w:val="en-US" w:eastAsia="zh-CN"/>
        </w:rPr>
        <w:t>指事业单位用于单位应缴纳基本医疗保险支出。</w:t>
      </w:r>
    </w:p>
    <w:p w14:paraId="0F14BD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（九）住房保障（类）住房改革支出（款）住房公积金（项）：</w:t>
      </w:r>
      <w:r>
        <w:rPr>
          <w:rFonts w:hint="eastAsia" w:ascii="仿宋_GB2312" w:hAnsi="仿宋_GB2312" w:eastAsia="仿宋_GB2312" w:cs="仿宋_GB2312"/>
          <w:color w:val="auto"/>
          <w:sz w:val="32"/>
          <w:szCs w:val="32"/>
          <w:lang w:val="en-US" w:eastAsia="zh-CN"/>
        </w:rPr>
        <w:t>指按照《住房公积金管理条例》的规定，由单位及其在职职工缴存的长期住房储金。</w:t>
      </w:r>
    </w:p>
    <w:p w14:paraId="732F25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（十）基本支出：</w:t>
      </w:r>
      <w:r>
        <w:rPr>
          <w:rFonts w:hint="eastAsia" w:ascii="仿宋_GB2312" w:hAnsi="仿宋_GB2312" w:eastAsia="仿宋_GB2312" w:cs="仿宋_GB2312"/>
          <w:color w:val="auto"/>
          <w:sz w:val="32"/>
          <w:szCs w:val="32"/>
          <w:lang w:val="en-US" w:eastAsia="zh-CN"/>
        </w:rPr>
        <w:t>指为保证机构正常运转，完成日常工作任务而发生的人员支出和公用支出。</w:t>
      </w:r>
    </w:p>
    <w:p w14:paraId="6929AD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（十一）项目支出：</w:t>
      </w:r>
      <w:r>
        <w:rPr>
          <w:rFonts w:hint="eastAsia" w:ascii="仿宋_GB2312" w:hAnsi="仿宋_GB2312" w:eastAsia="仿宋_GB2312" w:cs="仿宋_GB2312"/>
          <w:color w:val="auto"/>
          <w:sz w:val="32"/>
          <w:szCs w:val="32"/>
          <w:lang w:val="en-US" w:eastAsia="zh-CN"/>
        </w:rPr>
        <w:t>指在基本支出之外为完成特定行政任务和事业发展目标所发生的支出。</w:t>
      </w:r>
    </w:p>
    <w:p w14:paraId="6A9421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（十二）“三公”经费：纳入本级财政预算管理的“三公”经费，</w:t>
      </w:r>
      <w:r>
        <w:rPr>
          <w:rFonts w:hint="eastAsia" w:ascii="仿宋_GB2312" w:hAnsi="仿宋_GB2312" w:eastAsia="仿宋_GB2312" w:cs="仿宋_GB2312"/>
          <w:color w:val="auto"/>
          <w:sz w:val="32"/>
          <w:szCs w:val="32"/>
          <w:lang w:val="en-US" w:eastAsia="zh-CN"/>
        </w:rPr>
        <w:t>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7E1F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p>
    <w:p w14:paraId="6BCC07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90D810B">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9" w:name="_Toc19145"/>
      <w:r>
        <w:rPr>
          <w:rFonts w:hint="eastAsia" w:ascii="仿宋_GB2312" w:hAnsi="仿宋_GB2312" w:eastAsia="仿宋_GB2312" w:cs="仿宋_GB2312"/>
          <w:sz w:val="32"/>
          <w:szCs w:val="32"/>
          <w:lang w:val="en-US" w:eastAsia="zh-CN"/>
        </w:rPr>
        <w:t>项目支出绩效目标表</w:t>
      </w:r>
      <w:bookmarkEnd w:id="29"/>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F6C0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1A3A7DC">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s3g76/gEAAAAEAAAOAAAAAAAAAAEAIAAAAB8BAABkcnMvZTJvRG9jLnht&#10;bFBLBQYAAAAABgAGAFkBAACPBQAAAAA=&#10;">
              <v:fill on="f" focussize="0,0"/>
              <v:stroke on="f"/>
              <v:imagedata o:title=""/>
              <o:lock v:ext="edit" aspectratio="f"/>
              <v:textbox inset="0mm,0mm,0mm,0mm" style="mso-fit-shape-to-text:t;">
                <w:txbxContent>
                  <w:p w14:paraId="71A3A7DC">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9100E"/>
    <w:multiLevelType w:val="singleLevel"/>
    <w:tmpl w:val="FD39100E"/>
    <w:lvl w:ilvl="0" w:tentative="0">
      <w:start w:val="2"/>
      <w:numFmt w:val="chineseCounting"/>
      <w:suff w:val="nothing"/>
      <w:lvlText w:val="（%1）"/>
      <w:lvlJc w:val="left"/>
      <w:rPr>
        <w:rFonts w:hint="eastAsia"/>
      </w:rPr>
    </w:lvl>
  </w:abstractNum>
  <w:abstractNum w:abstractNumId="1">
    <w:nsid w:val="4B05E957"/>
    <w:multiLevelType w:val="singleLevel"/>
    <w:tmpl w:val="4B05E957"/>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mNjEwNTgwOTFhYWEzMWU4NGU0ZDY4MTY4NDU5MjAifQ=="/>
    <w:docVar w:name="KSO_WPS_MARK_KEY" w:val="dcfb3404-58b5-4ff5-8c3c-88a07977da29"/>
  </w:docVars>
  <w:rsids>
    <w:rsidRoot w:val="00000000"/>
    <w:rsid w:val="2CC50D0B"/>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3">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qFormat/>
    <w:uiPriority w:val="0"/>
    <w:pPr>
      <w:ind w:left="420" w:leftChars="200" w:firstLine="420" w:firstLineChars="200"/>
      <w:jc w:val="both"/>
      <w:textAlignment w:val="baseline"/>
    </w:pPr>
  </w:style>
  <w:style w:type="paragraph" w:customStyle="1" w:styleId="3">
    <w:name w:val="BodyTextIndent"/>
    <w:basedOn w:val="1"/>
    <w:next w:val="2"/>
    <w:qFormat/>
    <w:uiPriority w:val="0"/>
    <w:pPr>
      <w:ind w:left="420" w:leftChars="200"/>
      <w:jc w:val="both"/>
      <w:textAlignment w:val="baseline"/>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默认段落字体1"/>
    <w:qFormat/>
    <w:uiPriority w:val="0"/>
  </w:style>
  <w:style w:type="paragraph" w:customStyle="1" w:styleId="15">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3509</Words>
  <Characters>3727</Characters>
  <TotalTime>10</TotalTime>
  <ScaleCrop>false</ScaleCrop>
  <LinksUpToDate>false</LinksUpToDate>
  <CharactersWithSpaces>3794</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7AF230FDB244472F9753E268C61ED32F_13</vt:lpwstr>
  </property>
  <property fmtid="{D5CDD505-2E9C-101B-9397-08002B2CF9AE}" pid="4" name="KSOTemplateDocerSaveRecord">
    <vt:lpwstr>eyJoZGlkIjoiOTlhNTlmMWMwY2NkZGNhOTM0ZTIzOTMwM2UwMjVlYzgiLCJ1c2VySWQiOiI2MDAwNDk2NTIifQ==</vt:lpwstr>
  </property>
</Properties>
</file>