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DEB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4099"/>
      <w:bookmarkStart w:id="1" w:name="_Toc11389"/>
      <w:bookmarkStart w:id="2" w:name="_Toc8550"/>
      <w:bookmarkStart w:id="3" w:name="_Toc2540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广元市昭化区元坝镇第二小学单位</w:t>
      </w:r>
      <w:bookmarkEnd w:id="0"/>
      <w:bookmarkEnd w:id="1"/>
      <w:bookmarkEnd w:id="2"/>
      <w:bookmarkEnd w:id="3"/>
    </w:p>
    <w:p w14:paraId="3BC8401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C3137FE">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bookmarkStart w:id="62" w:name="_GoBack"/>
      <w:bookmarkEnd w:id="62"/>
    </w:p>
    <w:sdt>
      <w:sdtPr>
        <w:rPr>
          <w:rFonts w:ascii="宋体" w:hAnsi="宋体" w:eastAsia="宋体" w:cs="Times New Roman"/>
          <w:color w:val="auto"/>
          <w:kern w:val="2"/>
          <w:sz w:val="21"/>
          <w:szCs w:val="24"/>
          <w:lang w:val="en-US" w:eastAsia="zh-CN" w:bidi="ar-SA"/>
        </w:rPr>
        <w:id w:val="147464159"/>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05A0EC64">
          <w:pPr>
            <w:spacing w:before="0" w:beforeLines="0" w:after="0" w:afterLines="0" w:line="240" w:lineRule="auto"/>
            <w:ind w:left="0" w:leftChars="0" w:right="0" w:rightChars="0" w:firstLine="0" w:firstLineChars="0"/>
            <w:jc w:val="center"/>
          </w:pPr>
        </w:p>
        <w:p w14:paraId="6DF97E11">
          <w:pPr>
            <w:pStyle w:val="15"/>
            <w:tabs>
              <w:tab w:val="right" w:leader="dot" w:pos="8845"/>
            </w:tabs>
            <w:rPr>
              <w:rFonts w:hint="eastAsia" w:ascii="宋体" w:hAnsi="宋体" w:eastAsia="宋体" w:cs="宋体"/>
              <w:b/>
              <w:sz w:val="28"/>
              <w:szCs w:val="28"/>
            </w:rPr>
          </w:pPr>
          <w:r>
            <w:fldChar w:fldCharType="begin"/>
          </w:r>
          <w:r>
            <w:instrText xml:space="preserve">TOC \o "1-2" \h \u</w:instrText>
          </w:r>
          <w:r>
            <w:fldChar w:fldCharType="separate"/>
          </w:r>
        </w:p>
        <w:p w14:paraId="6BD3C0F8">
          <w:pPr>
            <w:pStyle w:val="15"/>
            <w:tabs>
              <w:tab w:val="right" w:leader="dot" w:pos="8845"/>
            </w:tabs>
            <w:rPr>
              <w:rFonts w:hint="eastAsia" w:ascii="宋体" w:hAnsi="宋体" w:eastAsia="宋体" w:cs="宋体"/>
              <w:b/>
              <w:sz w:val="28"/>
              <w:szCs w:val="28"/>
            </w:rPr>
          </w:pPr>
          <w:r>
            <w:fldChar w:fldCharType="begin"/>
          </w:r>
          <w:r>
            <w:instrText xml:space="preserve"> HYPERLINK \l "_Toc13879" </w:instrText>
          </w:r>
          <w:r>
            <w:fldChar w:fldCharType="separate"/>
          </w:r>
          <w:r>
            <w:rPr>
              <w:rFonts w:hint="eastAsia" w:ascii="宋体" w:hAnsi="宋体" w:eastAsia="宋体" w:cs="宋体"/>
              <w:b/>
              <w:sz w:val="28"/>
              <w:szCs w:val="28"/>
              <w:lang w:val="en-US" w:eastAsia="zh-CN"/>
            </w:rPr>
            <w:t>一、基本职能及主要工作</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_Toc13879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3</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6976255F">
          <w:pPr>
            <w:pStyle w:val="16"/>
            <w:tabs>
              <w:tab w:val="right" w:leader="dot" w:pos="8845"/>
            </w:tabs>
            <w:rPr>
              <w:rFonts w:hint="eastAsia" w:ascii="宋体" w:hAnsi="宋体" w:eastAsia="宋体" w:cs="宋体"/>
              <w:sz w:val="28"/>
              <w:szCs w:val="28"/>
            </w:rPr>
          </w:pPr>
          <w:r>
            <w:fldChar w:fldCharType="begin"/>
          </w:r>
          <w:r>
            <w:instrText xml:space="preserve"> HYPERLINK \l "_Toc14985" </w:instrText>
          </w:r>
          <w:r>
            <w:fldChar w:fldCharType="separate"/>
          </w:r>
          <w:r>
            <w:rPr>
              <w:rFonts w:hint="eastAsia" w:ascii="宋体" w:hAnsi="宋体" w:eastAsia="宋体" w:cs="宋体"/>
              <w:sz w:val="28"/>
              <w:szCs w:val="28"/>
            </w:rPr>
            <w:t>（一）</w:t>
          </w:r>
          <w:r>
            <w:rPr>
              <w:rFonts w:hint="eastAsia" w:ascii="宋体" w:hAnsi="宋体" w:eastAsia="宋体" w:cs="宋体"/>
              <w:sz w:val="28"/>
              <w:szCs w:val="28"/>
              <w:lang w:val="en-US" w:eastAsia="zh-CN"/>
            </w:rPr>
            <w:t>单位</w:t>
          </w:r>
          <w:r>
            <w:rPr>
              <w:rFonts w:hint="eastAsia" w:ascii="宋体" w:hAnsi="宋体" w:eastAsia="宋体" w:cs="宋体"/>
              <w:sz w:val="28"/>
              <w:szCs w:val="28"/>
            </w:rPr>
            <w:t>职能简介</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_Toc14985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7F1D4C1">
          <w:pPr>
            <w:pStyle w:val="16"/>
            <w:tabs>
              <w:tab w:val="right" w:leader="dot" w:pos="8845"/>
            </w:tabs>
            <w:rPr>
              <w:rFonts w:hint="eastAsia" w:ascii="宋体" w:hAnsi="宋体" w:eastAsia="宋体" w:cs="宋体"/>
              <w:sz w:val="28"/>
              <w:szCs w:val="28"/>
            </w:rPr>
          </w:pPr>
          <w:r>
            <w:fldChar w:fldCharType="begin"/>
          </w:r>
          <w:r>
            <w:instrText xml:space="preserve"> HYPERLINK \l "_Toc6643" </w:instrText>
          </w:r>
          <w:r>
            <w:fldChar w:fldCharType="separate"/>
          </w:r>
          <w:r>
            <w:rPr>
              <w:rFonts w:hint="eastAsia" w:ascii="宋体" w:hAnsi="宋体" w:eastAsia="宋体" w:cs="宋体"/>
              <w:sz w:val="28"/>
              <w:szCs w:val="28"/>
            </w:rPr>
            <w:t>（二）</w:t>
          </w:r>
          <w:r>
            <w:rPr>
              <w:rFonts w:hint="eastAsia" w:ascii="宋体" w:hAnsi="宋体" w:eastAsia="宋体" w:cs="宋体"/>
              <w:sz w:val="28"/>
              <w:szCs w:val="28"/>
              <w:lang w:val="en-US"/>
            </w:rPr>
            <w:t>202</w:t>
          </w:r>
          <w:r>
            <w:rPr>
              <w:rFonts w:hint="eastAsia" w:ascii="宋体" w:hAnsi="宋体" w:eastAsia="宋体" w:cs="宋体"/>
              <w:sz w:val="28"/>
              <w:szCs w:val="28"/>
              <w:lang w:val="en-US" w:eastAsia="zh-CN"/>
            </w:rPr>
            <w:t>5</w:t>
          </w:r>
          <w:r>
            <w:rPr>
              <w:rFonts w:hint="eastAsia" w:ascii="宋体" w:hAnsi="宋体" w:eastAsia="宋体" w:cs="宋体"/>
              <w:sz w:val="28"/>
              <w:szCs w:val="28"/>
            </w:rPr>
            <w:t>年重点工作</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_Toc6643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FC0A07E">
          <w:pPr>
            <w:pStyle w:val="15"/>
            <w:tabs>
              <w:tab w:val="right" w:leader="dot" w:pos="8845"/>
            </w:tabs>
            <w:rPr>
              <w:rFonts w:hint="eastAsia" w:ascii="宋体" w:hAnsi="宋体" w:eastAsia="宋体" w:cs="宋体"/>
              <w:b/>
              <w:sz w:val="28"/>
              <w:szCs w:val="28"/>
            </w:rPr>
          </w:pPr>
          <w:r>
            <w:fldChar w:fldCharType="begin"/>
          </w:r>
          <w:r>
            <w:instrText xml:space="preserve"> HYPERLINK \l "_Toc22661" </w:instrText>
          </w:r>
          <w:r>
            <w:fldChar w:fldCharType="separate"/>
          </w:r>
          <w:r>
            <w:rPr>
              <w:rFonts w:hint="eastAsia" w:ascii="宋体" w:hAnsi="宋体" w:eastAsia="宋体" w:cs="宋体"/>
              <w:b/>
              <w:sz w:val="28"/>
              <w:szCs w:val="28"/>
              <w:lang w:val="en-US" w:eastAsia="zh-CN"/>
            </w:rPr>
            <w:t>二、部门预算单位构成</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_Toc22661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4</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42839DC6">
          <w:pPr>
            <w:pStyle w:val="15"/>
            <w:tabs>
              <w:tab w:val="right" w:leader="dot" w:pos="8845"/>
            </w:tabs>
            <w:rPr>
              <w:rFonts w:hint="eastAsia" w:ascii="宋体" w:hAnsi="宋体" w:eastAsia="宋体" w:cs="宋体"/>
              <w:b/>
              <w:sz w:val="28"/>
              <w:szCs w:val="28"/>
            </w:rPr>
          </w:pPr>
          <w:r>
            <w:fldChar w:fldCharType="begin"/>
          </w:r>
          <w:r>
            <w:instrText xml:space="preserve"> HYPERLINK \l "_Toc24718" </w:instrText>
          </w:r>
          <w:r>
            <w:fldChar w:fldCharType="separate"/>
          </w:r>
          <w:r>
            <w:rPr>
              <w:rFonts w:hint="eastAsia" w:ascii="宋体" w:hAnsi="宋体" w:eastAsia="宋体" w:cs="宋体"/>
              <w:b/>
              <w:sz w:val="28"/>
              <w:szCs w:val="28"/>
              <w:lang w:val="en-US" w:eastAsia="zh-CN"/>
            </w:rPr>
            <w:t>三、收支预算情况说明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_Toc24718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4</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68A37FB9">
          <w:pPr>
            <w:pStyle w:val="16"/>
            <w:tabs>
              <w:tab w:val="right" w:leader="dot" w:pos="8845"/>
            </w:tabs>
            <w:rPr>
              <w:rFonts w:hint="eastAsia" w:ascii="宋体" w:hAnsi="宋体" w:eastAsia="宋体" w:cs="宋体"/>
              <w:sz w:val="28"/>
              <w:szCs w:val="28"/>
            </w:rPr>
          </w:pPr>
          <w:r>
            <w:fldChar w:fldCharType="begin"/>
          </w:r>
          <w:r>
            <w:instrText xml:space="preserve"> HYPERLINK \l "_Toc11944" </w:instrText>
          </w:r>
          <w:r>
            <w:fldChar w:fldCharType="separate"/>
          </w:r>
          <w:r>
            <w:rPr>
              <w:rFonts w:hint="eastAsia" w:ascii="宋体" w:hAnsi="宋体" w:eastAsia="宋体" w:cs="宋体"/>
              <w:sz w:val="28"/>
              <w:szCs w:val="28"/>
              <w:lang w:val="en-US" w:eastAsia="zh-CN"/>
            </w:rPr>
            <w:t>（一）收入预算情况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_Toc11944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4F89502">
          <w:pPr>
            <w:pStyle w:val="16"/>
            <w:tabs>
              <w:tab w:val="right" w:leader="dot" w:pos="8845"/>
            </w:tabs>
            <w:rPr>
              <w:rFonts w:hint="eastAsia" w:ascii="宋体" w:hAnsi="宋体" w:eastAsia="宋体" w:cs="宋体"/>
              <w:sz w:val="28"/>
              <w:szCs w:val="28"/>
            </w:rPr>
          </w:pPr>
          <w:r>
            <w:fldChar w:fldCharType="begin"/>
          </w:r>
          <w:r>
            <w:instrText xml:space="preserve"> HYPERLINK \l "_Toc15718" </w:instrText>
          </w:r>
          <w:r>
            <w:fldChar w:fldCharType="separate"/>
          </w:r>
          <w:r>
            <w:rPr>
              <w:rFonts w:hint="eastAsia" w:ascii="宋体" w:hAnsi="宋体" w:eastAsia="宋体" w:cs="宋体"/>
              <w:sz w:val="28"/>
              <w:szCs w:val="28"/>
              <w:lang w:val="en-US" w:eastAsia="zh-CN"/>
            </w:rPr>
            <w:t>（二）支出预算情况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_Toc15718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0B89C2">
          <w:pPr>
            <w:pStyle w:val="15"/>
            <w:tabs>
              <w:tab w:val="right" w:leader="dot" w:pos="8845"/>
            </w:tabs>
            <w:rPr>
              <w:rFonts w:hint="eastAsia" w:ascii="宋体" w:hAnsi="宋体" w:eastAsia="宋体" w:cs="宋体"/>
              <w:b/>
              <w:sz w:val="28"/>
              <w:szCs w:val="28"/>
            </w:rPr>
          </w:pPr>
          <w:r>
            <w:fldChar w:fldCharType="begin"/>
          </w:r>
          <w:r>
            <w:instrText xml:space="preserve"> HYPERLINK \l "_Toc25340" </w:instrText>
          </w:r>
          <w:r>
            <w:fldChar w:fldCharType="separate"/>
          </w:r>
          <w:r>
            <w:rPr>
              <w:rFonts w:hint="eastAsia" w:ascii="宋体" w:hAnsi="宋体" w:eastAsia="宋体" w:cs="宋体"/>
              <w:b/>
              <w:sz w:val="28"/>
              <w:szCs w:val="28"/>
              <w:lang w:val="en-US" w:eastAsia="zh-CN"/>
            </w:rPr>
            <w:t>四、财政拨款收支预算情况说明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_Toc25340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5</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6D3C1764">
          <w:pPr>
            <w:pStyle w:val="15"/>
            <w:tabs>
              <w:tab w:val="right" w:leader="dot" w:pos="8845"/>
            </w:tabs>
            <w:rPr>
              <w:rFonts w:hint="eastAsia" w:ascii="宋体" w:hAnsi="宋体" w:eastAsia="宋体" w:cs="宋体"/>
              <w:b/>
              <w:sz w:val="28"/>
              <w:szCs w:val="28"/>
            </w:rPr>
          </w:pPr>
          <w:r>
            <w:fldChar w:fldCharType="begin"/>
          </w:r>
          <w:r>
            <w:instrText xml:space="preserve"> HYPERLINK \l "_Toc1529" </w:instrText>
          </w:r>
          <w:r>
            <w:fldChar w:fldCharType="separate"/>
          </w:r>
          <w:r>
            <w:rPr>
              <w:rFonts w:hint="eastAsia" w:ascii="宋体" w:hAnsi="宋体" w:eastAsia="宋体" w:cs="宋体"/>
              <w:b/>
              <w:sz w:val="28"/>
              <w:szCs w:val="28"/>
              <w:lang w:val="en-US" w:eastAsia="zh-CN"/>
            </w:rPr>
            <w:t>五、一般公共预算当年拨款情况说明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_Toc1529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5</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78FD6508">
          <w:pPr>
            <w:pStyle w:val="16"/>
            <w:tabs>
              <w:tab w:val="right" w:leader="dot" w:pos="8845"/>
            </w:tabs>
            <w:rPr>
              <w:rFonts w:hint="eastAsia" w:ascii="宋体" w:hAnsi="宋体" w:eastAsia="宋体" w:cs="宋体"/>
              <w:sz w:val="28"/>
              <w:szCs w:val="28"/>
            </w:rPr>
          </w:pPr>
          <w:r>
            <w:fldChar w:fldCharType="begin"/>
          </w:r>
          <w:r>
            <w:instrText xml:space="preserve"> HYPERLINK \l "_Toc1591" </w:instrText>
          </w:r>
          <w:r>
            <w:fldChar w:fldCharType="separate"/>
          </w:r>
          <w:r>
            <w:rPr>
              <w:rFonts w:hint="eastAsia" w:ascii="宋体" w:hAnsi="宋体" w:eastAsia="宋体" w:cs="宋体"/>
              <w:sz w:val="28"/>
              <w:szCs w:val="28"/>
              <w:lang w:val="en-US" w:eastAsia="zh-CN"/>
            </w:rPr>
            <w:t>（一）一般公共预算当年拨款规模变化情况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_Toc1591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17F0A2">
          <w:pPr>
            <w:pStyle w:val="16"/>
            <w:tabs>
              <w:tab w:val="right" w:leader="dot" w:pos="8845"/>
            </w:tabs>
            <w:rPr>
              <w:rFonts w:hint="eastAsia" w:ascii="宋体" w:hAnsi="宋体" w:eastAsia="宋体" w:cs="宋体"/>
              <w:sz w:val="28"/>
              <w:szCs w:val="28"/>
            </w:rPr>
          </w:pPr>
          <w:r>
            <w:fldChar w:fldCharType="begin"/>
          </w:r>
          <w:r>
            <w:instrText xml:space="preserve"> HYPERLINK \l "_Toc7311" </w:instrText>
          </w:r>
          <w:r>
            <w:fldChar w:fldCharType="separate"/>
          </w:r>
          <w:r>
            <w:rPr>
              <w:rFonts w:hint="eastAsia" w:ascii="宋体" w:hAnsi="宋体" w:eastAsia="宋体" w:cs="宋体"/>
              <w:sz w:val="28"/>
              <w:szCs w:val="28"/>
              <w:lang w:val="en-US" w:eastAsia="zh-CN"/>
            </w:rPr>
            <w:t>（二）一般公共预算当年拨款结构情况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_Toc7311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B11ED82">
          <w:pPr>
            <w:pStyle w:val="16"/>
            <w:tabs>
              <w:tab w:val="right" w:leader="dot" w:pos="8845"/>
            </w:tabs>
            <w:rPr>
              <w:rFonts w:hint="eastAsia" w:ascii="宋体" w:hAnsi="宋体" w:eastAsia="宋体" w:cs="宋体"/>
              <w:sz w:val="28"/>
              <w:szCs w:val="28"/>
            </w:rPr>
          </w:pPr>
          <w:r>
            <w:fldChar w:fldCharType="begin"/>
          </w:r>
          <w:r>
            <w:instrText xml:space="preserve"> HYPERLINK \l "_Toc23619" </w:instrText>
          </w:r>
          <w:r>
            <w:fldChar w:fldCharType="separate"/>
          </w:r>
          <w:r>
            <w:rPr>
              <w:rFonts w:hint="eastAsia" w:ascii="宋体" w:hAnsi="宋体" w:eastAsia="宋体" w:cs="宋体"/>
              <w:sz w:val="28"/>
              <w:szCs w:val="28"/>
              <w:lang w:val="en-US" w:eastAsia="zh-CN"/>
            </w:rPr>
            <w:t>（三）一般公共预算当年拨款具体使用情况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_Toc23619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98B0300">
          <w:pPr>
            <w:pStyle w:val="15"/>
            <w:tabs>
              <w:tab w:val="right" w:leader="dot" w:pos="8845"/>
            </w:tabs>
            <w:rPr>
              <w:rFonts w:hint="eastAsia" w:ascii="宋体" w:hAnsi="宋体" w:eastAsia="宋体" w:cs="宋体"/>
              <w:b/>
              <w:sz w:val="28"/>
              <w:szCs w:val="28"/>
            </w:rPr>
          </w:pPr>
          <w:r>
            <w:fldChar w:fldCharType="begin"/>
          </w:r>
          <w:r>
            <w:instrText xml:space="preserve"> HYPERLINK \l "_Toc32033" </w:instrText>
          </w:r>
          <w:r>
            <w:fldChar w:fldCharType="separate"/>
          </w:r>
          <w:r>
            <w:rPr>
              <w:rFonts w:hint="eastAsia" w:ascii="宋体" w:hAnsi="宋体" w:eastAsia="宋体" w:cs="宋体"/>
              <w:b/>
              <w:sz w:val="28"/>
              <w:szCs w:val="28"/>
              <w:lang w:val="en-US" w:eastAsia="zh-CN"/>
            </w:rPr>
            <w:t>六、一般公共预算基本支出情况说明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_Toc32033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6</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0B192B9B">
          <w:pPr>
            <w:pStyle w:val="15"/>
            <w:tabs>
              <w:tab w:val="right" w:leader="dot" w:pos="8845"/>
            </w:tabs>
            <w:rPr>
              <w:rFonts w:hint="eastAsia" w:ascii="宋体" w:hAnsi="宋体" w:eastAsia="宋体" w:cs="宋体"/>
              <w:b/>
              <w:sz w:val="28"/>
              <w:szCs w:val="28"/>
            </w:rPr>
          </w:pPr>
          <w:r>
            <w:fldChar w:fldCharType="begin"/>
          </w:r>
          <w:r>
            <w:instrText xml:space="preserve"> HYPERLINK \l "_Toc516" </w:instrText>
          </w:r>
          <w:r>
            <w:fldChar w:fldCharType="separate"/>
          </w:r>
          <w:r>
            <w:rPr>
              <w:rFonts w:hint="eastAsia" w:ascii="宋体" w:hAnsi="宋体" w:eastAsia="宋体" w:cs="宋体"/>
              <w:b/>
              <w:sz w:val="28"/>
              <w:szCs w:val="28"/>
              <w:lang w:val="en-US" w:eastAsia="zh-CN"/>
            </w:rPr>
            <w:t>七、“三公”经费财政拨款预算安排情况说明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_Toc516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6</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1B122F69">
          <w:pPr>
            <w:pStyle w:val="15"/>
            <w:tabs>
              <w:tab w:val="right" w:leader="dot" w:pos="8845"/>
            </w:tabs>
            <w:rPr>
              <w:rFonts w:hint="eastAsia" w:ascii="宋体" w:hAnsi="宋体" w:eastAsia="宋体" w:cs="宋体"/>
              <w:b/>
              <w:sz w:val="28"/>
              <w:szCs w:val="28"/>
            </w:rPr>
          </w:pPr>
          <w:r>
            <w:fldChar w:fldCharType="begin"/>
          </w:r>
          <w:r>
            <w:instrText xml:space="preserve"> HYPERLINK \l "_Toc15067" </w:instrText>
          </w:r>
          <w:r>
            <w:fldChar w:fldCharType="separate"/>
          </w:r>
          <w:r>
            <w:rPr>
              <w:rFonts w:hint="eastAsia" w:ascii="宋体" w:hAnsi="宋体" w:eastAsia="宋体" w:cs="宋体"/>
              <w:b/>
              <w:sz w:val="28"/>
              <w:szCs w:val="28"/>
              <w:lang w:val="en-US" w:eastAsia="zh-CN"/>
            </w:rPr>
            <w:t>八、政府性基金预算支出情况说明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_Toc15067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7</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123370A1">
          <w:pPr>
            <w:pStyle w:val="15"/>
            <w:tabs>
              <w:tab w:val="right" w:leader="dot" w:pos="8845"/>
            </w:tabs>
            <w:rPr>
              <w:rFonts w:hint="eastAsia" w:ascii="宋体" w:hAnsi="宋体" w:eastAsia="宋体" w:cs="宋体"/>
              <w:b/>
              <w:sz w:val="28"/>
              <w:szCs w:val="28"/>
            </w:rPr>
          </w:pPr>
          <w:r>
            <w:fldChar w:fldCharType="begin"/>
          </w:r>
          <w:r>
            <w:instrText xml:space="preserve"> HYPERLINK \l "_Toc16282" </w:instrText>
          </w:r>
          <w:r>
            <w:fldChar w:fldCharType="separate"/>
          </w:r>
          <w:r>
            <w:rPr>
              <w:rFonts w:hint="eastAsia" w:ascii="宋体" w:hAnsi="宋体" w:eastAsia="宋体" w:cs="宋体"/>
              <w:b/>
              <w:sz w:val="28"/>
              <w:szCs w:val="28"/>
              <w:lang w:val="en-US" w:eastAsia="zh-CN"/>
            </w:rPr>
            <w:t>九、国有资本经营预算支出情况说明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_Toc16282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7</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2C537B49">
          <w:pPr>
            <w:pStyle w:val="15"/>
            <w:tabs>
              <w:tab w:val="right" w:leader="dot" w:pos="8845"/>
            </w:tabs>
            <w:rPr>
              <w:rFonts w:hint="eastAsia" w:ascii="宋体" w:hAnsi="宋体" w:eastAsia="宋体" w:cs="宋体"/>
              <w:sz w:val="28"/>
              <w:szCs w:val="28"/>
            </w:rPr>
          </w:pPr>
          <w:r>
            <w:fldChar w:fldCharType="begin"/>
          </w:r>
          <w:r>
            <w:instrText xml:space="preserve"> HYPERLINK \l "_Toc15542" </w:instrText>
          </w:r>
          <w:r>
            <w:fldChar w:fldCharType="separate"/>
          </w:r>
          <w:r>
            <w:rPr>
              <w:rFonts w:hint="eastAsia" w:ascii="宋体" w:hAnsi="宋体" w:eastAsia="宋体" w:cs="宋体"/>
              <w:b/>
              <w:sz w:val="28"/>
              <w:szCs w:val="28"/>
              <w:lang w:val="en-US" w:eastAsia="zh-CN"/>
            </w:rPr>
            <w:t>十、其他重要事项的情况说明</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_Toc15542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7</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2F4A850B">
          <w:pPr>
            <w:pStyle w:val="15"/>
            <w:tabs>
              <w:tab w:val="right" w:leader="dot" w:pos="8845"/>
            </w:tabs>
            <w:rPr>
              <w:b/>
            </w:rPr>
          </w:pPr>
          <w:r>
            <w:fldChar w:fldCharType="begin"/>
          </w:r>
          <w:r>
            <w:instrText xml:space="preserve"> HYPERLINK \l "_Toc27149" </w:instrText>
          </w:r>
          <w:r>
            <w:fldChar w:fldCharType="separate"/>
          </w:r>
          <w:r>
            <w:rPr>
              <w:rFonts w:hint="eastAsia" w:ascii="宋体" w:hAnsi="宋体" w:eastAsia="宋体" w:cs="宋体"/>
              <w:b/>
              <w:sz w:val="28"/>
              <w:szCs w:val="28"/>
              <w:lang w:val="en-US" w:eastAsia="zh-CN"/>
            </w:rPr>
            <w:t>十一、名词解释</w:t>
          </w:r>
          <w:r>
            <w:rPr>
              <w:rFonts w:hint="eastAsia" w:ascii="宋体" w:hAnsi="宋体" w:eastAsia="宋体" w:cs="宋体"/>
              <w:b/>
              <w:sz w:val="28"/>
              <w:szCs w:val="28"/>
            </w:rPr>
            <w:tab/>
          </w:r>
          <w:r>
            <w:rPr>
              <w:rFonts w:hint="eastAsia" w:ascii="宋体" w:hAnsi="宋体" w:eastAsia="宋体" w:cs="宋体"/>
              <w:b/>
              <w:sz w:val="28"/>
              <w:szCs w:val="28"/>
            </w:rPr>
            <w:fldChar w:fldCharType="begin"/>
          </w:r>
          <w:r>
            <w:rPr>
              <w:rFonts w:hint="eastAsia" w:ascii="宋体" w:hAnsi="宋体" w:eastAsia="宋体" w:cs="宋体"/>
              <w:b/>
              <w:sz w:val="28"/>
              <w:szCs w:val="28"/>
            </w:rPr>
            <w:instrText xml:space="preserve"> PAGEREF _Toc27149 \h </w:instrText>
          </w:r>
          <w:r>
            <w:rPr>
              <w:rFonts w:hint="eastAsia" w:ascii="宋体" w:hAnsi="宋体" w:eastAsia="宋体" w:cs="宋体"/>
              <w:b/>
              <w:sz w:val="28"/>
              <w:szCs w:val="28"/>
            </w:rPr>
            <w:fldChar w:fldCharType="separate"/>
          </w:r>
          <w:r>
            <w:rPr>
              <w:rFonts w:hint="eastAsia" w:ascii="宋体" w:hAnsi="宋体" w:eastAsia="宋体" w:cs="宋体"/>
              <w:b/>
              <w:sz w:val="28"/>
              <w:szCs w:val="28"/>
            </w:rPr>
            <w:t>8</w:t>
          </w:r>
          <w:r>
            <w:rPr>
              <w:rFonts w:hint="eastAsia" w:ascii="宋体" w:hAnsi="宋体" w:eastAsia="宋体" w:cs="宋体"/>
              <w:b/>
              <w:sz w:val="28"/>
              <w:szCs w:val="28"/>
            </w:rPr>
            <w:fldChar w:fldCharType="end"/>
          </w:r>
          <w:r>
            <w:rPr>
              <w:rFonts w:hint="eastAsia" w:ascii="宋体" w:hAnsi="宋体" w:eastAsia="宋体" w:cs="宋体"/>
              <w:b/>
              <w:sz w:val="28"/>
              <w:szCs w:val="28"/>
            </w:rPr>
            <w:fldChar w:fldCharType="end"/>
          </w:r>
        </w:p>
        <w:p w14:paraId="1C82F725">
          <w:r>
            <w:rPr>
              <w:b/>
            </w:rPr>
            <w:fldChar w:fldCharType="end"/>
          </w:r>
        </w:p>
      </w:sdtContent>
    </w:sdt>
    <w:p w14:paraId="025738E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7486539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3AA63C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953AB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F88BA0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11901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6452"/>
      <w:bookmarkStart w:id="5" w:name="_Toc21952"/>
      <w:bookmarkStart w:id="6" w:name="_Toc13879"/>
    </w:p>
    <w:p w14:paraId="7888AD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ADCFA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C2784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83986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E2E63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25131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97EFB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6F113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F460C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10352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D6216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9233"/>
      <w:r>
        <w:rPr>
          <w:rFonts w:hint="eastAsia" w:ascii="黑体" w:hAnsi="黑体" w:eastAsia="黑体" w:cs="黑体"/>
          <w:sz w:val="32"/>
          <w:szCs w:val="32"/>
          <w:lang w:val="en-US" w:eastAsia="zh-CN"/>
        </w:rPr>
        <w:t>一、基本职能及主要工作</w:t>
      </w:r>
      <w:bookmarkEnd w:id="4"/>
      <w:bookmarkEnd w:id="5"/>
      <w:bookmarkEnd w:id="6"/>
      <w:bookmarkEnd w:id="7"/>
    </w:p>
    <w:p w14:paraId="10938C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8" w:name="_Toc1498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8"/>
    </w:p>
    <w:p w14:paraId="559143D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仿宋_GB2312" w:hAnsi="仿宋_GB2312" w:eastAsia="仿宋_GB2312" w:cs="仿宋_GB2312"/>
          <w:color w:val="auto"/>
          <w:kern w:val="2"/>
          <w:sz w:val="32"/>
          <w:szCs w:val="32"/>
          <w:lang w:val="en-US" w:eastAsia="zh-CN" w:bidi="ar-SA"/>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t>1.</w:t>
      </w:r>
      <w:r>
        <w:rPr>
          <w:rFonts w:hint="eastAsia" w:ascii="仿宋_GB2312" w:hAnsi="仿宋_GB2312" w:eastAsia="仿宋_GB2312" w:cs="仿宋_GB2312"/>
          <w:color w:val="auto"/>
          <w:kern w:val="2"/>
          <w:sz w:val="32"/>
          <w:szCs w:val="32"/>
          <w:lang w:val="en-US" w:eastAsia="zh-CN" w:bidi="ar-SA"/>
        </w:rPr>
        <w:t>贯彻党的教育方针，坚持社会主义办学方向，实行教育与生产劳动相结合，对学生进行德育、智育、体育、美育和劳动等方面的教育。</w:t>
      </w:r>
    </w:p>
    <w:p w14:paraId="056838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2.负责配合政府依法动员、组织适龄儿童、少年入学，严格控制学生辍学，依法保证适龄儿童、少年接受九年义务教育。</w:t>
      </w:r>
    </w:p>
    <w:p w14:paraId="584FA9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3.负责依法制定学校章程，并按照章程自主管理。</w:t>
      </w:r>
    </w:p>
    <w:p w14:paraId="376778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4.负责制定学校教育发展规划，并抓好组织和实施工作。</w:t>
      </w:r>
    </w:p>
    <w:p w14:paraId="149A6F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5.负责按照教育主管部门发布的指导性教学计划、教学大纲，组织实施教育教学活动。</w:t>
      </w:r>
    </w:p>
    <w:p w14:paraId="7CA1CA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6.负责学籍管理并对学生实施奖励或处分。</w:t>
      </w:r>
    </w:p>
    <w:p w14:paraId="72D5C3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7.负责依法制定本校教师及其他职工聘任制度，并对教师及其他员工实施包括奖励、处分在内的具体管理活动。</w:t>
      </w:r>
    </w:p>
    <w:p w14:paraId="7A317B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8.负责科学管理、合理使用学校的设施和经费，并积极筹措资金，改善办学条件。</w:t>
      </w:r>
    </w:p>
    <w:p w14:paraId="253444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9.负责维护学校、师生的合法权益，有权拒绝任何组织和个人对教育教学活动的非法干扰。</w:t>
      </w:r>
    </w:p>
    <w:p w14:paraId="3B8142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10.依法接受各级教育行政部门的检查指导和人民群众的监督。</w:t>
      </w:r>
    </w:p>
    <w:p w14:paraId="13ABFE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11.承办上级交办的其他事项。</w:t>
      </w:r>
    </w:p>
    <w:p w14:paraId="78613A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FF5C4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9" w:name="_Toc664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9"/>
    </w:p>
    <w:p w14:paraId="10219C93">
      <w:pPr>
        <w:numPr>
          <w:ilvl w:val="0"/>
          <w:numId w:val="0"/>
        </w:numPr>
        <w:ind w:firstLine="640" w:firstLineChars="200"/>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1.牢抓教育教学，坚守初心使命。2025年，我们将继续坚持“教育六认真”、月检查、月研判等制度，把教育教学进一步抓牢抓实；</w:t>
      </w:r>
    </w:p>
    <w:p w14:paraId="6795A768">
      <w:pPr>
        <w:numPr>
          <w:ilvl w:val="0"/>
          <w:numId w:val="0"/>
        </w:numPr>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2.开展课题研究，打造学校责任意识教育特色。落实区级科研课题，结合我校实际，深入研究，总结成果，形成教育特色；</w:t>
      </w:r>
    </w:p>
    <w:p w14:paraId="0E55ED7E">
      <w:pPr>
        <w:numPr>
          <w:ilvl w:val="0"/>
          <w:numId w:val="0"/>
        </w:numPr>
        <w:ind w:firstLine="640" w:firstLineChars="200"/>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w:t>
      </w:r>
      <w:r>
        <w:rPr>
          <w:rFonts w:hint="eastAsia"/>
          <w:lang w:val="en-US" w:eastAsia="zh-CN"/>
        </w:rPr>
        <w:t>.</w:t>
      </w:r>
      <w:r>
        <w:rPr>
          <w:rFonts w:hint="eastAsia" w:ascii="仿宋" w:hAnsi="仿宋" w:eastAsia="仿宋" w:cs="仿宋"/>
          <w:color w:val="000000"/>
          <w:kern w:val="2"/>
          <w:sz w:val="32"/>
          <w:szCs w:val="32"/>
          <w:lang w:val="en-US" w:eastAsia="zh-CN" w:bidi="ar-SA"/>
        </w:rPr>
        <w:t>加大宣传力度，渐进式解决招生难。来年，我们将采用召开“退休不退热情”的退休教师座谈会、家长会、美文等形式，运用QQ、微信群、报刊等途径，宣传学校特色及成果，逐渐改变家长学生观念，形成良好招生氛围。</w:t>
      </w:r>
    </w:p>
    <w:p w14:paraId="7FD85A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color w:val="000000"/>
          <w:kern w:val="2"/>
          <w:sz w:val="32"/>
          <w:szCs w:val="32"/>
          <w:lang w:val="en-US" w:eastAsia="zh-CN" w:bidi="ar-SA"/>
        </w:rPr>
        <w:t>百尺竿头宜奋起，扬鞭催马任驱驰。在新的一年中，将带领二小全体教师进一步增强大局意识、责任意识、创新意识,弘扬团结精神、奉献精神，敢于争先领跑，善于拼搏进取，以昂扬向上的精神风貌、稳扎稳打的实际行动和优异的成绩，开创二小教育新的局面，铸造二小教育的辉煌！</w:t>
      </w:r>
    </w:p>
    <w:p w14:paraId="51D318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7013"/>
      <w:bookmarkStart w:id="11" w:name="_Toc15036"/>
      <w:bookmarkStart w:id="12" w:name="_Toc12981"/>
      <w:bookmarkStart w:id="13" w:name="_Toc22661"/>
      <w:r>
        <w:rPr>
          <w:rFonts w:hint="eastAsia" w:ascii="黑体" w:hAnsi="黑体" w:eastAsia="黑体" w:cs="黑体"/>
          <w:sz w:val="32"/>
          <w:szCs w:val="32"/>
          <w:lang w:val="en-US" w:eastAsia="zh-CN"/>
        </w:rPr>
        <w:t>二、部门预算单位构成</w:t>
      </w:r>
      <w:bookmarkEnd w:id="10"/>
      <w:bookmarkEnd w:id="11"/>
      <w:bookmarkEnd w:id="12"/>
      <w:bookmarkEnd w:id="13"/>
    </w:p>
    <w:p w14:paraId="064592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26273F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4854"/>
      <w:bookmarkStart w:id="15" w:name="_Toc13845"/>
      <w:bookmarkStart w:id="16" w:name="_Toc7029"/>
      <w:bookmarkStart w:id="17" w:name="_Toc24718"/>
      <w:r>
        <w:rPr>
          <w:rFonts w:hint="eastAsia" w:ascii="黑体" w:hAnsi="黑体" w:eastAsia="黑体" w:cs="黑体"/>
          <w:sz w:val="32"/>
          <w:szCs w:val="32"/>
          <w:lang w:val="en-US" w:eastAsia="zh-CN"/>
        </w:rPr>
        <w:t>三、收支预算情况说明</w:t>
      </w:r>
      <w:bookmarkEnd w:id="14"/>
      <w:bookmarkEnd w:id="15"/>
      <w:bookmarkEnd w:id="16"/>
      <w:bookmarkEnd w:id="17"/>
    </w:p>
    <w:p w14:paraId="35C6BD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元坝二小所有收入和支出均纳入部门预算管理。收入包括：一般公共预算拨款收入；支出包括：教育支出。元坝二小2025年收支预算总数378.37万元，比2024年收支预算总数增加7.05万元，主要原因是项目支出增加。</w:t>
      </w:r>
    </w:p>
    <w:p w14:paraId="62F5BA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1944"/>
      <w:r>
        <w:rPr>
          <w:rFonts w:hint="eastAsia" w:ascii="楷体_GB2312" w:hAnsi="楷体_GB2312" w:eastAsia="楷体_GB2312" w:cs="楷体_GB2312"/>
          <w:sz w:val="32"/>
          <w:szCs w:val="32"/>
          <w:lang w:val="en-US" w:eastAsia="zh-CN"/>
        </w:rPr>
        <w:t>（一）收入预算情况</w:t>
      </w:r>
      <w:bookmarkEnd w:id="18"/>
    </w:p>
    <w:p w14:paraId="69EE00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元坝二小2025年收入预算378.37万元，其中一般公共预算拨款收入378.37万元，占100%。</w:t>
      </w:r>
    </w:p>
    <w:p w14:paraId="71EDA5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5718"/>
      <w:r>
        <w:rPr>
          <w:rFonts w:hint="eastAsia" w:ascii="楷体_GB2312" w:hAnsi="楷体_GB2312" w:eastAsia="楷体_GB2312" w:cs="楷体_GB2312"/>
          <w:sz w:val="32"/>
          <w:szCs w:val="32"/>
          <w:lang w:val="en-US" w:eastAsia="zh-CN"/>
        </w:rPr>
        <w:t>（二）支出预算情况</w:t>
      </w:r>
      <w:bookmarkEnd w:id="19"/>
    </w:p>
    <w:p w14:paraId="269DF6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元坝二小2025年支出预算378.37万元，其中：基本支出347.97万元，占91.97%；项目支出30.40万元，占8.03%</w:t>
      </w:r>
      <w:r>
        <w:rPr>
          <w:rFonts w:hint="eastAsia" w:ascii="仿宋_GB2312" w:hAnsi="仿宋_GB2312" w:eastAsia="仿宋_GB2312" w:cs="仿宋_GB2312"/>
          <w:b w:val="0"/>
          <w:bCs w:val="0"/>
          <w:sz w:val="32"/>
          <w:szCs w:val="32"/>
          <w:lang w:val="en-US" w:eastAsia="zh-CN"/>
        </w:rPr>
        <w:t>。</w:t>
      </w:r>
    </w:p>
    <w:p w14:paraId="44DA94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5340"/>
      <w:bookmarkStart w:id="21" w:name="_Toc19144"/>
      <w:bookmarkStart w:id="22" w:name="_Toc2633"/>
      <w:bookmarkStart w:id="23" w:name="_Toc1656"/>
      <w:r>
        <w:rPr>
          <w:rFonts w:hint="eastAsia" w:ascii="黑体" w:hAnsi="黑体" w:eastAsia="黑体" w:cs="黑体"/>
          <w:sz w:val="32"/>
          <w:szCs w:val="32"/>
          <w:lang w:val="en-US" w:eastAsia="zh-CN"/>
        </w:rPr>
        <w:t>四、财政拨款收支预算情况说明</w:t>
      </w:r>
      <w:bookmarkEnd w:id="20"/>
      <w:bookmarkEnd w:id="21"/>
      <w:bookmarkEnd w:id="22"/>
      <w:bookmarkEnd w:id="23"/>
    </w:p>
    <w:p w14:paraId="3EF616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元坝二小2025年财政拨款收支预算总数378.37万元，比2024年财政拨款收支预算总数增加7.05万元，主要原因是项目支出增加。</w:t>
      </w:r>
    </w:p>
    <w:p w14:paraId="4A6CD1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收入包括：本年一般公共预算拨款收入378.37万元；支出包括：教育支出378.37万元。</w:t>
      </w:r>
    </w:p>
    <w:p w14:paraId="7884D7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26156"/>
      <w:bookmarkStart w:id="25" w:name="_Toc1528"/>
      <w:bookmarkStart w:id="26" w:name="_Toc1529"/>
      <w:bookmarkStart w:id="27" w:name="_Toc1736"/>
      <w:r>
        <w:rPr>
          <w:rFonts w:hint="eastAsia" w:ascii="黑体" w:hAnsi="黑体" w:eastAsia="黑体" w:cs="黑体"/>
          <w:sz w:val="32"/>
          <w:szCs w:val="32"/>
          <w:lang w:val="en-US" w:eastAsia="zh-CN"/>
        </w:rPr>
        <w:t>五、一般公共预算当年拨款情况说明</w:t>
      </w:r>
      <w:bookmarkEnd w:id="24"/>
      <w:bookmarkEnd w:id="25"/>
      <w:bookmarkEnd w:id="26"/>
      <w:bookmarkEnd w:id="27"/>
    </w:p>
    <w:p w14:paraId="0A9E5B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1591"/>
      <w:r>
        <w:rPr>
          <w:rFonts w:hint="eastAsia" w:ascii="楷体_GB2312" w:hAnsi="楷体_GB2312" w:eastAsia="楷体_GB2312" w:cs="楷体_GB2312"/>
          <w:sz w:val="32"/>
          <w:szCs w:val="32"/>
          <w:lang w:val="en-US" w:eastAsia="zh-CN"/>
        </w:rPr>
        <w:t>（一）一般公共预算当年拨款规模变化情况</w:t>
      </w:r>
      <w:bookmarkEnd w:id="28"/>
    </w:p>
    <w:p w14:paraId="601360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元坝二小2025年一般公共预算当年拨款378.37万元，比2024年财政拨款收支预算总数增加7.05万元，主要原因是项目支出增加。</w:t>
      </w:r>
    </w:p>
    <w:p w14:paraId="082C16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7311"/>
      <w:r>
        <w:rPr>
          <w:rFonts w:hint="eastAsia" w:ascii="楷体_GB2312" w:hAnsi="楷体_GB2312" w:eastAsia="楷体_GB2312" w:cs="楷体_GB2312"/>
          <w:sz w:val="32"/>
          <w:szCs w:val="32"/>
          <w:lang w:val="en-US" w:eastAsia="zh-CN"/>
        </w:rPr>
        <w:t>（二）一般公共预算当年拨款结构情况</w:t>
      </w:r>
      <w:bookmarkEnd w:id="29"/>
    </w:p>
    <w:p w14:paraId="106A8C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教育支出378.37万元，占100%。</w:t>
      </w:r>
    </w:p>
    <w:p w14:paraId="607895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23619"/>
      <w:r>
        <w:rPr>
          <w:rFonts w:hint="eastAsia" w:ascii="楷体_GB2312" w:hAnsi="楷体_GB2312" w:eastAsia="楷体_GB2312" w:cs="楷体_GB2312"/>
          <w:sz w:val="32"/>
          <w:szCs w:val="32"/>
          <w:lang w:val="en-US" w:eastAsia="zh-CN"/>
        </w:rPr>
        <w:t>（三）一般公共预算当年拨款具体使用情况</w:t>
      </w:r>
      <w:bookmarkEnd w:id="30"/>
    </w:p>
    <w:p w14:paraId="4D037D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378.37万元，主要用于：小学教育机构的基本支出，包括基本工资、津贴补贴、基础绩效奖等人员经费以及机构运行所需的办公费、印刷费、维修（护）费、工会经费等运行补助经费。</w:t>
      </w:r>
    </w:p>
    <w:p w14:paraId="562F0A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1" w:name="_Toc32033"/>
      <w:bookmarkStart w:id="32" w:name="_Toc14619"/>
      <w:bookmarkStart w:id="33" w:name="_Toc19886"/>
      <w:bookmarkStart w:id="34" w:name="_Toc8393"/>
      <w:r>
        <w:rPr>
          <w:rFonts w:hint="eastAsia" w:ascii="黑体" w:hAnsi="黑体" w:eastAsia="黑体" w:cs="黑体"/>
          <w:sz w:val="32"/>
          <w:szCs w:val="32"/>
          <w:lang w:val="en-US" w:eastAsia="zh-CN"/>
        </w:rPr>
        <w:t>六、一般公共预算基本支出情况说明</w:t>
      </w:r>
      <w:bookmarkEnd w:id="31"/>
      <w:bookmarkEnd w:id="32"/>
      <w:bookmarkEnd w:id="33"/>
      <w:bookmarkEnd w:id="34"/>
    </w:p>
    <w:p w14:paraId="346330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元坝二小2025年一般公共预算基本支出347.97万元，其中：</w:t>
      </w:r>
    </w:p>
    <w:p w14:paraId="799A4D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人员经费347.97万元，主要包括：基本工资、津贴补贴、奖金、绩效工资、社会保险缴费、住房公积金、生活补助、奖励金等支出。</w:t>
      </w:r>
    </w:p>
    <w:p w14:paraId="460254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71E362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5" w:name="_Toc7000"/>
      <w:bookmarkStart w:id="36" w:name="_Toc9459"/>
      <w:bookmarkStart w:id="37" w:name="_Toc18423"/>
      <w:bookmarkStart w:id="38" w:name="_Toc516"/>
      <w:r>
        <w:rPr>
          <w:rFonts w:hint="eastAsia" w:ascii="黑体" w:hAnsi="黑体" w:eastAsia="黑体" w:cs="黑体"/>
          <w:sz w:val="32"/>
          <w:szCs w:val="32"/>
          <w:lang w:val="en-US" w:eastAsia="zh-CN"/>
        </w:rPr>
        <w:t>七、“三公”经费财政拨款预算安排情况说明</w:t>
      </w:r>
      <w:bookmarkEnd w:id="35"/>
      <w:bookmarkEnd w:id="36"/>
      <w:bookmarkEnd w:id="37"/>
      <w:bookmarkEnd w:id="38"/>
    </w:p>
    <w:p w14:paraId="059594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元坝二小2025年“三公”经费财政拨款预算数0.16万元，其中：公务接待费0.16万元。</w:t>
      </w:r>
    </w:p>
    <w:p w14:paraId="29333C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9" w:name="_Toc26256"/>
      <w:r>
        <w:rPr>
          <w:rFonts w:hint="eastAsia" w:ascii="楷体_GB2312" w:hAnsi="楷体_GB2312" w:eastAsia="楷体_GB2312" w:cs="楷体_GB2312"/>
          <w:sz w:val="32"/>
          <w:szCs w:val="32"/>
          <w:lang w:val="en-US" w:eastAsia="zh-CN"/>
        </w:rPr>
        <w:t>（一）公务接待费</w:t>
      </w:r>
      <w:bookmarkEnd w:id="39"/>
    </w:p>
    <w:p w14:paraId="579E8E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公务接待费与2024年预算相比增加0.16万元，主要原因是上年未预算接待费，本年预计产生接待费0.16万元。2025年公务接待费计划用于执行接待考察调研、检查指导等公务活动开支的交通费、住宿费、用餐费等。</w:t>
      </w:r>
    </w:p>
    <w:p w14:paraId="46F9CB2E">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0" w:name="_Toc8770"/>
      <w:r>
        <w:rPr>
          <w:rFonts w:hint="eastAsia" w:ascii="楷体_GB2312" w:hAnsi="楷体_GB2312" w:eastAsia="楷体_GB2312" w:cs="楷体_GB2312"/>
          <w:sz w:val="32"/>
          <w:szCs w:val="32"/>
          <w:lang w:val="en-US" w:eastAsia="zh-CN"/>
        </w:rPr>
        <w:t>公务用车购置及运行维护费</w:t>
      </w:r>
      <w:bookmarkEnd w:id="40"/>
    </w:p>
    <w:p w14:paraId="7E6A0A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4C2488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41970C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2025年安排公务用车购置费0万元。</w:t>
      </w:r>
    </w:p>
    <w:p w14:paraId="7F60E3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8FC014C">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41" w:name="_Toc1084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41"/>
    </w:p>
    <w:p w14:paraId="36D812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7CE69E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2" w:name="_Toc11619"/>
      <w:bookmarkStart w:id="43" w:name="_Toc15067"/>
      <w:bookmarkStart w:id="44" w:name="_Toc7593"/>
      <w:bookmarkStart w:id="45" w:name="_Toc4636"/>
      <w:r>
        <w:rPr>
          <w:rFonts w:hint="eastAsia" w:ascii="黑体" w:hAnsi="黑体" w:eastAsia="黑体" w:cs="黑体"/>
          <w:sz w:val="32"/>
          <w:szCs w:val="32"/>
          <w:lang w:val="en-US" w:eastAsia="zh-CN"/>
        </w:rPr>
        <w:t>八、政府性基金预算支出情况说明</w:t>
      </w:r>
      <w:bookmarkEnd w:id="42"/>
      <w:bookmarkEnd w:id="43"/>
      <w:bookmarkEnd w:id="44"/>
      <w:bookmarkEnd w:id="45"/>
    </w:p>
    <w:p w14:paraId="19D71A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元坝二小2025年无政府性基金预算拨款安排的支出。</w:t>
      </w:r>
    </w:p>
    <w:p w14:paraId="4D2192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6" w:name="_Toc29439"/>
      <w:bookmarkStart w:id="47" w:name="_Toc16282"/>
      <w:bookmarkStart w:id="48" w:name="_Toc1974"/>
      <w:bookmarkStart w:id="49" w:name="_Toc26226"/>
      <w:r>
        <w:rPr>
          <w:rFonts w:hint="eastAsia" w:ascii="黑体" w:hAnsi="黑体" w:eastAsia="黑体" w:cs="黑体"/>
          <w:sz w:val="32"/>
          <w:szCs w:val="32"/>
          <w:lang w:val="en-US" w:eastAsia="zh-CN"/>
        </w:rPr>
        <w:t>九、国有资本经营预算支出情况说明</w:t>
      </w:r>
      <w:bookmarkEnd w:id="46"/>
      <w:bookmarkEnd w:id="47"/>
      <w:bookmarkEnd w:id="48"/>
      <w:bookmarkEnd w:id="49"/>
    </w:p>
    <w:p w14:paraId="53ABEF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元坝二小2025年无国有资本经营预算拨款安排的支出。</w:t>
      </w:r>
    </w:p>
    <w:p w14:paraId="7944C2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0" w:name="_Toc19536"/>
      <w:bookmarkStart w:id="51" w:name="_Toc15542"/>
      <w:bookmarkStart w:id="52" w:name="_Toc7617"/>
      <w:bookmarkStart w:id="53" w:name="_Toc27733"/>
      <w:r>
        <w:rPr>
          <w:rFonts w:hint="eastAsia" w:ascii="黑体" w:hAnsi="黑体" w:eastAsia="黑体" w:cs="黑体"/>
          <w:sz w:val="32"/>
          <w:szCs w:val="32"/>
          <w:lang w:val="en-US" w:eastAsia="zh-CN"/>
        </w:rPr>
        <w:t>十、其他重要事项的情况说明</w:t>
      </w:r>
      <w:bookmarkEnd w:id="50"/>
      <w:bookmarkEnd w:id="51"/>
      <w:bookmarkEnd w:id="52"/>
      <w:bookmarkEnd w:id="53"/>
    </w:p>
    <w:p w14:paraId="3D3930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4" w:name="_Toc22922"/>
      <w:r>
        <w:rPr>
          <w:rFonts w:hint="eastAsia" w:ascii="楷体_GB2312" w:hAnsi="楷体_GB2312" w:eastAsia="楷体_GB2312" w:cs="楷体_GB2312"/>
          <w:sz w:val="32"/>
          <w:szCs w:val="32"/>
          <w:lang w:val="en-US" w:eastAsia="zh-CN"/>
        </w:rPr>
        <w:t>（一）机关运行经费</w:t>
      </w:r>
      <w:bookmarkEnd w:id="54"/>
    </w:p>
    <w:p w14:paraId="6CDEFF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0F3BC3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5" w:name="_Toc25605"/>
      <w:r>
        <w:rPr>
          <w:rFonts w:hint="eastAsia" w:ascii="楷体_GB2312" w:hAnsi="楷体_GB2312" w:eastAsia="楷体_GB2312" w:cs="楷体_GB2312"/>
          <w:sz w:val="32"/>
          <w:szCs w:val="32"/>
          <w:lang w:val="en-US" w:eastAsia="zh-CN"/>
        </w:rPr>
        <w:t>（二）政府采购情况</w:t>
      </w:r>
      <w:bookmarkEnd w:id="55"/>
    </w:p>
    <w:p w14:paraId="51E165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2025年，元坝二小安排政府采购预算0万元。</w:t>
      </w:r>
    </w:p>
    <w:p w14:paraId="2F09BB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6" w:name="_Toc2400"/>
      <w:r>
        <w:rPr>
          <w:rFonts w:hint="eastAsia" w:ascii="楷体_GB2312" w:hAnsi="楷体_GB2312" w:eastAsia="楷体_GB2312" w:cs="楷体_GB2312"/>
          <w:sz w:val="32"/>
          <w:szCs w:val="32"/>
          <w:lang w:val="en-US" w:eastAsia="zh-CN"/>
        </w:rPr>
        <w:t>（三）国有资产占有使用情况</w:t>
      </w:r>
      <w:bookmarkEnd w:id="56"/>
    </w:p>
    <w:p w14:paraId="492501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截至2024年底，元坝二小共有车辆0辆，单位无价值200万元以上的大型设备。</w:t>
      </w:r>
    </w:p>
    <w:p w14:paraId="758810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069FE2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7" w:name="_Toc21463"/>
      <w:r>
        <w:rPr>
          <w:rFonts w:hint="eastAsia" w:ascii="楷体_GB2312" w:hAnsi="楷体_GB2312" w:eastAsia="楷体_GB2312" w:cs="楷体_GB2312"/>
          <w:sz w:val="32"/>
          <w:szCs w:val="32"/>
          <w:lang w:val="en-US" w:eastAsia="zh-CN"/>
        </w:rPr>
        <w:t>（四）绩效目标设置情况</w:t>
      </w:r>
      <w:bookmarkEnd w:id="57"/>
    </w:p>
    <w:p w14:paraId="02221F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2025年元坝二小开展绩效目标管理的项目13个，涉及预算378.37万元。其中：人员类项目10个，涉及预算347.97万元；运转类项目3个，涉及预算30.40万元；因部分项目内容涉密，不予公开。</w:t>
      </w:r>
    </w:p>
    <w:p w14:paraId="2F9364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8" w:name="_Toc11526"/>
      <w:bookmarkStart w:id="59" w:name="_Toc27149"/>
      <w:bookmarkStart w:id="60" w:name="_Toc10623"/>
      <w:bookmarkStart w:id="61" w:name="_Toc16515"/>
      <w:r>
        <w:rPr>
          <w:rFonts w:hint="eastAsia" w:ascii="黑体" w:hAnsi="黑体" w:eastAsia="黑体" w:cs="黑体"/>
          <w:sz w:val="32"/>
          <w:szCs w:val="32"/>
          <w:lang w:val="en-US" w:eastAsia="zh-CN"/>
        </w:rPr>
        <w:t>十一、名词解释</w:t>
      </w:r>
      <w:bookmarkEnd w:id="58"/>
      <w:bookmarkEnd w:id="59"/>
      <w:bookmarkEnd w:id="60"/>
      <w:bookmarkEnd w:id="61"/>
    </w:p>
    <w:p w14:paraId="6C952F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74FEF2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F73B6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768E82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14:paraId="388828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指部门实施养老保险制度由单位缴纳的养老保险费支出。</w:t>
      </w:r>
    </w:p>
    <w:p w14:paraId="4D61A7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4E458F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25A8AD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0EDFB6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1EEDB1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35B45B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9FC96FD">
      <w:pPr>
        <w:pStyle w:val="6"/>
        <w:tabs>
          <w:tab w:val="right" w:leader="dot" w:pos="8845"/>
        </w:tabs>
      </w:pPr>
      <w:r>
        <w:fldChar w:fldCharType="begin"/>
      </w:r>
      <w:r>
        <w:instrText xml:space="preserve">TOC \o "1-1" \h \u</w:instrText>
      </w:r>
      <w:r>
        <w:fldChar w:fldCharType="separate"/>
      </w:r>
    </w:p>
    <w:p w14:paraId="010464D4">
      <w:r>
        <w:fldChar w:fldCharType="end"/>
      </w:r>
    </w:p>
    <w:p w14:paraId="1A1780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6FCF94D8">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761BBEBC">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93C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9"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91CE865">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yeN/7+AQAAAAQAAA4AAABkcnMvZTJvRG9jLnhtbK1TwY7TMBC9I/EP&#10;lu80TZFQiZquEFUR0oqttPABruM0lmyPNXaalA+AP+DEhTvf1e9gnKRdWDjsgYszM568mfdmvLrp&#10;rWFHhUGDK3k+m3OmnIRKu0PJP33cvlhyFqJwlTDgVMlPKvCb9fNnq84XagENmEohIxAXis6XvInR&#10;F1kWZKOsCDPwytFlDWhFJBcPWYWiI3RrssV8/irrACuPIFUIFN2Ml3xCxKcAQl1rqTYgW6tcHFFR&#10;GRGJUmi0D3w9dFvXSsa7ug4qMlNyYhqHk4qQvU9ntl6J4oDCN1pOLYintPCIkxXaUdEr1EZEwVrU&#10;f0FZLREC1HEmwWYjkUERYpHPH2lz3wivBi4kdfBX0cP/g5Ufjjtkuir5y8VrzpywNPLzt6/n7z/P&#10;P76wPAnU+VBQ3r3f4eQFMhPbvkabvsSD9YOop6uoqo9MUjBfLpbLOekt6e7iEE728LvHEN8psCwZ&#10;JUea2iCmON6GOKZeUlI1B1ttDMVFYdwfAcJMkSx1PPaYrNjv+6nxPVQn4oswLkLwcqup5q0IcSeQ&#10;Jk990tuId3TUBrqSw2Rx1gB+/lc85dNA6Jazjjap5I4eDmfmvaNBpaW7GHgx9hfDtfYt0GrmnAkn&#10;CaPkkbPWoz40Q4uJXvBv2kicBykSoZHFxJMWYxBzWuK0eb/7Q9bD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Mnjf+/gEAAAAEAAAOAAAAAAAAAAEAIAAAAB8BAABkcnMvZTJvRG9jLnht&#10;bFBLBQYAAAAABgAGAFkBAACPBQAAAAA=&#10;">
              <v:fill on="f" focussize="0,0"/>
              <v:stroke on="f"/>
              <v:imagedata o:title=""/>
              <o:lock v:ext="edit" aspectratio="f"/>
              <v:textbox inset="0mm,0mm,0mm,0mm" style="mso-fit-shape-to-text:t;">
                <w:txbxContent>
                  <w:p w14:paraId="491CE865">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493451"/>
    <w:multiLevelType w:val="singleLevel"/>
    <w:tmpl w:val="FB493451"/>
    <w:lvl w:ilvl="0" w:tentative="0">
      <w:start w:val="2"/>
      <w:numFmt w:val="chineseCounting"/>
      <w:suff w:val="nothing"/>
      <w:lvlText w:val="（%1）"/>
      <w:lvlJc w:val="left"/>
      <w:rPr>
        <w:rFonts w:hint="eastAsia"/>
      </w:rPr>
    </w:lvl>
  </w:abstractNum>
  <w:abstractNum w:abstractNumId="1">
    <w:nsid w:val="7B6C10C4"/>
    <w:multiLevelType w:val="singleLevel"/>
    <w:tmpl w:val="7B6C10C4"/>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YWMwMmI1ODc5NjZiMDJmOTQ1MDc5ZTFlNzdiOTEifQ=="/>
  </w:docVars>
  <w:rsids>
    <w:rsidRoot w:val="00000000"/>
    <w:rsid w:val="3F4A13AD"/>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List"/>
    <w:basedOn w:val="3"/>
    <w:autoRedefine/>
    <w:qFormat/>
    <w:uiPriority w:val="0"/>
  </w:style>
  <w:style w:type="paragraph" w:styleId="8">
    <w:name w:val="Normal (Web)"/>
    <w:basedOn w:val="1"/>
    <w:autoRedefine/>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autoRedefine/>
    <w:qFormat/>
    <w:uiPriority w:val="0"/>
  </w:style>
  <w:style w:type="paragraph" w:customStyle="1" w:styleId="13">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3249</Words>
  <Characters>3476</Characters>
  <TotalTime>12</TotalTime>
  <ScaleCrop>false</ScaleCrop>
  <LinksUpToDate>false</LinksUpToDate>
  <CharactersWithSpaces>3567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