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95EB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广元市昭化区元坝镇第一小学</w:t>
      </w:r>
    </w:p>
    <w:p w14:paraId="6C2CF8A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B74AC42">
      <w:pPr>
        <w:jc w:val="center"/>
        <w:outlineLvl w:val="0"/>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bookmarkStart w:id="0" w:name="_Toc18122"/>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bookmarkEnd w:id="0"/>
    </w:p>
    <w:sdt>
      <w:sdtPr>
        <w:rPr>
          <w:rFonts w:ascii="宋体" w:hAnsi="宋体" w:eastAsia="宋体" w:cs="Times New Roman"/>
          <w:color w:val="auto"/>
          <w:kern w:val="2"/>
          <w:sz w:val="21"/>
          <w:szCs w:val="24"/>
          <w:lang w:val="en-US" w:eastAsia="zh-CN" w:bidi="ar-SA"/>
        </w:rPr>
        <w:id w:val="147460629"/>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14:paraId="1A0CD254">
          <w:pPr>
            <w:spacing w:before="0" w:beforeLines="0" w:after="0" w:afterLines="0" w:line="240" w:lineRule="auto"/>
            <w:ind w:left="0" w:leftChars="0" w:right="0" w:rightChars="0" w:firstLine="0" w:firstLineChars="0"/>
            <w:jc w:val="center"/>
          </w:pPr>
          <w:r>
            <w:fldChar w:fldCharType="begin"/>
          </w:r>
          <w:r>
            <w:instrText xml:space="preserve">TOC \o "1-2" \h \u</w:instrText>
          </w:r>
          <w:r>
            <w:fldChar w:fldCharType="separate"/>
          </w:r>
        </w:p>
        <w:p w14:paraId="47161E6B">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"_Toc22958"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_Toc22958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EC1EC09">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"_Toc26893"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_Toc26893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994D79C">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"_Toc2112"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（二）2025年重点工作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_Toc2112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1D057F8">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"_Toc4709"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_Toc4709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0C2DE9E">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"_Toc3496"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_Toc3496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6</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75578A1">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"_Toc7162"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_Toc7162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6F893F8">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"_Toc18723"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_Toc18723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33D50BE">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"_Toc28671"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_Toc28671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FE6584A">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"_Toc3160"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_Toc3160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30C28F6">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"_Toc28851"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_Toc28851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E9EC7BF">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"_Toc4825"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_Toc4825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8143DD8">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"_Toc3184"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_Toc3184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974BF05">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"_Toc22145"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_Toc22145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ADF5264">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"_Toc3839"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_Toc3839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B43DFA4">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"_Toc12258"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（一）公务接待费</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_Toc12258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63980DE">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"_Toc722"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 公务用车购置及运行维护费</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_Toc722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A7C80AA">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"_Toc27435"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（三）因公出国（境）经费</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_Toc27435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B0BC90D">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"_Toc18644"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_Toc18644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6835E1C">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"_Toc32041"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_Toc32041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F5BC6AF">
          <w:pPr>
            <w:pStyle w:val="8"/>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"_Toc1005"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_Toc1005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CBAB940">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"_Toc8521"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（一）机关运行经费</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_Toc8521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7CF0517">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"_Toc7533"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（二）政府采购情况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_Toc7533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F00326C">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"_Toc12494"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（三）国有资产占有使用情况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_Toc12494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C394DA8">
          <w:pPr>
            <w:pStyle w:val="10"/>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"_Toc4595"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（四）绩效目标设置情况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_Toc4595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8F91A67">
          <w:pPr>
            <w:pStyle w:val="8"/>
            <w:tabs>
              <w:tab w:val="right" w:leader="dot" w:pos="8845"/>
            </w:tabs>
          </w:pPr>
          <w:r>
            <w:fldChar w:fldCharType="begin"/>
          </w:r>
          <w:r>
            <w:instrText xml:space="preserve"> HYPERLINK \l "_Toc17560"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_Toc17560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10</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A027BBE">
          <w:r>
            <w:fldChar w:fldCharType="end"/>
          </w:r>
        </w:p>
      </w:sdtContent>
    </w:sdt>
    <w:p w14:paraId="58D5D194"/>
    <w:p w14:paraId="44B67D7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6E01F3F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66C494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ED66EA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94C692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1031FE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8510E0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92D5F2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B106C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2958"/>
      <w:r>
        <w:rPr>
          <w:rFonts w:hint="eastAsia" w:ascii="黑体" w:hAnsi="黑体" w:eastAsia="黑体" w:cs="黑体"/>
          <w:sz w:val="32"/>
          <w:szCs w:val="32"/>
          <w:lang w:val="en-US" w:eastAsia="zh-CN"/>
        </w:rPr>
        <w:t>一、基本职能及主要工作</w:t>
      </w:r>
      <w:bookmarkEnd w:id="1"/>
    </w:p>
    <w:p w14:paraId="22436D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6893"/>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4579C6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3EB7E3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6E471A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2B9896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44B8F9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946AF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38711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706B5D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43A03E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1053D6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733959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4B2E22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3C819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112"/>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0A04C0B2">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 xml:space="preserve">一、指导思想 </w:t>
      </w:r>
    </w:p>
    <w:p w14:paraId="74FB6FD0">
      <w:pPr>
        <w:keepNext w:val="0"/>
        <w:keepLines w:val="0"/>
        <w:pageBreakBefore w:val="0"/>
        <w:widowControl/>
        <w:suppressLineNumbers w:val="0"/>
        <w:kinsoku/>
        <w:wordWrap/>
        <w:overflowPunct/>
        <w:topLinePunct w:val="0"/>
        <w:autoSpaceDE/>
        <w:autoSpaceDN/>
        <w:bidi w:val="0"/>
        <w:adjustRightInd/>
        <w:snapToGrid/>
        <w:spacing w:line="540" w:lineRule="exact"/>
        <w:ind w:left="0"/>
        <w:jc w:val="left"/>
        <w:textAlignment w:val="auto"/>
        <w:rPr>
          <w:sz w:val="32"/>
          <w:szCs w:val="32"/>
        </w:rPr>
      </w:pPr>
      <w:r>
        <w:rPr>
          <w:rFonts w:hint="eastAsia"/>
          <w:sz w:val="32"/>
          <w:szCs w:val="32"/>
        </w:rPr>
        <w:t xml:space="preserve"> 　</w:t>
      </w:r>
      <w:r>
        <w:rPr>
          <w:rFonts w:hint="eastAsia" w:ascii="仿宋_GB2312" w:hAnsi="仿宋" w:eastAsia="仿宋_GB2312" w:cs="楷体_GB2312"/>
          <w:bCs/>
          <w:kern w:val="2"/>
          <w:sz w:val="32"/>
          <w:szCs w:val="32"/>
          <w:lang w:val="en-US" w:eastAsia="zh-CN" w:bidi="ar-SA"/>
        </w:rPr>
        <w:t>　贯彻新时代党的教育方针，弘扬教育家精神，以德育为首、教学为中心，进一步提升办学质量，打造办学特色，促进内涵发展，</w:t>
      </w:r>
      <w:r>
        <w:rPr>
          <w:rFonts w:ascii="仿宋_GB2312" w:hAnsi="仿宋_GB2312" w:eastAsia="仿宋_GB2312" w:cs="仿宋_GB2312"/>
          <w:color w:val="000000"/>
          <w:kern w:val="0"/>
          <w:sz w:val="32"/>
          <w:szCs w:val="32"/>
          <w:lang w:val="en-US" w:eastAsia="zh-CN"/>
        </w:rPr>
        <w:t>全面落实立德树人根本任务，办好人民满意的教育</w:t>
      </w:r>
      <w:r>
        <w:rPr>
          <w:rFonts w:hint="eastAsia" w:ascii="仿宋_GB2312" w:hAnsi="仿宋_GB2312" w:eastAsia="仿宋_GB2312" w:cs="仿宋_GB2312"/>
          <w:color w:val="000000"/>
          <w:kern w:val="0"/>
          <w:sz w:val="32"/>
          <w:szCs w:val="32"/>
          <w:lang w:val="en-US" w:eastAsia="zh-CN"/>
        </w:rPr>
        <w:t>。</w:t>
      </w:r>
    </w:p>
    <w:p w14:paraId="3663B8BC">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二、工作目标</w:t>
      </w:r>
    </w:p>
    <w:p w14:paraId="57A894B1">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教学质量目标：继续保持一类小学综合质量考核第一位。</w:t>
      </w:r>
    </w:p>
    <w:p w14:paraId="6DB9A44A">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学校管理目标：完善管理机制，规范教学管理，学校年度目标为先进单位（义务教育学校第一名）；加强班子建设，争创团结协作、身先士卒、引领示范的“四好”阳光班子（班子满意度达95%以上）。</w:t>
      </w:r>
    </w:p>
    <w:p w14:paraId="64602476">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教师发展目标：弘扬教育家精神，铸魂强师，打造师德高尚、业务精湛、乐于奉献、业绩突出的高素质专业化教师队伍。</w:t>
      </w:r>
    </w:p>
    <w:p w14:paraId="18B4055A">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学生培养目标：实施四自教育，注重思想教育和行为习惯养成教育，培养德智体美劳全面发展的阳光少年。</w:t>
      </w:r>
    </w:p>
    <w:p w14:paraId="094B2F70">
      <w:pPr>
        <w:keepNext w:val="0"/>
        <w:keepLines w:val="0"/>
        <w:pageBreakBefore w:val="0"/>
        <w:kinsoku/>
        <w:wordWrap/>
        <w:overflowPunct/>
        <w:topLinePunct w:val="0"/>
        <w:autoSpaceDE/>
        <w:autoSpaceDN/>
        <w:bidi w:val="0"/>
        <w:adjustRightInd/>
        <w:snapToGrid/>
        <w:spacing w:line="540" w:lineRule="exact"/>
        <w:ind w:left="0"/>
        <w:textAlignment w:val="auto"/>
        <w:rPr>
          <w:rFonts w:hint="eastAsia" w:ascii="仿宋_GB2312" w:hAnsi="仿宋_GB2312" w:eastAsia="宋体" w:cs="仿宋_GB2312"/>
          <w:color w:val="000000"/>
          <w:kern w:val="0"/>
          <w:sz w:val="32"/>
          <w:szCs w:val="32"/>
          <w:lang w:val="en-US" w:eastAsia="zh-CN"/>
        </w:rPr>
      </w:pPr>
      <w:r>
        <w:rPr>
          <w:rFonts w:hint="eastAsia" w:ascii="仿宋_GB2312" w:hAnsi="仿宋" w:eastAsia="仿宋_GB2312" w:cs="楷体_GB2312"/>
          <w:bCs/>
          <w:kern w:val="2"/>
          <w:sz w:val="32"/>
          <w:szCs w:val="32"/>
          <w:lang w:val="en-US" w:eastAsia="zh-CN" w:bidi="ar-SA"/>
        </w:rPr>
        <w:t xml:space="preserve">    </w:t>
      </w:r>
      <w:r>
        <w:rPr>
          <w:rFonts w:hint="eastAsia" w:ascii="仿宋_GB2312" w:hAnsi="仿宋_GB2312" w:eastAsia="仿宋_GB2312" w:cs="仿宋_GB2312"/>
          <w:color w:val="000000"/>
          <w:kern w:val="0"/>
          <w:sz w:val="32"/>
          <w:szCs w:val="32"/>
          <w:lang w:val="en-US" w:eastAsia="zh-CN"/>
        </w:rPr>
        <w:t>生源稳控目标：2024年秋季一年级新生达到150人，025年春季在校学生达到945人（2025年秋季达950人）</w:t>
      </w:r>
      <w:r>
        <w:rPr>
          <w:rFonts w:hint="eastAsia"/>
          <w:lang w:eastAsia="zh-CN"/>
        </w:rPr>
        <w:t>。</w:t>
      </w:r>
    </w:p>
    <w:p w14:paraId="5DDE3AEF">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校园建设目标：推进学生食堂和宿舍建设项目进度。积极争取资金建设科技馆和开放式图书阅览室，启动校史馆建设项目前期工作，规划实施屋顶治漏项目。</w:t>
      </w:r>
    </w:p>
    <w:p w14:paraId="030043D1">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 xml:space="preserve"> 三、工作措施</w:t>
      </w:r>
    </w:p>
    <w:p w14:paraId="30E8FC4A">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（一）夯实党建工作</w:t>
      </w:r>
    </w:p>
    <w:p w14:paraId="2C4A7900">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 w:eastAsia="仿宋_GB2312" w:cs="楷体_GB2312"/>
          <w:bCs/>
          <w:kern w:val="2"/>
          <w:sz w:val="32"/>
          <w:szCs w:val="32"/>
          <w:lang w:val="en-US" w:eastAsia="zh-CN" w:bidi="ar-SA"/>
        </w:rPr>
      </w:pPr>
      <w:r>
        <w:rPr>
          <w:rFonts w:hint="eastAsia" w:ascii="仿宋_GB2312" w:hAnsi="仿宋" w:eastAsia="仿宋_GB2312" w:cs="楷体_GB2312"/>
          <w:bCs/>
          <w:kern w:val="2"/>
          <w:sz w:val="32"/>
          <w:szCs w:val="32"/>
          <w:lang w:val="en-US" w:eastAsia="zh-CN" w:bidi="ar-SA"/>
        </w:rPr>
        <w:t>加强政治建设。</w:t>
      </w:r>
    </w:p>
    <w:p w14:paraId="328694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CESI仿宋-GB2312" w:hAnsi="CESI仿宋-GB2312" w:eastAsia="CESI仿宋-GB2312" w:cs="CESI仿宋-GB2312"/>
          <w:sz w:val="32"/>
          <w:szCs w:val="32"/>
          <w:highlight w:val="none"/>
          <w:lang w:val="en-US" w:eastAsia="zh-CN"/>
        </w:rPr>
      </w:pPr>
      <w:r>
        <w:rPr>
          <w:rFonts w:hint="eastAsia" w:ascii="仿宋_GB2312" w:hAnsi="仿宋_GB2312" w:eastAsia="仿宋_GB2312" w:cs="仿宋_GB2312"/>
          <w:b w:val="0"/>
          <w:bCs w:val="0"/>
          <w:color w:val="000000"/>
          <w:kern w:val="0"/>
          <w:sz w:val="32"/>
          <w:szCs w:val="32"/>
          <w:lang w:val="en-US" w:eastAsia="zh-CN"/>
        </w:rPr>
        <w:t>一是抓好政治学习、二是抓好党建工作、</w:t>
      </w:r>
      <w:r>
        <w:rPr>
          <w:rFonts w:hint="eastAsia" w:ascii="仿宋_GB2312" w:hAnsi="仿宋" w:eastAsia="仿宋_GB2312" w:cs="仿宋_GB2312"/>
          <w:b w:val="0"/>
          <w:bCs w:val="0"/>
          <w:sz w:val="32"/>
          <w:szCs w:val="32"/>
          <w:lang w:val="en-US" w:eastAsia="zh-CN"/>
        </w:rPr>
        <w:t>三是</w:t>
      </w:r>
      <w:r>
        <w:rPr>
          <w:rFonts w:hint="eastAsia" w:ascii="仿宋_GB2312" w:hAnsi="仿宋" w:eastAsia="仿宋_GB2312" w:cs="仿宋_GB2312"/>
          <w:b w:val="0"/>
          <w:bCs w:val="0"/>
          <w:sz w:val="32"/>
          <w:szCs w:val="32"/>
        </w:rPr>
        <w:t>抓好党风廉政</w:t>
      </w:r>
      <w:r>
        <w:rPr>
          <w:rFonts w:hint="eastAsia" w:ascii="仿宋_GB2312" w:hAnsi="仿宋" w:eastAsia="仿宋_GB2312" w:cs="仿宋_GB2312"/>
          <w:b w:val="0"/>
          <w:bCs w:val="0"/>
          <w:sz w:val="32"/>
          <w:szCs w:val="32"/>
          <w:lang w:val="en-US" w:eastAsia="zh-CN"/>
        </w:rPr>
        <w:t>建设、四是抓好意识形态工作、</w:t>
      </w:r>
      <w:r>
        <w:rPr>
          <w:rFonts w:hint="eastAsia" w:ascii="仿宋_GB2312" w:hAnsi="仿宋_GB2312" w:eastAsia="仿宋_GB2312" w:cs="仿宋_GB2312"/>
          <w:b w:val="0"/>
          <w:bCs w:val="0"/>
          <w:color w:val="000000"/>
          <w:kern w:val="0"/>
          <w:sz w:val="32"/>
          <w:szCs w:val="32"/>
          <w:lang w:val="en-US" w:eastAsia="zh-CN"/>
        </w:rPr>
        <w:t>五是做</w:t>
      </w:r>
      <w:r>
        <w:rPr>
          <w:rFonts w:hint="eastAsia" w:ascii="仿宋_GB2312" w:hAnsi="仿宋" w:eastAsia="仿宋_GB2312" w:cs="仿宋_GB2312"/>
          <w:b w:val="0"/>
          <w:bCs w:val="0"/>
          <w:sz w:val="32"/>
          <w:szCs w:val="32"/>
          <w:lang w:val="en-US" w:eastAsia="zh-CN"/>
        </w:rPr>
        <w:t>好清廉学校创建工作。</w:t>
      </w:r>
    </w:p>
    <w:p w14:paraId="24E492D5">
      <w:pPr>
        <w:pStyle w:val="3"/>
        <w:keepNext w:val="0"/>
        <w:keepLines w:val="0"/>
        <w:pageBreakBefore w:val="0"/>
        <w:numPr>
          <w:ilvl w:val="0"/>
          <w:numId w:val="0"/>
        </w:numPr>
        <w:tabs>
          <w:tab w:val="center" w:pos="4422"/>
        </w:tabs>
        <w:kinsoku/>
        <w:wordWrap/>
        <w:overflowPunct/>
        <w:topLinePunct w:val="0"/>
        <w:autoSpaceDE/>
        <w:autoSpaceDN/>
        <w:bidi w:val="0"/>
        <w:adjustRightInd/>
        <w:snapToGrid/>
        <w:spacing w:line="540" w:lineRule="exact"/>
        <w:ind w:left="0" w:firstLine="640" w:firstLineChars="200"/>
        <w:textAlignment w:val="auto"/>
        <w:rPr>
          <w:rFonts w:hint="eastAsia" w:ascii="华文楷体" w:hAnsi="华文楷体" w:eastAsia="华文楷体" w:cs="华文楷体"/>
          <w:sz w:val="32"/>
          <w:szCs w:val="32"/>
          <w:lang w:eastAsia="zh-CN"/>
        </w:rPr>
      </w:pPr>
      <w:r>
        <w:rPr>
          <w:rFonts w:hint="eastAsia" w:ascii="仿宋_GB2312" w:hAnsi="仿宋_GB2312" w:eastAsia="仿宋_GB2312" w:cs="仿宋_GB2312"/>
          <w:kern w:val="2"/>
          <w:sz w:val="32"/>
          <w:szCs w:val="32"/>
          <w:lang w:val="en-US" w:eastAsia="zh-CN" w:bidi="ar-SA"/>
        </w:rPr>
        <w:t>（二）抓好队伍建设</w:t>
      </w:r>
      <w:r>
        <w:rPr>
          <w:rFonts w:hint="eastAsia" w:ascii="仿宋_GB2312" w:hAnsi="仿宋_GB2312" w:eastAsia="仿宋_GB2312" w:cs="仿宋_GB2312"/>
          <w:kern w:val="2"/>
          <w:sz w:val="32"/>
          <w:szCs w:val="32"/>
          <w:lang w:val="en-US" w:eastAsia="zh-CN" w:bidi="ar-SA"/>
        </w:rPr>
        <w:tab/>
      </w:r>
    </w:p>
    <w:p w14:paraId="40C587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40" w:lineRule="exact"/>
        <w:ind w:left="319" w:leftChars="152" w:right="0" w:firstLine="409" w:firstLineChars="128"/>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教师是立教之本、兴教之源，强国必先强教，强教必先强师。 </w:t>
      </w:r>
    </w:p>
    <w:p w14:paraId="595680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40" w:lineRule="exact"/>
        <w:ind w:right="0" w:firstLine="643"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rPr>
        <w:t>一</w:t>
      </w:r>
      <w:r>
        <w:rPr>
          <w:rFonts w:hint="eastAsia" w:ascii="仿宋_GB2312" w:hAnsi="仿宋_GB2312" w:eastAsia="仿宋_GB2312" w:cs="仿宋_GB2312"/>
          <w:b w:val="0"/>
          <w:bCs w:val="0"/>
          <w:color w:val="000000"/>
          <w:kern w:val="0"/>
          <w:sz w:val="32"/>
          <w:szCs w:val="32"/>
          <w:lang w:val="en-US" w:eastAsia="zh-CN"/>
        </w:rPr>
        <w:t>是</w:t>
      </w:r>
      <w:r>
        <w:rPr>
          <w:rFonts w:hint="eastAsia" w:ascii="仿宋_GB2312" w:hAnsi="仿宋_GB2312" w:eastAsia="仿宋_GB2312" w:cs="仿宋_GB2312"/>
          <w:sz w:val="32"/>
          <w:szCs w:val="32"/>
          <w:lang w:val="en-US" w:eastAsia="zh-CN"/>
        </w:rPr>
        <w:t>抓好领导班子</w:t>
      </w:r>
      <w:r>
        <w:rPr>
          <w:rFonts w:hint="eastAsia" w:ascii="仿宋_GB2312" w:hAnsi="仿宋_GB2312" w:eastAsia="仿宋_GB2312" w:cs="仿宋_GB2312"/>
          <w:sz w:val="32"/>
          <w:szCs w:val="32"/>
        </w:rPr>
        <w:t>能力建设</w:t>
      </w:r>
      <w:r>
        <w:rPr>
          <w:rFonts w:hint="eastAsia" w:ascii="仿宋_GB2312" w:hAnsi="仿宋_GB2312" w:eastAsia="仿宋_GB2312" w:cs="仿宋_GB2312"/>
          <w:sz w:val="32"/>
          <w:szCs w:val="32"/>
          <w:lang w:eastAsia="zh-CN"/>
        </w:rPr>
        <w:t>、</w:t>
      </w:r>
      <w:r>
        <w:rPr>
          <w:rFonts w:hint="eastAsia" w:ascii="仿宋_GB2312" w:hAnsi="仿宋" w:eastAsia="仿宋_GB2312" w:cs="仿宋_GB2312"/>
          <w:b/>
          <w:bCs/>
          <w:sz w:val="32"/>
          <w:szCs w:val="32"/>
          <w:lang w:val="en-US" w:eastAsia="zh-CN"/>
        </w:rPr>
        <w:t>二是</w:t>
      </w:r>
      <w:r>
        <w:rPr>
          <w:rFonts w:hint="eastAsia" w:ascii="仿宋_GB2312" w:hAnsi="仿宋" w:eastAsia="仿宋_GB2312" w:cs="仿宋_GB2312"/>
          <w:sz w:val="32"/>
          <w:szCs w:val="32"/>
          <w:lang w:val="en-US" w:eastAsia="zh-CN"/>
        </w:rPr>
        <w:t>抓好新时代教师队伍建设。</w:t>
      </w:r>
    </w:p>
    <w:p w14:paraId="63999892">
      <w:pPr>
        <w:pStyle w:val="3"/>
        <w:keepNext w:val="0"/>
        <w:keepLines w:val="0"/>
        <w:pageBreakBefore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（三）抓实教学常规</w:t>
      </w:r>
    </w:p>
    <w:p w14:paraId="58FCEE59">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1.深化教育教学管理，规范办学行为。</w:t>
      </w:r>
    </w:p>
    <w:p w14:paraId="6511E2BF">
      <w:pPr>
        <w:pStyle w:val="3"/>
        <w:keepNext w:val="0"/>
        <w:keepLines w:val="0"/>
        <w:pageBreakBefore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2.探索高效教学模式，提高教学质量。</w:t>
      </w:r>
    </w:p>
    <w:p w14:paraId="06F22A33">
      <w:pPr>
        <w:keepNext w:val="0"/>
        <w:keepLines w:val="0"/>
        <w:pageBreakBefore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3.抓好控辍保学及招生送生工作。</w:t>
      </w:r>
    </w:p>
    <w:p w14:paraId="026284B2">
      <w:pPr>
        <w:keepNext w:val="0"/>
        <w:keepLines w:val="0"/>
        <w:pageBreakBefore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（四）抓细抓实德育工作</w:t>
      </w:r>
    </w:p>
    <w:p w14:paraId="5198FCF6">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一是以“四自”教育为抓手，探索实施学生自主管理。</w:t>
      </w:r>
    </w:p>
    <w:p w14:paraId="1054AD76">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二是抓好德育系列活动，丰富德育内容。</w:t>
      </w:r>
    </w:p>
    <w:p w14:paraId="3BB2EF87">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三是积极做好创文创卫和其他创建工作。</w:t>
      </w:r>
    </w:p>
    <w:p w14:paraId="3CCA375E">
      <w:pPr>
        <w:pStyle w:val="3"/>
        <w:keepNext w:val="0"/>
        <w:keepLines w:val="0"/>
        <w:pageBreakBefore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（五）抓牢安全稳定</w:t>
      </w:r>
    </w:p>
    <w:p w14:paraId="56F353D7">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一是牢固树立安全意识，深入推进平安校园建设。</w:t>
      </w:r>
    </w:p>
    <w:p w14:paraId="42750AB7">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二是加强安全教育，创新宣教形式，通过集会、班会、宣传栏、LED普及传染病防控、交通安全、活动安全、防火防电防溺水防校园欺凌、网络诈骗等基本知识和技能。</w:t>
      </w:r>
    </w:p>
    <w:p w14:paraId="37A440BF">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三是常态化开展校园周边环境综合治理、校舍安全、活动设施设备等重点领域安全检查工作。</w:t>
      </w:r>
    </w:p>
    <w:p w14:paraId="6CC1E76F">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四是强化依法治教，依法治校。</w:t>
      </w:r>
    </w:p>
    <w:p w14:paraId="5B18B0F5">
      <w:pPr>
        <w:keepNext w:val="0"/>
        <w:keepLines w:val="0"/>
        <w:pageBreakBefore w:val="0"/>
        <w:widowControl/>
        <w:suppressLineNumbers w:val="0"/>
        <w:kinsoku/>
        <w:wordWrap/>
        <w:overflowPunct/>
        <w:topLinePunct w:val="0"/>
        <w:autoSpaceDE/>
        <w:autoSpaceDN/>
        <w:bidi w:val="0"/>
        <w:adjustRightInd/>
        <w:snapToGrid/>
        <w:spacing w:line="540" w:lineRule="exact"/>
        <w:ind w:lef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五是做好安全稳定工作。</w:t>
      </w:r>
    </w:p>
    <w:p w14:paraId="4CE911AB">
      <w:pPr>
        <w:pStyle w:val="3"/>
        <w:keepNext w:val="0"/>
        <w:keepLines w:val="0"/>
        <w:pageBreakBefore w:val="0"/>
        <w:numPr>
          <w:ilvl w:val="0"/>
          <w:numId w:val="1"/>
        </w:numPr>
        <w:kinsoku/>
        <w:wordWrap/>
        <w:overflowPunct/>
        <w:topLinePunct w:val="0"/>
        <w:autoSpaceDE/>
        <w:autoSpaceDN/>
        <w:bidi w:val="0"/>
        <w:adjustRightInd/>
        <w:snapToGrid/>
        <w:spacing w:line="540" w:lineRule="exact"/>
        <w:ind w:left="0" w:leftChars="0" w:firstLine="64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做好后勤工作</w:t>
      </w:r>
    </w:p>
    <w:p w14:paraId="10D2598D">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宋体"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一是做好教育资助工作。做好国家教育资助政策宣传，精准摸排家庭困难学生，及时做好学生教育资助救助工作，确保“应助尽助”</w:t>
      </w:r>
      <w:r>
        <w:rPr>
          <w:rFonts w:hint="eastAsia"/>
          <w:lang w:eastAsia="zh-CN"/>
        </w:rPr>
        <w:t>。</w:t>
      </w:r>
    </w:p>
    <w:p w14:paraId="1295401D">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二是做好后勤保障。按照财务管理办法做好学校财务管理和食堂账务管理，完善大宗物品采购制度，确保合规合法。持续改进办学条件，完善办学设施，快速推进学生食堂和宿舍建设项目前期工作。</w:t>
      </w:r>
    </w:p>
    <w:p w14:paraId="5A46E393">
      <w:pPr>
        <w:pStyle w:val="3"/>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三是做好“校园餐”管理。严格按照上级要求，做好食材采购、索票索证、入库、库管、出库、加工等环节。规范教师就餐管理，实行同餐同价。</w:t>
      </w:r>
    </w:p>
    <w:p w14:paraId="6BD03299">
      <w:pPr>
        <w:pStyle w:val="3"/>
        <w:keepNext w:val="0"/>
        <w:keepLines w:val="0"/>
        <w:pageBreakBefore w:val="0"/>
        <w:numPr>
          <w:ilvl w:val="0"/>
          <w:numId w:val="1"/>
        </w:numPr>
        <w:tabs>
          <w:tab w:val="left" w:pos="6848"/>
        </w:tabs>
        <w:kinsoku/>
        <w:wordWrap/>
        <w:overflowPunct/>
        <w:topLinePunct w:val="0"/>
        <w:autoSpaceDE/>
        <w:autoSpaceDN/>
        <w:bidi w:val="0"/>
        <w:adjustRightInd/>
        <w:snapToGrid/>
        <w:spacing w:line="540" w:lineRule="exact"/>
        <w:ind w:left="0" w:leftChars="0" w:firstLine="64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做好教育宣传</w:t>
      </w:r>
      <w:r>
        <w:rPr>
          <w:rFonts w:hint="eastAsia" w:ascii="仿宋_GB2312" w:hAnsi="仿宋_GB2312" w:eastAsia="仿宋_GB2312" w:cs="仿宋_GB2312"/>
          <w:kern w:val="2"/>
          <w:sz w:val="32"/>
          <w:szCs w:val="32"/>
          <w:lang w:val="en-US" w:eastAsia="zh-CN" w:bidi="ar-SA"/>
        </w:rPr>
        <w:tab/>
      </w:r>
    </w:p>
    <w:p w14:paraId="4621529B">
      <w:pPr>
        <w:pStyle w:val="3"/>
        <w:keepNext w:val="0"/>
        <w:keepLines w:val="0"/>
        <w:pageBreakBefore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一是加强信息宣传报道。</w:t>
      </w:r>
    </w:p>
    <w:p w14:paraId="05BCE1AB">
      <w:pPr>
        <w:pStyle w:val="3"/>
        <w:keepNext w:val="0"/>
        <w:keepLines w:val="0"/>
        <w:pageBreakBefore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rPr>
      </w:pPr>
      <w:r>
        <w:rPr>
          <w:rFonts w:hint="eastAsia" w:ascii="仿宋_GB2312" w:hAnsi="仿宋_GB2312" w:eastAsia="仿宋_GB2312" w:cs="仿宋_GB2312"/>
          <w:kern w:val="2"/>
          <w:sz w:val="32"/>
          <w:szCs w:val="32"/>
          <w:lang w:val="en-US" w:eastAsia="zh-CN" w:bidi="ar-SA"/>
        </w:rPr>
        <w:t>二是加强教育信息宣传队伍建设，注重宣传形式的多样性，关注新媒体，特别是市教育电视台的抖音宣传素材选送。</w:t>
      </w:r>
    </w:p>
    <w:p w14:paraId="733F19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4709"/>
      <w:r>
        <w:rPr>
          <w:rFonts w:hint="eastAsia" w:ascii="黑体" w:hAnsi="黑体" w:eastAsia="黑体" w:cs="黑体"/>
          <w:sz w:val="32"/>
          <w:szCs w:val="32"/>
          <w:lang w:val="en-US" w:eastAsia="zh-CN"/>
        </w:rPr>
        <w:t>二、部门预算单位构成</w:t>
      </w:r>
      <w:bookmarkEnd w:id="4"/>
    </w:p>
    <w:p w14:paraId="5C2692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079ED8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3496"/>
      <w:r>
        <w:rPr>
          <w:rFonts w:hint="eastAsia" w:ascii="黑体" w:hAnsi="黑体" w:eastAsia="黑体" w:cs="黑体"/>
          <w:sz w:val="32"/>
          <w:szCs w:val="32"/>
          <w:lang w:val="en-US" w:eastAsia="zh-CN"/>
        </w:rPr>
        <w:t>三、收支预算情况说明</w:t>
      </w:r>
      <w:bookmarkEnd w:id="5"/>
    </w:p>
    <w:p w14:paraId="730B99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元坝一小所有收入和支出均纳入部门预算管理。收入包括：一般公共预算拨款收入；支出包括：教育支出。元坝一小2025年收支预算总数为1111.57万元，比2024年收支预算总数增加159.62万元，主要原因是基本支出增加。</w:t>
      </w:r>
    </w:p>
    <w:p w14:paraId="02C48D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7162"/>
      <w:r>
        <w:rPr>
          <w:rFonts w:hint="eastAsia" w:ascii="楷体_GB2312" w:hAnsi="楷体_GB2312" w:eastAsia="楷体_GB2312" w:cs="楷体_GB2312"/>
          <w:sz w:val="32"/>
          <w:szCs w:val="32"/>
          <w:lang w:val="en-US" w:eastAsia="zh-CN"/>
        </w:rPr>
        <w:t>（一）收入预算情况</w:t>
      </w:r>
      <w:bookmarkEnd w:id="6"/>
    </w:p>
    <w:p w14:paraId="115184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元坝一小2025年收入预算1111.57万元，其中：一般公共预算拨款收入1111.57万元，占100%。</w:t>
      </w:r>
    </w:p>
    <w:p w14:paraId="4A7B7C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8723"/>
      <w:r>
        <w:rPr>
          <w:rFonts w:hint="eastAsia" w:ascii="楷体_GB2312" w:hAnsi="楷体_GB2312" w:eastAsia="楷体_GB2312" w:cs="楷体_GB2312"/>
          <w:sz w:val="32"/>
          <w:szCs w:val="32"/>
          <w:lang w:val="en-US" w:eastAsia="zh-CN"/>
        </w:rPr>
        <w:t>（二）支出预算情况</w:t>
      </w:r>
      <w:bookmarkEnd w:id="7"/>
    </w:p>
    <w:p w14:paraId="0E8D86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元坝一小2025年支出预算1111.57万元，其中：基本支出1067.27万元，占96.01%；项目支出44.30万元，占3.99%</w:t>
      </w:r>
      <w:r>
        <w:rPr>
          <w:rFonts w:hint="eastAsia" w:ascii="仿宋_GB2312" w:hAnsi="仿宋_GB2312" w:eastAsia="仿宋_GB2312" w:cs="仿宋_GB2312"/>
          <w:b w:val="0"/>
          <w:bCs w:val="0"/>
          <w:sz w:val="32"/>
          <w:szCs w:val="32"/>
          <w:lang w:val="en-US" w:eastAsia="zh-CN"/>
        </w:rPr>
        <w:t>。</w:t>
      </w:r>
    </w:p>
    <w:p w14:paraId="5D6979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8671"/>
      <w:r>
        <w:rPr>
          <w:rFonts w:hint="eastAsia" w:ascii="黑体" w:hAnsi="黑体" w:eastAsia="黑体" w:cs="黑体"/>
          <w:sz w:val="32"/>
          <w:szCs w:val="32"/>
          <w:lang w:val="en-US" w:eastAsia="zh-CN"/>
        </w:rPr>
        <w:t>四、财政拨款收支预算情况说明</w:t>
      </w:r>
      <w:bookmarkEnd w:id="8"/>
    </w:p>
    <w:p w14:paraId="44D6C9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元坝一小2025年财政拨款收支预算总数为1111.57万元，比2024年财政拨款收支预算总数增加159.62万元，主要原因是基本支出增加。</w:t>
      </w:r>
    </w:p>
    <w:p w14:paraId="1F34CA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收入包括：本年一般公共预算拨款收入1111.57万元；支出包括：教育支出1111.57万元。</w:t>
      </w:r>
    </w:p>
    <w:p w14:paraId="6C81E4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3160"/>
      <w:r>
        <w:rPr>
          <w:rFonts w:hint="eastAsia" w:ascii="黑体" w:hAnsi="黑体" w:eastAsia="黑体" w:cs="黑体"/>
          <w:sz w:val="32"/>
          <w:szCs w:val="32"/>
          <w:lang w:val="en-US" w:eastAsia="zh-CN"/>
        </w:rPr>
        <w:t>五、一般公共预算当年拨款情况说明</w:t>
      </w:r>
      <w:bookmarkEnd w:id="9"/>
    </w:p>
    <w:p w14:paraId="578EFF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8851"/>
      <w:r>
        <w:rPr>
          <w:rFonts w:hint="eastAsia" w:ascii="楷体_GB2312" w:hAnsi="楷体_GB2312" w:eastAsia="楷体_GB2312" w:cs="楷体_GB2312"/>
          <w:sz w:val="32"/>
          <w:szCs w:val="32"/>
          <w:lang w:val="en-US" w:eastAsia="zh-CN"/>
        </w:rPr>
        <w:t>（一）一般公共预算当年拨款规模变化情况</w:t>
      </w:r>
      <w:bookmarkEnd w:id="10"/>
    </w:p>
    <w:p w14:paraId="0F9BC5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元坝一小2025年一般公共预算当年拨款1111.57万元，比2024年预算数增加159.62万元，主要原因是基本支出增加。</w:t>
      </w:r>
    </w:p>
    <w:p w14:paraId="52CD5C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4825"/>
      <w:r>
        <w:rPr>
          <w:rFonts w:hint="eastAsia" w:ascii="楷体_GB2312" w:hAnsi="楷体_GB2312" w:eastAsia="楷体_GB2312" w:cs="楷体_GB2312"/>
          <w:sz w:val="32"/>
          <w:szCs w:val="32"/>
          <w:lang w:val="en-US" w:eastAsia="zh-CN"/>
        </w:rPr>
        <w:t>（二）一般公共预算当年拨款结构情况</w:t>
      </w:r>
      <w:bookmarkEnd w:id="11"/>
    </w:p>
    <w:p w14:paraId="436CD3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教育支出1111.57万元，占100%。</w:t>
      </w:r>
    </w:p>
    <w:p w14:paraId="111EE5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3184"/>
      <w:r>
        <w:rPr>
          <w:rFonts w:hint="eastAsia" w:ascii="楷体_GB2312" w:hAnsi="楷体_GB2312" w:eastAsia="楷体_GB2312" w:cs="楷体_GB2312"/>
          <w:sz w:val="32"/>
          <w:szCs w:val="32"/>
          <w:lang w:val="en-US" w:eastAsia="zh-CN"/>
        </w:rPr>
        <w:t>（三）一般公共预算当年拨款具体使用情况</w:t>
      </w:r>
      <w:bookmarkEnd w:id="12"/>
    </w:p>
    <w:p w14:paraId="2F9AAA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1111.57</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73706A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2145"/>
      <w:r>
        <w:rPr>
          <w:rFonts w:hint="eastAsia" w:ascii="黑体" w:hAnsi="黑体" w:eastAsia="黑体" w:cs="黑体"/>
          <w:sz w:val="32"/>
          <w:szCs w:val="32"/>
          <w:lang w:val="en-US" w:eastAsia="zh-CN"/>
        </w:rPr>
        <w:t>六、一般公共预算基本支出情况说明</w:t>
      </w:r>
      <w:bookmarkEnd w:id="13"/>
    </w:p>
    <w:p w14:paraId="5B01D9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元坝一小2025年一般公共预算基本支出1067.27万元，其中：</w:t>
      </w:r>
    </w:p>
    <w:p w14:paraId="479F7B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人员经费1067.27万元，主要包括：基本工资、津贴补贴、奖金、绩效工资、社会保险缴费、住房公积金、奖励金、生活补助等支出。</w:t>
      </w:r>
    </w:p>
    <w:p w14:paraId="3AABBD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公用经费0万元。</w:t>
      </w:r>
    </w:p>
    <w:p w14:paraId="1EA4EC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3839"/>
      <w:r>
        <w:rPr>
          <w:rFonts w:hint="eastAsia" w:ascii="黑体" w:hAnsi="黑体" w:eastAsia="黑体" w:cs="黑体"/>
          <w:sz w:val="32"/>
          <w:szCs w:val="32"/>
          <w:lang w:val="en-US" w:eastAsia="zh-CN"/>
        </w:rPr>
        <w:t>七、“三公”经费财政拨款预算安排情况说明</w:t>
      </w:r>
      <w:bookmarkEnd w:id="14"/>
    </w:p>
    <w:p w14:paraId="2E1356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元坝一小2025年“三公”经费财政拨款预算数0万元，其中：公务接待费0万元，公务用车购置及运行维护费0万元，因公出国（境）经费0万元。</w:t>
      </w:r>
    </w:p>
    <w:p w14:paraId="289651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2258"/>
      <w:r>
        <w:rPr>
          <w:rFonts w:hint="eastAsia" w:ascii="楷体_GB2312" w:hAnsi="楷体_GB2312" w:eastAsia="楷体_GB2312" w:cs="楷体_GB2312"/>
          <w:sz w:val="32"/>
          <w:szCs w:val="32"/>
          <w:lang w:val="en-US" w:eastAsia="zh-CN"/>
        </w:rPr>
        <w:t>（一）公务接待费</w:t>
      </w:r>
      <w:bookmarkEnd w:id="15"/>
    </w:p>
    <w:p w14:paraId="023194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公务接待费与2024年预算相比下降，主要原因是奉行节约理念，严格执行三公经费压减政策。</w:t>
      </w:r>
    </w:p>
    <w:p w14:paraId="05C9FD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368298B4">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722"/>
      <w:r>
        <w:rPr>
          <w:rFonts w:hint="eastAsia" w:ascii="楷体_GB2312" w:hAnsi="楷体_GB2312" w:eastAsia="楷体_GB2312" w:cs="楷体_GB2312"/>
          <w:sz w:val="32"/>
          <w:szCs w:val="32"/>
          <w:lang w:val="en-US" w:eastAsia="zh-CN"/>
        </w:rPr>
        <w:t>公务用车购置及运行维护费</w:t>
      </w:r>
      <w:bookmarkEnd w:id="16"/>
    </w:p>
    <w:p w14:paraId="26EA30F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sz w:val="32"/>
          <w:szCs w:val="32"/>
          <w:lang w:val="en-US" w:eastAsia="zh-CN"/>
        </w:rPr>
        <w:t>公务用车购置及运行维护费与2024年预算相比持平。</w:t>
      </w:r>
    </w:p>
    <w:p w14:paraId="2E488F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696E19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2326D1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6D4FDD04">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743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3BECC2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4845D8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8644"/>
      <w:r>
        <w:rPr>
          <w:rFonts w:hint="eastAsia" w:ascii="黑体" w:hAnsi="黑体" w:eastAsia="黑体" w:cs="黑体"/>
          <w:sz w:val="32"/>
          <w:szCs w:val="32"/>
          <w:lang w:val="en-US" w:eastAsia="zh-CN"/>
        </w:rPr>
        <w:t>八、政府性基金预算支出情况说明</w:t>
      </w:r>
      <w:bookmarkEnd w:id="18"/>
    </w:p>
    <w:p w14:paraId="0FF4B8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元坝一小2025年无政府性基金预算拨款安排的支出。</w:t>
      </w:r>
    </w:p>
    <w:p w14:paraId="652AFA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32041"/>
      <w:r>
        <w:rPr>
          <w:rFonts w:hint="eastAsia" w:ascii="黑体" w:hAnsi="黑体" w:eastAsia="黑体" w:cs="黑体"/>
          <w:sz w:val="32"/>
          <w:szCs w:val="32"/>
          <w:lang w:val="en-US" w:eastAsia="zh-CN"/>
        </w:rPr>
        <w:t>九、国有资本经营预算支出情况说明</w:t>
      </w:r>
      <w:bookmarkEnd w:id="19"/>
    </w:p>
    <w:p w14:paraId="22B6E8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元坝一小2025年无国有资本经营预算拨款安排的支出。</w:t>
      </w:r>
    </w:p>
    <w:p w14:paraId="14BD3E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005"/>
      <w:r>
        <w:rPr>
          <w:rFonts w:hint="eastAsia" w:ascii="黑体" w:hAnsi="黑体" w:eastAsia="黑体" w:cs="黑体"/>
          <w:sz w:val="32"/>
          <w:szCs w:val="32"/>
          <w:lang w:val="en-US" w:eastAsia="zh-CN"/>
        </w:rPr>
        <w:t>十、其他重要事项的情况说明</w:t>
      </w:r>
      <w:bookmarkEnd w:id="20"/>
    </w:p>
    <w:p w14:paraId="759D95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8521"/>
      <w:r>
        <w:rPr>
          <w:rFonts w:hint="eastAsia" w:ascii="楷体_GB2312" w:hAnsi="楷体_GB2312" w:eastAsia="楷体_GB2312" w:cs="楷体_GB2312"/>
          <w:sz w:val="32"/>
          <w:szCs w:val="32"/>
          <w:lang w:val="en-US" w:eastAsia="zh-CN"/>
        </w:rPr>
        <w:t>（一）机关运行经费</w:t>
      </w:r>
      <w:bookmarkEnd w:id="21"/>
    </w:p>
    <w:p w14:paraId="0AA663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794C68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7533"/>
      <w:r>
        <w:rPr>
          <w:rFonts w:hint="eastAsia" w:ascii="楷体_GB2312" w:hAnsi="楷体_GB2312" w:eastAsia="楷体_GB2312" w:cs="楷体_GB2312"/>
          <w:sz w:val="32"/>
          <w:szCs w:val="32"/>
          <w:lang w:val="en-US" w:eastAsia="zh-CN"/>
        </w:rPr>
        <w:t>（二）政府采购情况</w:t>
      </w:r>
      <w:bookmarkEnd w:id="22"/>
    </w:p>
    <w:p w14:paraId="72BC89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2025年，元坝一小安排政府采购预算0万元。</w:t>
      </w:r>
    </w:p>
    <w:p w14:paraId="5E40F1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2494"/>
      <w:r>
        <w:rPr>
          <w:rFonts w:hint="eastAsia" w:ascii="楷体_GB2312" w:hAnsi="楷体_GB2312" w:eastAsia="楷体_GB2312" w:cs="楷体_GB2312"/>
          <w:sz w:val="32"/>
          <w:szCs w:val="32"/>
          <w:lang w:val="en-US" w:eastAsia="zh-CN"/>
        </w:rPr>
        <w:t>（三）国有资产占有使用情况</w:t>
      </w:r>
      <w:bookmarkEnd w:id="23"/>
    </w:p>
    <w:p w14:paraId="61C6D5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截至2024年底，元坝一小共有车辆0辆。单位无价值200万元以上的大型设备。</w:t>
      </w:r>
    </w:p>
    <w:p w14:paraId="27002E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6E5588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4595"/>
      <w:r>
        <w:rPr>
          <w:rFonts w:hint="eastAsia" w:ascii="楷体_GB2312" w:hAnsi="楷体_GB2312" w:eastAsia="楷体_GB2312" w:cs="楷体_GB2312"/>
          <w:sz w:val="32"/>
          <w:szCs w:val="32"/>
          <w:lang w:val="en-US" w:eastAsia="zh-CN"/>
        </w:rPr>
        <w:t>（四）绩效目标设置情况</w:t>
      </w:r>
      <w:bookmarkEnd w:id="24"/>
    </w:p>
    <w:p w14:paraId="1605EF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元坝一小开展绩效目标管理的项目21个，涉及预算1111.57万元。其中：人员类项目19个，涉及预算1067.27万元；运转类项目2个，涉及预算44.3万元；特定目标类项目0个，涉及预算0万元。因部分项目内容涉密，不予公开。</w:t>
      </w:r>
    </w:p>
    <w:p w14:paraId="67F2E6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7560"/>
      <w:r>
        <w:rPr>
          <w:rFonts w:hint="eastAsia" w:ascii="黑体" w:hAnsi="黑体" w:eastAsia="黑体" w:cs="黑体"/>
          <w:sz w:val="32"/>
          <w:szCs w:val="32"/>
          <w:lang w:val="en-US" w:eastAsia="zh-CN"/>
        </w:rPr>
        <w:t>十一、名词解释</w:t>
      </w:r>
      <w:bookmarkEnd w:id="25"/>
    </w:p>
    <w:p w14:paraId="4BFB13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57EDD6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77AC58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2691D4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p>
    <w:p w14:paraId="3012AC8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14:paraId="03F2FFD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4D7E107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6B67E2C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6CA28FE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798A21B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0CFDD9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BBAA6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45316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26" w:name="_GoBack"/>
      <w:bookmarkEnd w:id="26"/>
    </w:p>
    <w:p w14:paraId="30D87B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28ED362F">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6F704746">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BAF1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3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D125951">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MlP2t39AQAAAAQAAA4AAAAAAAAAAQAgAAAAHwEAAGRycy9lMm9Eb2MueG1s&#10;UEsFBgAAAAAGAAYAWQEAAI4FAAAAAA==&#10;">
              <v:fill on="f" focussize="0,0"/>
              <v:stroke on="f"/>
              <v:imagedata o:title=""/>
              <o:lock v:ext="edit" aspectratio="f"/>
              <v:textbox inset="0mm,0mm,0mm,0mm" style="mso-fit-shape-to-text:t;">
                <w:txbxContent>
                  <w:p w14:paraId="3D125951">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F25E94"/>
    <w:multiLevelType w:val="singleLevel"/>
    <w:tmpl w:val="83F25E94"/>
    <w:lvl w:ilvl="0" w:tentative="0">
      <w:start w:val="2"/>
      <w:numFmt w:val="chineseCounting"/>
      <w:suff w:val="nothing"/>
      <w:lvlText w:val="（%1）"/>
      <w:lvlJc w:val="left"/>
      <w:rPr>
        <w:rFonts w:hint="eastAsia"/>
      </w:rPr>
    </w:lvl>
  </w:abstractNum>
  <w:abstractNum w:abstractNumId="1">
    <w:nsid w:val="B8C49763"/>
    <w:multiLevelType w:val="singleLevel"/>
    <w:tmpl w:val="B8C49763"/>
    <w:lvl w:ilvl="0" w:tentative="0">
      <w:start w:val="2"/>
      <w:numFmt w:val="decimal"/>
      <w:lvlText w:val="%1."/>
      <w:lvlJc w:val="left"/>
      <w:pPr>
        <w:tabs>
          <w:tab w:val="left" w:pos="312"/>
        </w:tabs>
        <w:ind w:left="1600" w:leftChars="0" w:firstLine="0" w:firstLineChars="0"/>
      </w:pPr>
    </w:lvl>
  </w:abstractNum>
  <w:abstractNum w:abstractNumId="2">
    <w:nsid w:val="F8C8E9D0"/>
    <w:multiLevelType w:val="singleLevel"/>
    <w:tmpl w:val="F8C8E9D0"/>
    <w:lvl w:ilvl="0" w:tentative="0">
      <w:start w:val="6"/>
      <w:numFmt w:val="chineseCounting"/>
      <w:suff w:val="nothing"/>
      <w:lvlText w:val="（%1）"/>
      <w:lvlJc w:val="left"/>
      <w:pPr>
        <w:ind w:left="-1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66576F09"/>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5">
    <w:name w:val="Default Paragraph Font"/>
    <w:autoRedefine/>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Salutation"/>
    <w:basedOn w:val="1"/>
    <w:next w:val="1"/>
    <w:qFormat/>
    <w:uiPriority w:val="0"/>
  </w:style>
  <w:style w:type="paragraph" w:styleId="4">
    <w:name w:val="Body Text"/>
    <w:basedOn w:val="1"/>
    <w:autoRedefine/>
    <w:qFormat/>
    <w:uiPriority w:val="0"/>
    <w:pPr>
      <w:spacing w:before="0" w:after="140" w:line="276" w:lineRule="auto"/>
    </w:pPr>
  </w:style>
  <w:style w:type="paragraph" w:styleId="5">
    <w:name w:val="Body Text Indent"/>
    <w:basedOn w:val="1"/>
    <w:unhideWhenUsed/>
    <w:qFormat/>
    <w:uiPriority w:val="99"/>
    <w:pPr>
      <w:spacing w:after="120"/>
      <w:ind w:left="420" w:leftChars="20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List"/>
    <w:basedOn w:val="4"/>
    <w:autoRedefine/>
    <w:qFormat/>
    <w:uiPriority w:val="0"/>
  </w:style>
  <w:style w:type="paragraph" w:styleId="10">
    <w:name w:val="toc 2"/>
    <w:basedOn w:val="1"/>
    <w:next w:val="1"/>
    <w:qFormat/>
    <w:uiPriority w:val="0"/>
    <w:pPr>
      <w:ind w:left="420" w:leftChars="200"/>
    </w:pPr>
  </w:style>
  <w:style w:type="paragraph" w:styleId="11">
    <w:name w:val="Normal (Web)"/>
    <w:basedOn w:val="1"/>
    <w:autoRedefine/>
    <w:qFormat/>
    <w:uiPriority w:val="0"/>
    <w:rPr>
      <w:sz w:val="24"/>
    </w:rPr>
  </w:style>
  <w:style w:type="paragraph" w:styleId="12">
    <w:name w:val="Body Text First Indent 2"/>
    <w:basedOn w:val="5"/>
    <w:next w:val="1"/>
    <w:unhideWhenUsed/>
    <w:qFormat/>
    <w:uiPriority w:val="99"/>
    <w:pPr>
      <w:ind w:firstLine="420" w:firstLineChars="200"/>
    </w:pPr>
  </w:style>
  <w:style w:type="table" w:styleId="1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6">
    <w:name w:val="默认段落字体1"/>
    <w:autoRedefine/>
    <w:qFormat/>
    <w:uiPriority w:val="0"/>
  </w:style>
  <w:style w:type="paragraph" w:customStyle="1" w:styleId="17">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8">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4221</Words>
  <Characters>4471</Characters>
  <TotalTime>10</TotalTime>
  <ScaleCrop>false</ScaleCrop>
  <LinksUpToDate>false</LinksUpToDate>
  <CharactersWithSpaces>4586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696A833A11324F8183013915AD7BD5A6_13</vt:lpwstr>
  </property>
  <property fmtid="{D5CDD505-2E9C-101B-9397-08002B2CF9AE}" pid="4" name="KSOTemplateDocerSaveRecord">
    <vt:lpwstr>eyJoZGlkIjoiOTlhNTlmMWMwY2NkZGNhOTM0ZTIzOTMwM2UwMjVlYzgiLCJ1c2VySWQiOiI2MDAwNDk2NTIifQ==</vt:lpwstr>
  </property>
</Properties>
</file>