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9006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13443"/>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广元市昭化区昭化初级中学单位</w:t>
      </w:r>
      <w:bookmarkEnd w:id="0"/>
    </w:p>
    <w:p w14:paraId="1471E57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309BA3E8">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3771"/>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14:paraId="40862800">
          <w:pPr>
            <w:spacing w:before="0" w:beforeLines="0" w:after="0" w:afterLines="0" w:line="240" w:lineRule="auto"/>
            <w:ind w:left="0" w:leftChars="0" w:right="0" w:rightChars="0" w:firstLine="0" w:firstLineChars="0"/>
            <w:jc w:val="center"/>
          </w:pPr>
        </w:p>
        <w:p w14:paraId="024EC274">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TOC \o "1-2" \h \u</w:instrText>
          </w:r>
          <w:r>
            <w:rPr>
              <w:rFonts w:hint="eastAsia" w:ascii="仿宋_GB2312" w:hAnsi="仿宋_GB2312" w:eastAsia="仿宋_GB2312" w:cs="仿宋_GB2312"/>
              <w:color w:val="auto"/>
              <w:kern w:val="2"/>
              <w:sz w:val="32"/>
              <w:szCs w:val="32"/>
              <w:lang w:val="en-US" w:eastAsia="zh-CN" w:bidi="ar-SA"/>
            </w:rPr>
            <w:fldChar w:fldCharType="separate"/>
          </w:r>
          <w:r>
            <w:fldChar w:fldCharType="begin"/>
          </w:r>
          <w:r>
            <w:instrText xml:space="preserve"> HYPERLINK \l "_Toc28719" </w:instrText>
          </w:r>
          <w:r>
            <w:fldChar w:fldCharType="separate"/>
          </w:r>
          <w:r>
            <w:rPr>
              <w:rFonts w:hint="eastAsia" w:ascii="仿宋_GB2312" w:hAnsi="仿宋_GB2312" w:eastAsia="仿宋_GB2312" w:cs="仿宋_GB2312"/>
              <w:color w:val="auto"/>
              <w:kern w:val="2"/>
              <w:sz w:val="32"/>
              <w:szCs w:val="32"/>
              <w:lang w:val="en-US" w:eastAsia="zh-CN" w:bidi="ar-SA"/>
            </w:rPr>
            <w:t>一、基本职能及主要工作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_Toc28719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48A60FD">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"_Toc18000" </w:instrText>
          </w:r>
          <w: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_Toc18000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EEE6092">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"_Toc3761" </w:instrText>
          </w:r>
          <w:r>
            <w:fldChar w:fldCharType="separate"/>
          </w:r>
          <w:r>
            <w:rPr>
              <w:rFonts w:hint="eastAsia" w:ascii="仿宋_GB2312" w:hAnsi="仿宋_GB2312" w:eastAsia="仿宋_GB2312" w:cs="仿宋_GB2312"/>
              <w:color w:val="auto"/>
              <w:kern w:val="2"/>
              <w:sz w:val="32"/>
              <w:szCs w:val="32"/>
              <w:lang w:val="en-US" w:eastAsia="zh-CN" w:bidi="ar-SA"/>
            </w:rPr>
            <w:t>（二）2025年重点工作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_Toc3761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2381708">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"_Toc25265" </w:instrText>
          </w:r>
          <w:r>
            <w:fldChar w:fldCharType="separate"/>
          </w:r>
          <w:r>
            <w:rPr>
              <w:rFonts w:hint="eastAsia" w:ascii="仿宋_GB2312" w:hAnsi="仿宋_GB2312" w:eastAsia="仿宋_GB2312" w:cs="仿宋_GB2312"/>
              <w:color w:val="auto"/>
              <w:kern w:val="2"/>
              <w:sz w:val="32"/>
              <w:szCs w:val="32"/>
              <w:lang w:val="en-US" w:eastAsia="zh-CN" w:bidi="ar-SA"/>
            </w:rPr>
            <w:t>二、部门预算单位构成</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_Toc25265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AEFA700">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"_Toc30458" </w:instrText>
          </w:r>
          <w:r>
            <w:fldChar w:fldCharType="separate"/>
          </w:r>
          <w:r>
            <w:rPr>
              <w:rFonts w:hint="eastAsia" w:ascii="仿宋_GB2312" w:hAnsi="仿宋_GB2312" w:eastAsia="仿宋_GB2312" w:cs="仿宋_GB2312"/>
              <w:color w:val="auto"/>
              <w:kern w:val="2"/>
              <w:sz w:val="32"/>
              <w:szCs w:val="32"/>
              <w:lang w:val="en-US" w:eastAsia="zh-CN" w:bidi="ar-SA"/>
            </w:rPr>
            <w:t>三、收支预算情况说明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_Toc30458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24967A4">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"_Toc563" </w:instrText>
          </w:r>
          <w: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_Toc563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CC87A00">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"_Toc23934" </w:instrText>
          </w:r>
          <w:r>
            <w:fldChar w:fldCharType="separate"/>
          </w:r>
          <w:r>
            <w:rPr>
              <w:rFonts w:hint="eastAsia" w:ascii="仿宋_GB2312" w:hAnsi="仿宋_GB2312" w:eastAsia="仿宋_GB2312" w:cs="仿宋_GB2312"/>
              <w:color w:val="auto"/>
              <w:kern w:val="2"/>
              <w:sz w:val="32"/>
              <w:szCs w:val="32"/>
              <w:lang w:val="en-US" w:eastAsia="zh-CN" w:bidi="ar-SA"/>
            </w:rPr>
            <w:t>（二）支出预算情况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_Toc23934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4FA7608">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"_Toc5420" </w:instrText>
          </w:r>
          <w:r>
            <w:fldChar w:fldCharType="separate"/>
          </w:r>
          <w:r>
            <w:rPr>
              <w:rFonts w:hint="eastAsia" w:ascii="仿宋_GB2312" w:hAnsi="仿宋_GB2312" w:eastAsia="仿宋_GB2312" w:cs="仿宋_GB2312"/>
              <w:color w:val="auto"/>
              <w:kern w:val="2"/>
              <w:sz w:val="32"/>
              <w:szCs w:val="32"/>
              <w:lang w:val="en-US" w:eastAsia="zh-CN" w:bidi="ar-SA"/>
            </w:rPr>
            <w:t>四、财政拨款收支预算情况说明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_Toc5420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CAA1581">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"_Toc4131" </w:instrText>
          </w:r>
          <w:r>
            <w:fldChar w:fldCharType="separate"/>
          </w:r>
          <w:r>
            <w:rPr>
              <w:rFonts w:hint="eastAsia" w:ascii="仿宋_GB2312" w:hAnsi="仿宋_GB2312" w:eastAsia="仿宋_GB2312" w:cs="仿宋_GB2312"/>
              <w:color w:val="auto"/>
              <w:kern w:val="2"/>
              <w:sz w:val="32"/>
              <w:szCs w:val="32"/>
              <w:lang w:val="en-US" w:eastAsia="zh-CN" w:bidi="ar-SA"/>
            </w:rPr>
            <w:t>五、一般公共预算当年拨款情况说明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_Toc4131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1666621">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"_Toc32045" </w:instrText>
          </w:r>
          <w: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_Toc32045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DC2A288">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"_Toc4210" </w:instrText>
          </w:r>
          <w: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_Toc4210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9EE10EF">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"_Toc10988" </w:instrText>
          </w:r>
          <w:r>
            <w:fldChar w:fldCharType="separate"/>
          </w:r>
          <w:r>
            <w:rPr>
              <w:rFonts w:hint="eastAsia" w:ascii="仿宋_GB2312" w:hAnsi="仿宋_GB2312" w:eastAsia="仿宋_GB2312" w:cs="仿宋_GB2312"/>
              <w:color w:val="auto"/>
              <w:kern w:val="2"/>
              <w:sz w:val="32"/>
              <w:szCs w:val="32"/>
              <w:lang w:val="en-US" w:eastAsia="zh-CN" w:bidi="ar-SA"/>
            </w:rPr>
            <w:t>（三）一般公共预算当年拨款具体使用情况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_Toc10988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387E660">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"_Toc29777" </w:instrText>
          </w:r>
          <w:r>
            <w:fldChar w:fldCharType="separate"/>
          </w:r>
          <w:r>
            <w:rPr>
              <w:rFonts w:hint="eastAsia" w:ascii="仿宋_GB2312" w:hAnsi="仿宋_GB2312" w:eastAsia="仿宋_GB2312" w:cs="仿宋_GB2312"/>
              <w:color w:val="auto"/>
              <w:kern w:val="2"/>
              <w:sz w:val="32"/>
              <w:szCs w:val="32"/>
              <w:lang w:val="en-US" w:eastAsia="zh-CN" w:bidi="ar-SA"/>
            </w:rPr>
            <w:t>六、一般公共预算基本支出情况说明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_Toc29777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48982F8">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"_Toc19607" </w:instrText>
          </w:r>
          <w:r>
            <w:fldChar w:fldCharType="separate"/>
          </w:r>
          <w:r>
            <w:rPr>
              <w:rFonts w:hint="eastAsia" w:ascii="仿宋_GB2312" w:hAnsi="仿宋_GB2312" w:eastAsia="仿宋_GB2312" w:cs="仿宋_GB2312"/>
              <w:color w:val="auto"/>
              <w:kern w:val="2"/>
              <w:sz w:val="32"/>
              <w:szCs w:val="32"/>
              <w:lang w:val="en-US" w:eastAsia="zh-CN" w:bidi="ar-SA"/>
            </w:rPr>
            <w:t>七、“三公”经费财政拨款预算安排情况说明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_Toc19607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60F788C">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"_Toc21233" </w:instrText>
          </w:r>
          <w:r>
            <w:fldChar w:fldCharType="separate"/>
          </w:r>
          <w:r>
            <w:rPr>
              <w:rFonts w:hint="eastAsia" w:ascii="仿宋_GB2312" w:hAnsi="仿宋_GB2312" w:eastAsia="仿宋_GB2312" w:cs="仿宋_GB2312"/>
              <w:color w:val="auto"/>
              <w:kern w:val="2"/>
              <w:sz w:val="32"/>
              <w:szCs w:val="32"/>
              <w:lang w:val="en-US" w:eastAsia="zh-CN" w:bidi="ar-SA"/>
            </w:rPr>
            <w:t>八、政府性基金预算支出情况说明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_Toc21233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8BA8A7A">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"_Toc26734" </w:instrText>
          </w:r>
          <w:r>
            <w:fldChar w:fldCharType="separate"/>
          </w:r>
          <w:r>
            <w:rPr>
              <w:rFonts w:hint="eastAsia" w:ascii="仿宋_GB2312" w:hAnsi="仿宋_GB2312" w:eastAsia="仿宋_GB2312" w:cs="仿宋_GB2312"/>
              <w:color w:val="auto"/>
              <w:kern w:val="2"/>
              <w:sz w:val="32"/>
              <w:szCs w:val="32"/>
              <w:lang w:val="en-US" w:eastAsia="zh-CN" w:bidi="ar-SA"/>
            </w:rPr>
            <w:t>九、国有资本经营预算支出情况说明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_Toc26734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8CA6DDC">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"_Toc10136" </w:instrText>
          </w:r>
          <w:r>
            <w:fldChar w:fldCharType="separate"/>
          </w:r>
          <w:r>
            <w:rPr>
              <w:rFonts w:hint="eastAsia" w:ascii="仿宋_GB2312" w:hAnsi="仿宋_GB2312" w:eastAsia="仿宋_GB2312" w:cs="仿宋_GB2312"/>
              <w:color w:val="auto"/>
              <w:kern w:val="2"/>
              <w:sz w:val="32"/>
              <w:szCs w:val="32"/>
              <w:lang w:val="en-US" w:eastAsia="zh-CN" w:bidi="ar-SA"/>
            </w:rPr>
            <w:t>十、其他重要事项的情况说明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_Toc10136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6E3A31C">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"_Toc6599" </w:instrText>
          </w:r>
          <w:r>
            <w:fldChar w:fldCharType="separate"/>
          </w:r>
          <w:r>
            <w:rPr>
              <w:rFonts w:hint="eastAsia" w:ascii="仿宋_GB2312" w:hAnsi="仿宋_GB2312" w:eastAsia="仿宋_GB2312" w:cs="仿宋_GB2312"/>
              <w:color w:val="auto"/>
              <w:kern w:val="2"/>
              <w:sz w:val="32"/>
              <w:szCs w:val="32"/>
              <w:lang w:val="en-US" w:eastAsia="zh-CN" w:bidi="ar-SA"/>
            </w:rPr>
            <w:t>十一、名词解释</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_Toc6599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335F5A3">
          <w:pPr>
            <w:rPr>
              <w:b/>
            </w:rPr>
          </w:pPr>
          <w:r>
            <w:rPr>
              <w:rFonts w:hint="eastAsia" w:ascii="仿宋_GB2312" w:hAnsi="仿宋_GB2312" w:eastAsia="仿宋_GB2312" w:cs="仿宋_GB2312"/>
              <w:color w:val="auto"/>
              <w:kern w:val="2"/>
              <w:sz w:val="32"/>
              <w:szCs w:val="32"/>
              <w:lang w:val="en-US" w:eastAsia="zh-CN" w:bidi="ar-SA"/>
            </w:rPr>
            <w:fldChar w:fldCharType="end"/>
          </w:r>
        </w:p>
      </w:sdtContent>
    </w:sdt>
    <w:p w14:paraId="52C064E5">
      <w:pPr>
        <w:rPr>
          <w:b/>
        </w:rPr>
      </w:pPr>
    </w:p>
    <w:p w14:paraId="3154F9C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58D64B1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515A26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45635F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BA3A62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D7DBA8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64EEEE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40D9D04">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3B51EF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75ED2D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619D05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DB57CC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11598C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430A8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 w:name="_Toc28719"/>
    </w:p>
    <w:p w14:paraId="175D94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1"/>
    </w:p>
    <w:p w14:paraId="424684D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8000"/>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14:paraId="2D1C53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100DAD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7C5EE05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2D15AA5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6E444B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1B9532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3B7574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w:t>
      </w:r>
      <w:r>
        <w:rPr>
          <w:rFonts w:hint="eastAsia"/>
          <w:lang w:eastAsia="zh-CN"/>
        </w:rPr>
        <w:t>，</w:t>
      </w:r>
      <w:r>
        <w:rPr>
          <w:rFonts w:hint="eastAsia" w:ascii="仿宋_GB2312" w:hAnsi="仿宋_GB2312" w:eastAsia="仿宋_GB2312" w:cs="仿宋_GB2312"/>
          <w:sz w:val="32"/>
          <w:szCs w:val="32"/>
          <w:lang w:val="en-US" w:eastAsia="zh-CN"/>
        </w:rPr>
        <w:t>并对教师及其他员工实施包括奖励、处分在内的具体管理活动。</w:t>
      </w:r>
    </w:p>
    <w:p w14:paraId="2C4A55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136C855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6333D7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589539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674431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0AAE1E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3761"/>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3"/>
    </w:p>
    <w:p w14:paraId="141446E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抓师德、铸师魂，带好一支队伍。加强学习，规范师德行为。严禁教师进行有偿补课、向学生兜售和征订教辅资料以及体罚和变相体罚学生；并签订“廉洁从教师德承诺责任书”。</w:t>
      </w:r>
    </w:p>
    <w:p w14:paraId="23FF113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抓管理、促规范，提高教育教学质量。规范各项规章制度。进一步修订和完善各项常规管理制度，力求使学校管理制度化、科学化、规范化、精细化。规范课程管理。严格按照省教育厅规定开齐、开足课程，不随意增减课程和课时，不随意调整课程难度和教学进度；不占用节假日集体上课、补课；认真上好“两课两操”，积极组织学生开展好课间30分钟体育活动。规范后勤服务工作，规范临聘人员、临时用工制度；严把财务收、支两条线，确保学校正常运行；及时排查用电、用气等各类安全隐患，确保学校正常发展。强化质量意识，抓好教学过程管理，深入落实“361”教学改革。认真抓教学常规，每周督促落实“备、教、辅、改、考、练、析、结”各个教学环节；校级领导实行“两不一直”推门听课制度，促成教师上有准备的课，推动高效课堂的构建。抓好毕业班是提升质量的关键。召开毕业班会，做到每月至少召开一次毕业班全体教师会。加强毕业班教学研究指导。抓好常规教研，提高教学技能和课堂效率，为提高教学质量助力。</w:t>
      </w:r>
    </w:p>
    <w:p w14:paraId="054733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抓德育，养习惯，展现文明校园。围绕培养学生“十个好习惯”，推行学生自主管理改革，加强班级管理，将中学生日常行为规范教育抓细、抓实，努力达到日常行为规范的“五无”“五有”要求。积极开展丰富多彩的德育活动，积极构建“德育”工程。全面开展理想教育、集体主义教育、法治教育和禁毒教育等。</w:t>
      </w:r>
    </w:p>
    <w:p w14:paraId="465BCC4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抓安全、保平安，构建和谐校园。安全教育不放松。举办各类安全知识讲座：防溺水、森林防火、交通安全、用电用气安全、应对极端恶劣天气、地质灾害、女生自身保护教育、预防未成年人犯罪、预防校园欺凌等。</w:t>
      </w:r>
    </w:p>
    <w:p w14:paraId="7A7DF3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3D971D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14:paraId="00D177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25265"/>
      <w:r>
        <w:rPr>
          <w:rFonts w:hint="eastAsia" w:ascii="黑体" w:hAnsi="黑体" w:eastAsia="黑体" w:cs="黑体"/>
          <w:sz w:val="32"/>
          <w:szCs w:val="32"/>
          <w:lang w:val="en-US" w:eastAsia="zh-CN"/>
        </w:rPr>
        <w:t>二、部门预算单位构成</w:t>
      </w:r>
      <w:bookmarkEnd w:id="4"/>
    </w:p>
    <w:p w14:paraId="5C42EE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33E825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30458"/>
      <w:r>
        <w:rPr>
          <w:rFonts w:hint="eastAsia" w:ascii="黑体" w:hAnsi="黑体" w:eastAsia="黑体" w:cs="黑体"/>
          <w:sz w:val="32"/>
          <w:szCs w:val="32"/>
          <w:lang w:val="en-US" w:eastAsia="zh-CN"/>
        </w:rPr>
        <w:t>三、收支预算情况说明</w:t>
      </w:r>
      <w:bookmarkEnd w:id="5"/>
    </w:p>
    <w:p w14:paraId="30D92F3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昭化初级中学所有收入和支出均纳入部门预算管理。收入包括：一般公共预算拨款收入；支出包括：教育支出。昭化初级中学2025年收支预算总数1181.82万元，比2024年收支预算总数增加62.84万元，主要原因是基本支出增加。</w:t>
      </w:r>
    </w:p>
    <w:p w14:paraId="354ADCE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563"/>
      <w:r>
        <w:rPr>
          <w:rFonts w:hint="eastAsia" w:ascii="楷体_GB2312" w:hAnsi="楷体_GB2312" w:eastAsia="楷体_GB2312" w:cs="楷体_GB2312"/>
          <w:sz w:val="32"/>
          <w:szCs w:val="32"/>
          <w:lang w:val="en-US" w:eastAsia="zh-CN"/>
        </w:rPr>
        <w:t>（一）收入预算情况</w:t>
      </w:r>
      <w:bookmarkEnd w:id="6"/>
    </w:p>
    <w:p w14:paraId="7FB6956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昭化初级中学2025年收入预算1181.82万元，其中：一般公共预算拨款收入1181.82万元，占100%。</w:t>
      </w:r>
    </w:p>
    <w:p w14:paraId="7984C9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3934"/>
      <w:r>
        <w:rPr>
          <w:rFonts w:hint="eastAsia" w:ascii="楷体_GB2312" w:hAnsi="楷体_GB2312" w:eastAsia="楷体_GB2312" w:cs="楷体_GB2312"/>
          <w:sz w:val="32"/>
          <w:szCs w:val="32"/>
          <w:lang w:val="en-US" w:eastAsia="zh-CN"/>
        </w:rPr>
        <w:t>（二）支出预算情况</w:t>
      </w:r>
      <w:bookmarkEnd w:id="7"/>
    </w:p>
    <w:p w14:paraId="35B39F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昭化初级中学2025年支出预算1181.82万元，其中：基本支出1133.32万元，占95.90%；项目支出48.5万元，占4.10%</w:t>
      </w:r>
      <w:r>
        <w:rPr>
          <w:rFonts w:hint="eastAsia" w:ascii="仿宋_GB2312" w:hAnsi="仿宋_GB2312" w:eastAsia="仿宋_GB2312" w:cs="仿宋_GB2312"/>
          <w:b w:val="0"/>
          <w:bCs w:val="0"/>
          <w:sz w:val="32"/>
          <w:szCs w:val="32"/>
          <w:lang w:val="en-US" w:eastAsia="zh-CN"/>
        </w:rPr>
        <w:t>。</w:t>
      </w:r>
    </w:p>
    <w:p w14:paraId="3E7FB86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5420"/>
      <w:r>
        <w:rPr>
          <w:rFonts w:hint="eastAsia" w:ascii="黑体" w:hAnsi="黑体" w:eastAsia="黑体" w:cs="黑体"/>
          <w:sz w:val="32"/>
          <w:szCs w:val="32"/>
          <w:lang w:val="en-US" w:eastAsia="zh-CN"/>
        </w:rPr>
        <w:t>四、财政拨款收支预算情况说明</w:t>
      </w:r>
      <w:bookmarkEnd w:id="8"/>
    </w:p>
    <w:p w14:paraId="6F8F2E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昭化初级中学2025年财政拨款收支预算总数1181.82万元，比2024年财政拨款收支预算总数增加62.84万元，主要原因是基本支出增加。</w:t>
      </w:r>
    </w:p>
    <w:p w14:paraId="78871F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收入包括：本年一般公共预算拨款收入1181.82万元；支出包括：教育支出1181.82万元。</w:t>
      </w:r>
    </w:p>
    <w:p w14:paraId="07A3D1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4131"/>
      <w:r>
        <w:rPr>
          <w:rFonts w:hint="eastAsia" w:ascii="黑体" w:hAnsi="黑体" w:eastAsia="黑体" w:cs="黑体"/>
          <w:sz w:val="32"/>
          <w:szCs w:val="32"/>
          <w:lang w:val="en-US" w:eastAsia="zh-CN"/>
        </w:rPr>
        <w:t>五、一般公共预算当年拨款情况说明</w:t>
      </w:r>
      <w:bookmarkEnd w:id="9"/>
    </w:p>
    <w:p w14:paraId="70B28F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32045"/>
      <w:r>
        <w:rPr>
          <w:rFonts w:hint="eastAsia" w:ascii="楷体_GB2312" w:hAnsi="楷体_GB2312" w:eastAsia="楷体_GB2312" w:cs="楷体_GB2312"/>
          <w:sz w:val="32"/>
          <w:szCs w:val="32"/>
          <w:lang w:val="en-US" w:eastAsia="zh-CN"/>
        </w:rPr>
        <w:t>（一）一般公共预算当年拨款规模变化情况</w:t>
      </w:r>
      <w:bookmarkEnd w:id="10"/>
    </w:p>
    <w:p w14:paraId="6D318F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昭化初级中学2025年一般公共预算当年拨款1181.82万元，比2024年财政拨款收支预算总数增加62.84万元，主要原因是基本支出增加。</w:t>
      </w:r>
    </w:p>
    <w:p w14:paraId="3C282D7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4210"/>
      <w:r>
        <w:rPr>
          <w:rFonts w:hint="eastAsia" w:ascii="楷体_GB2312" w:hAnsi="楷体_GB2312" w:eastAsia="楷体_GB2312" w:cs="楷体_GB2312"/>
          <w:sz w:val="32"/>
          <w:szCs w:val="32"/>
          <w:lang w:val="en-US" w:eastAsia="zh-CN"/>
        </w:rPr>
        <w:t>（二）一般公共预算当年拨款结构情况</w:t>
      </w:r>
      <w:bookmarkEnd w:id="11"/>
    </w:p>
    <w:p w14:paraId="43D594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教育支出1181.82万元，占100%。</w:t>
      </w:r>
    </w:p>
    <w:p w14:paraId="76A42B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0988"/>
      <w:r>
        <w:rPr>
          <w:rFonts w:hint="eastAsia" w:ascii="楷体_GB2312" w:hAnsi="楷体_GB2312" w:eastAsia="楷体_GB2312" w:cs="楷体_GB2312"/>
          <w:sz w:val="32"/>
          <w:szCs w:val="32"/>
          <w:lang w:val="en-US" w:eastAsia="zh-CN"/>
        </w:rPr>
        <w:t>（三）一般公共预算当年拨款具体使用情况</w:t>
      </w:r>
      <w:bookmarkEnd w:id="12"/>
    </w:p>
    <w:p w14:paraId="0AC786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教育支出（类）普通教育（款）初中教育（项）2025年预算数为</w:t>
      </w:r>
      <w:r>
        <w:rPr>
          <w:rFonts w:hint="eastAsia" w:ascii="仿宋_GB2312" w:hAnsi="仿宋_GB2312" w:eastAsia="仿宋_GB2312" w:cs="仿宋_GB2312"/>
          <w:sz w:val="32"/>
          <w:szCs w:val="32"/>
          <w:lang w:val="en-US" w:eastAsia="zh-CN"/>
        </w:rPr>
        <w:t>1181.82</w:t>
      </w:r>
      <w:r>
        <w:rPr>
          <w:rFonts w:hint="default" w:ascii="仿宋_GB2312" w:hAnsi="仿宋_GB2312" w:eastAsia="仿宋_GB2312" w:cs="仿宋_GB2312"/>
          <w:sz w:val="32"/>
          <w:szCs w:val="32"/>
          <w:lang w:val="en-US" w:eastAsia="zh-CN"/>
        </w:rPr>
        <w:t>万元，主要用于：初中教育机构的基本支出，包括基本工资、津贴补贴、基础绩效奖等人员经费以及机构运行所需的办公费、印刷费、维修（护）费、工会经费等运行补助经费。</w:t>
      </w:r>
    </w:p>
    <w:p w14:paraId="51A454E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29777"/>
      <w:r>
        <w:rPr>
          <w:rFonts w:hint="eastAsia" w:ascii="黑体" w:hAnsi="黑体" w:eastAsia="黑体" w:cs="黑体"/>
          <w:sz w:val="32"/>
          <w:szCs w:val="32"/>
          <w:lang w:val="en-US" w:eastAsia="zh-CN"/>
        </w:rPr>
        <w:t>六、一般公共预算基本支出情况说明</w:t>
      </w:r>
      <w:bookmarkEnd w:id="13"/>
    </w:p>
    <w:p w14:paraId="1D2B37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昭化初级中学2025年一般公共预算基本支出1181.82万元，其中：</w:t>
      </w:r>
    </w:p>
    <w:p w14:paraId="4C95D4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人员经费1,133.32万元，主要包括：基本工资、津贴补贴、奖金、社会保险缴费、绩效工资、住房公积金、抚恤金、生活补助、奖励金等支出。</w:t>
      </w:r>
    </w:p>
    <w:p w14:paraId="6BC0BEA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公用经费0万元。</w:t>
      </w:r>
    </w:p>
    <w:p w14:paraId="33634FE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9607"/>
      <w:r>
        <w:rPr>
          <w:rFonts w:hint="eastAsia" w:ascii="黑体" w:hAnsi="黑体" w:eastAsia="黑体" w:cs="黑体"/>
          <w:sz w:val="32"/>
          <w:szCs w:val="32"/>
          <w:lang w:val="en-US" w:eastAsia="zh-CN"/>
        </w:rPr>
        <w:t>七、“三公”经费财政拨款预算安排情况说明</w:t>
      </w:r>
      <w:bookmarkEnd w:id="14"/>
    </w:p>
    <w:p w14:paraId="1792829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昭化初级中学2025年“三公”经费财政拨款预算数0万元，其中：公务接待费0万元，公务用车购置及运行维护费0万元，因公出国（境）经费0万元。</w:t>
      </w:r>
    </w:p>
    <w:p w14:paraId="1D688D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7024"/>
      <w:r>
        <w:rPr>
          <w:rFonts w:hint="eastAsia" w:ascii="楷体_GB2312" w:hAnsi="楷体_GB2312" w:eastAsia="楷体_GB2312" w:cs="楷体_GB2312"/>
          <w:sz w:val="32"/>
          <w:szCs w:val="32"/>
          <w:lang w:val="en-US" w:eastAsia="zh-CN"/>
        </w:rPr>
        <w:t>（一）公务接待费</w:t>
      </w:r>
      <w:bookmarkEnd w:id="15"/>
    </w:p>
    <w:p w14:paraId="3F69FD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公务接待费与2024年预算相比下降，主要原因是奉行节约理念，严格执行三公经费压减政策。</w:t>
      </w:r>
    </w:p>
    <w:p w14:paraId="0C03E55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257542AD">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6068"/>
      <w:r>
        <w:rPr>
          <w:rFonts w:hint="eastAsia" w:ascii="楷体_GB2312" w:hAnsi="楷体_GB2312" w:eastAsia="楷体_GB2312" w:cs="楷体_GB2312"/>
          <w:sz w:val="32"/>
          <w:szCs w:val="32"/>
          <w:lang w:val="en-US" w:eastAsia="zh-CN"/>
        </w:rPr>
        <w:t>公务用车购置及运行维护费</w:t>
      </w:r>
      <w:bookmarkEnd w:id="16"/>
    </w:p>
    <w:p w14:paraId="7D0D4D2C">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73FFC9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7BAE54A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38F288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0F3B96CB">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2324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14:paraId="51AF0E7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4B5D005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1233"/>
      <w:r>
        <w:rPr>
          <w:rFonts w:hint="eastAsia" w:ascii="黑体" w:hAnsi="黑体" w:eastAsia="黑体" w:cs="黑体"/>
          <w:sz w:val="32"/>
          <w:szCs w:val="32"/>
          <w:lang w:val="en-US" w:eastAsia="zh-CN"/>
        </w:rPr>
        <w:t>八、政府性基金预算支出情况说明</w:t>
      </w:r>
      <w:bookmarkEnd w:id="18"/>
    </w:p>
    <w:p w14:paraId="5EB74B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昭化初级中学2025年无政府性基金预算拨款安排的支出。</w:t>
      </w:r>
    </w:p>
    <w:p w14:paraId="1B8C71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26734"/>
      <w:r>
        <w:rPr>
          <w:rFonts w:hint="eastAsia" w:ascii="黑体" w:hAnsi="黑体" w:eastAsia="黑体" w:cs="黑体"/>
          <w:sz w:val="32"/>
          <w:szCs w:val="32"/>
          <w:lang w:val="en-US" w:eastAsia="zh-CN"/>
        </w:rPr>
        <w:t>九、国有资本经营预算支出情况说明</w:t>
      </w:r>
      <w:bookmarkEnd w:id="19"/>
    </w:p>
    <w:p w14:paraId="40375F9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昭化初级中学2025年无国有资本经营预算拨款安排的支出。</w:t>
      </w:r>
    </w:p>
    <w:p w14:paraId="3A85D54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10136"/>
      <w:r>
        <w:rPr>
          <w:rFonts w:hint="eastAsia" w:ascii="黑体" w:hAnsi="黑体" w:eastAsia="黑体" w:cs="黑体"/>
          <w:sz w:val="32"/>
          <w:szCs w:val="32"/>
          <w:lang w:val="en-US" w:eastAsia="zh-CN"/>
        </w:rPr>
        <w:t>十、其他重要事项的情况说明</w:t>
      </w:r>
      <w:bookmarkEnd w:id="20"/>
    </w:p>
    <w:p w14:paraId="67B7BA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6104"/>
      <w:r>
        <w:rPr>
          <w:rFonts w:hint="eastAsia" w:ascii="楷体_GB2312" w:hAnsi="楷体_GB2312" w:eastAsia="楷体_GB2312" w:cs="楷体_GB2312"/>
          <w:sz w:val="32"/>
          <w:szCs w:val="32"/>
          <w:lang w:val="en-US" w:eastAsia="zh-CN"/>
        </w:rPr>
        <w:t>（一）机关运行经费</w:t>
      </w:r>
      <w:bookmarkEnd w:id="21"/>
    </w:p>
    <w:p w14:paraId="55672B0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0EFCEF3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6258"/>
      <w:r>
        <w:rPr>
          <w:rFonts w:hint="eastAsia" w:ascii="楷体_GB2312" w:hAnsi="楷体_GB2312" w:eastAsia="楷体_GB2312" w:cs="楷体_GB2312"/>
          <w:sz w:val="32"/>
          <w:szCs w:val="32"/>
          <w:lang w:val="en-US" w:eastAsia="zh-CN"/>
        </w:rPr>
        <w:t>（二）政府采购情况</w:t>
      </w:r>
      <w:bookmarkEnd w:id="22"/>
    </w:p>
    <w:p w14:paraId="3A2966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2025年，昭化初级中学安排政府采购预算0万元。</w:t>
      </w:r>
    </w:p>
    <w:p w14:paraId="7CDF5F5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23364"/>
      <w:r>
        <w:rPr>
          <w:rFonts w:hint="eastAsia" w:ascii="楷体_GB2312" w:hAnsi="楷体_GB2312" w:eastAsia="楷体_GB2312" w:cs="楷体_GB2312"/>
          <w:sz w:val="32"/>
          <w:szCs w:val="32"/>
          <w:lang w:val="en-US" w:eastAsia="zh-CN"/>
        </w:rPr>
        <w:t>（三）国有资产占有使用情况</w:t>
      </w:r>
      <w:bookmarkEnd w:id="23"/>
    </w:p>
    <w:p w14:paraId="57E62F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截至2024年底，昭化初级中学共有车辆0辆。单位无价值200万元以上大型设备。</w:t>
      </w:r>
    </w:p>
    <w:p w14:paraId="153AC5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48B744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7101"/>
      <w:r>
        <w:rPr>
          <w:rFonts w:hint="eastAsia" w:ascii="楷体_GB2312" w:hAnsi="楷体_GB2312" w:eastAsia="楷体_GB2312" w:cs="楷体_GB2312"/>
          <w:sz w:val="32"/>
          <w:szCs w:val="32"/>
          <w:lang w:val="en-US" w:eastAsia="zh-CN"/>
        </w:rPr>
        <w:t>（四）绩效目标设置情况</w:t>
      </w:r>
      <w:bookmarkEnd w:id="24"/>
    </w:p>
    <w:p w14:paraId="6FF9C5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2025年昭化初级中学开展绩效目标管理的项目21个，涉及预算1181.82万元。其中：人员类项目18个，涉及预算1,133.32万元；运转类项目3个，涉及预算48.50万元。因部分项目内容涉密，不予公开。</w:t>
      </w:r>
    </w:p>
    <w:p w14:paraId="26D326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6599"/>
      <w:r>
        <w:rPr>
          <w:rFonts w:hint="eastAsia" w:ascii="黑体" w:hAnsi="黑体" w:eastAsia="黑体" w:cs="黑体"/>
          <w:sz w:val="32"/>
          <w:szCs w:val="32"/>
          <w:lang w:val="en-US" w:eastAsia="zh-CN"/>
        </w:rPr>
        <w:t>十一、名词解释</w:t>
      </w:r>
      <w:bookmarkEnd w:id="25"/>
    </w:p>
    <w:p w14:paraId="48290B2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6C205A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393224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721250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（五）教育支出（类）普通教育（款）初中教育（项）：</w:t>
      </w:r>
      <w:r>
        <w:rPr>
          <w:rFonts w:hint="eastAsia" w:ascii="仿宋_GB2312" w:hAnsi="仿宋_GB2312" w:eastAsia="仿宋_GB2312" w:cs="仿宋_GB2312"/>
          <w:sz w:val="32"/>
          <w:szCs w:val="32"/>
          <w:lang w:val="en-US" w:eastAsia="zh-CN"/>
        </w:rPr>
        <w:t>指昭化初级中学初中教育发展的基本支出，包括基本工资、津贴补贴等人员经费以及办公费、印刷费、水电费等日常公用经费。</w:t>
      </w:r>
    </w:p>
    <w:p w14:paraId="690039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14:paraId="31391008">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79FA6BD4">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0B530697">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6BB3411E">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2312288F">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2A89800E">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w:t>
      </w:r>
      <w:bookmarkStart w:id="27" w:name="_GoBack"/>
      <w:bookmarkEnd w:id="27"/>
      <w:r>
        <w:commentReference w:id="0"/>
      </w:r>
      <w:r>
        <w:rPr>
          <w:rFonts w:hint="eastAsia" w:ascii="仿宋_GB2312" w:hAnsi="仿宋_GB2312" w:eastAsia="仿宋_GB2312" w:cs="仿宋_GB2312"/>
          <w:sz w:val="32"/>
          <w:szCs w:val="32"/>
          <w:lang w:val="en-US" w:eastAsia="zh-CN"/>
        </w:rPr>
        <w:t>反映单位按规定开支的各类公务接待（含外宾接待）支出。</w:t>
      </w:r>
    </w:p>
    <w:p w14:paraId="3E02EF3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587A21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40FDEE8A">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26" w:name="_Toc12607"/>
      <w:r>
        <w:rPr>
          <w:rFonts w:hint="eastAsia" w:ascii="仿宋_GB2312" w:hAnsi="仿宋_GB2312" w:eastAsia="仿宋_GB2312" w:cs="仿宋_GB2312"/>
          <w:sz w:val="32"/>
          <w:szCs w:val="32"/>
          <w:lang w:val="en-US" w:eastAsia="zh-CN"/>
        </w:rPr>
        <w:t>单位预算项目绩效目标表</w:t>
      </w:r>
      <w:bookmarkEnd w:id="26"/>
    </w:p>
    <w:p w14:paraId="28793A75">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8:02:04Z" w:initials="UC">
    <w:p w14:paraId="00989682">
      <w:r>
        <w:rPr>
          <w:color w:val="FF0000"/>
        </w:rPr>
        <w:t>错敏词:</w:t>
      </w:r>
      <w:r>
        <w:t>公务接待费</w:t>
      </w:r>
    </w:p>
    <w:p w14:paraId="00989683">
      <w:r>
        <w:rPr>
          <w:color w:val="FF0000"/>
        </w:rPr>
        <w:t>推荐修改:</w:t>
      </w:r>
      <w:r>
        <w:t>公接待费</w:t>
      </w:r>
    </w:p>
    <w:p w14:paraId="00989684">
      <w:r>
        <w:rPr>
          <w:color w:val="FF0000"/>
        </w:rPr>
        <w:t>问题类型:</w:t>
      </w:r>
      <w:r>
        <w:t>多字</w:t>
      </w:r>
    </w:p>
    <w:p w14:paraId="00989685">
      <w:r>
        <w:rPr>
          <w:color w:val="FF0000"/>
        </w:rPr>
        <w:t>严重程度:</w:t>
      </w:r>
      <w:r>
        <w:t>轻微</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7B00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32"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79466EC7">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CgHm5Y/gEAAAAEAAAOAAAAAAAAAAEAIAAAAB8BAABkcnMvZTJvRG9jLnht&#10;bFBLBQYAAAAABgAGAFkBAACPBQAAAAA=&#10;">
              <v:fill on="f" focussize="0,0"/>
              <v:stroke on="f"/>
              <v:imagedata o:title=""/>
              <o:lock v:ext="edit" aspectratio="f"/>
              <v:textbox inset="0mm,0mm,0mm,0mm" style="mso-fit-shape-to-text:t;">
                <w:txbxContent>
                  <w:p w14:paraId="79466EC7">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2455CD"/>
    <w:multiLevelType w:val="singleLevel"/>
    <w:tmpl w:val="D02455CD"/>
    <w:lvl w:ilvl="0" w:tentative="0">
      <w:start w:val="2"/>
      <w:numFmt w:val="decimal"/>
      <w:lvlText w:val="%1."/>
      <w:lvlJc w:val="left"/>
      <w:pPr>
        <w:tabs>
          <w:tab w:val="left" w:pos="312"/>
        </w:tabs>
        <w:ind w:left="1600" w:leftChars="0" w:firstLine="0" w:firstLineChars="0"/>
      </w:pPr>
    </w:lvl>
  </w:abstractNum>
  <w:abstractNum w:abstractNumId="1">
    <w:nsid w:val="F7E3F3CA"/>
    <w:multiLevelType w:val="singleLevel"/>
    <w:tmpl w:val="F7E3F3CA"/>
    <w:lvl w:ilvl="0" w:tentative="0">
      <w:start w:val="2"/>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xYWNmOTVlNTUwMjFhZGJjZTBiYTkzNWM3ZWY5NjMifQ=="/>
  </w:docVars>
  <w:rsids>
    <w:rsidRoot w:val="00000000"/>
    <w:rsid w:val="76963627"/>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autoRedefine/>
    <w:qFormat/>
    <w:uiPriority w:val="0"/>
  </w:style>
  <w:style w:type="paragraph" w:styleId="7">
    <w:name w:val="Normal (Web)"/>
    <w:basedOn w:val="1"/>
    <w:autoRedefine/>
    <w:qFormat/>
    <w:uiPriority w:val="0"/>
    <w:rPr>
      <w:sz w:val="24"/>
    </w:rPr>
  </w:style>
  <w:style w:type="table" w:styleId="9">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
    <w:name w:val="默认段落字体1"/>
    <w:autoRedefine/>
    <w:qFormat/>
    <w:uiPriority w:val="0"/>
  </w:style>
  <w:style w:type="paragraph" w:customStyle="1" w:styleId="12">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3615</Words>
  <Characters>3845</Characters>
  <TotalTime>0</TotalTime>
  <ScaleCrop>false</ScaleCrop>
  <LinksUpToDate>false</LinksUpToDate>
  <CharactersWithSpaces>3917</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2025-02-15T05:17:00Z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