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56CE">
      <w:pPr>
        <w:widowControl/>
        <w:shd w:val="clear" w:color="auto" w:fill="FFFFFF"/>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广元市昭化区虎跳初级中学</w:t>
      </w:r>
    </w:p>
    <w:p w14:paraId="2D6500CB">
      <w:pPr>
        <w:widowControl/>
        <w:shd w:val="clear" w:color="auto" w:fill="FFFFFF"/>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2025年部门预算编制说明</w:t>
      </w:r>
    </w:p>
    <w:p w14:paraId="0B09C849">
      <w:pPr>
        <w:jc w:val="center"/>
        <w:rPr>
          <w:rFonts w:hint="eastAsia" w:ascii="黑体" w:hAnsi="黑体" w:eastAsia="黑体" w:cs="黑体"/>
          <w:b/>
          <w:bCs/>
          <w:color w:val="000000" w:themeColor="text1"/>
          <w:kern w:val="0"/>
          <w:sz w:val="32"/>
          <w:szCs w:val="32"/>
          <w:shd w:val="clear" w:color="auto" w:fill="FFFFFF"/>
          <w14:textFill>
            <w14:solidFill>
              <w14:schemeClr w14:val="tx1"/>
            </w14:solidFill>
          </w14:textFill>
        </w:rPr>
      </w:pPr>
      <w:r>
        <w:rPr>
          <w:rFonts w:hint="eastAsia" w:ascii="黑体" w:hAnsi="黑体" w:eastAsia="黑体" w:cs="黑体"/>
          <w:color w:val="000000" w:themeColor="text1"/>
          <w:kern w:val="0"/>
          <w:sz w:val="32"/>
          <w:szCs w:val="32"/>
          <w:shd w:val="clear" w:color="auto" w:fill="FFFFFF"/>
          <w14:textFill>
            <w14:solidFill>
              <w14:schemeClr w14:val="tx1"/>
            </w14:solidFill>
          </w14:textFill>
        </w:rPr>
        <w:t>目   录</w:t>
      </w:r>
    </w:p>
    <w:sdt>
      <w:sdtPr>
        <w:rPr>
          <w:rFonts w:ascii="宋体" w:hAnsi="宋体" w:eastAsia="宋体" w:cs="Times New Roman"/>
          <w:kern w:val="2"/>
          <w:sz w:val="21"/>
          <w:szCs w:val="24"/>
          <w:lang w:val="en-US" w:eastAsia="zh-CN" w:bidi="ar-SA"/>
        </w:rPr>
        <w:id w:val="147459411"/>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25388028">
          <w:pPr>
            <w:spacing w:before="0" w:beforeLines="0" w:after="0" w:afterLines="0" w:line="240" w:lineRule="auto"/>
            <w:ind w:left="0" w:leftChars="0" w:right="0" w:rightChars="0" w:firstLine="0" w:firstLineChars="0"/>
            <w:jc w:val="center"/>
          </w:pPr>
        </w:p>
        <w:p w14:paraId="38400FB5">
          <w:pPr>
            <w:pStyle w:val="23"/>
            <w:tabs>
              <w:tab w:val="right" w:leader="dot" w:pos="8845"/>
            </w:tabs>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TOC \o "1-2" \h \u</w:instrText>
          </w:r>
          <w:r>
            <w:rPr>
              <w:rFonts w:hint="eastAsia" w:ascii="仿宋_GB2312" w:hAnsi="仿宋_GB2312" w:eastAsia="仿宋_GB2312" w:cs="仿宋_GB2312"/>
              <w:kern w:val="2"/>
              <w:sz w:val="32"/>
              <w:szCs w:val="32"/>
              <w:lang w:val="en-US" w:eastAsia="zh-CN" w:bidi="ar-SA"/>
            </w:rPr>
            <w:fldChar w:fldCharType="separate"/>
          </w:r>
          <w:r>
            <w:fldChar w:fldCharType="begin"/>
          </w:r>
          <w:r>
            <w:instrText xml:space="preserve"> HYPERLINK \l "_Toc10569" </w:instrText>
          </w:r>
          <w:r>
            <w:fldChar w:fldCharType="separate"/>
          </w:r>
          <w:r>
            <w:rPr>
              <w:rFonts w:hint="eastAsia" w:ascii="仿宋_GB2312" w:hAnsi="仿宋_GB2312" w:eastAsia="仿宋_GB2312" w:cs="仿宋_GB2312"/>
              <w:kern w:val="2"/>
              <w:sz w:val="32"/>
              <w:szCs w:val="32"/>
              <w:lang w:val="en-US" w:eastAsia="zh-CN" w:bidi="ar-SA"/>
            </w:rPr>
            <w:t>一、基本职能及主要工作</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_Toc10569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0756F247">
          <w:pPr>
            <w:pStyle w:val="24"/>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"_Toc24700" </w:instrText>
          </w:r>
          <w:r>
            <w:fldChar w:fldCharType="separate"/>
          </w:r>
          <w:r>
            <w:rPr>
              <w:rFonts w:hint="eastAsia" w:ascii="仿宋_GB2312" w:hAnsi="仿宋_GB2312" w:eastAsia="仿宋_GB2312" w:cs="仿宋_GB2312"/>
              <w:kern w:val="2"/>
              <w:sz w:val="32"/>
              <w:szCs w:val="32"/>
              <w:lang w:val="en-US" w:eastAsia="zh-CN" w:bidi="ar-SA"/>
            </w:rPr>
            <w:t>（一）单位职能简介</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_Toc24700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3C4D20CF">
          <w:pPr>
            <w:pStyle w:val="24"/>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"_Toc6442" </w:instrText>
          </w:r>
          <w:r>
            <w:fldChar w:fldCharType="separate"/>
          </w:r>
          <w:r>
            <w:rPr>
              <w:rFonts w:hint="eastAsia" w:ascii="仿宋_GB2312" w:hAnsi="仿宋_GB2312" w:eastAsia="仿宋_GB2312" w:cs="仿宋_GB2312"/>
              <w:kern w:val="2"/>
              <w:sz w:val="32"/>
              <w:szCs w:val="32"/>
              <w:lang w:val="en-US" w:eastAsia="zh-CN" w:bidi="ar-SA"/>
            </w:rPr>
            <w:t>（二）2025年重点工作</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_Toc6442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41B31E68">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"_Toc31741" </w:instrText>
          </w:r>
          <w:r>
            <w:fldChar w:fldCharType="separate"/>
          </w:r>
          <w:r>
            <w:rPr>
              <w:rFonts w:hint="eastAsia" w:ascii="仿宋_GB2312" w:hAnsi="仿宋_GB2312" w:eastAsia="仿宋_GB2312" w:cs="仿宋_GB2312"/>
              <w:kern w:val="2"/>
              <w:sz w:val="32"/>
              <w:szCs w:val="32"/>
              <w:lang w:val="en-US" w:eastAsia="zh-CN" w:bidi="ar-SA"/>
            </w:rPr>
            <w:t>二、部门预算单位构成</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_Toc31741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372EA9BF">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"_Toc30172" </w:instrText>
          </w:r>
          <w:r>
            <w:fldChar w:fldCharType="separate"/>
          </w:r>
          <w:r>
            <w:rPr>
              <w:rFonts w:hint="eastAsia" w:ascii="仿宋_GB2312" w:hAnsi="仿宋_GB2312" w:eastAsia="仿宋_GB2312" w:cs="仿宋_GB2312"/>
              <w:kern w:val="2"/>
              <w:sz w:val="32"/>
              <w:szCs w:val="32"/>
              <w:lang w:val="en-US" w:eastAsia="zh-CN" w:bidi="ar-SA"/>
            </w:rPr>
            <w:t>三、收支预算情况说明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_Toc30172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3FCAE316">
          <w:pPr>
            <w:pStyle w:val="24"/>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"_Toc1640" </w:instrText>
          </w:r>
          <w:r>
            <w:fldChar w:fldCharType="separate"/>
          </w:r>
          <w:r>
            <w:rPr>
              <w:rFonts w:hint="eastAsia" w:ascii="仿宋_GB2312" w:hAnsi="仿宋_GB2312" w:eastAsia="仿宋_GB2312" w:cs="仿宋_GB2312"/>
              <w:kern w:val="2"/>
              <w:sz w:val="32"/>
              <w:szCs w:val="32"/>
              <w:lang w:val="en-US" w:eastAsia="zh-CN" w:bidi="ar-SA"/>
            </w:rPr>
            <w:t>（一）收入预算情况</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_Toc1640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3F8BA553">
          <w:pPr>
            <w:pStyle w:val="24"/>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"_Toc27322" </w:instrText>
          </w:r>
          <w:r>
            <w:fldChar w:fldCharType="separate"/>
          </w:r>
          <w:r>
            <w:rPr>
              <w:rFonts w:hint="eastAsia" w:ascii="仿宋_GB2312" w:hAnsi="仿宋_GB2312" w:eastAsia="仿宋_GB2312" w:cs="仿宋_GB2312"/>
              <w:kern w:val="2"/>
              <w:sz w:val="32"/>
              <w:szCs w:val="32"/>
              <w:lang w:val="en-US" w:eastAsia="zh-CN" w:bidi="ar-SA"/>
            </w:rPr>
            <w:t>（二）支出预算情况</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_Toc27322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25CDFBB0">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"_Toc2711" </w:instrText>
          </w:r>
          <w:r>
            <w:fldChar w:fldCharType="separate"/>
          </w:r>
          <w:r>
            <w:rPr>
              <w:rFonts w:hint="eastAsia" w:ascii="仿宋_GB2312" w:hAnsi="仿宋_GB2312" w:eastAsia="仿宋_GB2312" w:cs="仿宋_GB2312"/>
              <w:kern w:val="2"/>
              <w:sz w:val="32"/>
              <w:szCs w:val="32"/>
              <w:lang w:val="en-US" w:eastAsia="zh-CN" w:bidi="ar-SA"/>
            </w:rPr>
            <w:t>四、财政拨款收支预算情况说明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_Toc2711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365FFD5E">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"_Toc22643" </w:instrText>
          </w:r>
          <w:r>
            <w:fldChar w:fldCharType="separate"/>
          </w:r>
          <w:r>
            <w:rPr>
              <w:rFonts w:hint="eastAsia" w:ascii="仿宋_GB2312" w:hAnsi="仿宋_GB2312" w:eastAsia="仿宋_GB2312" w:cs="仿宋_GB2312"/>
              <w:kern w:val="2"/>
              <w:sz w:val="32"/>
              <w:szCs w:val="32"/>
              <w:lang w:val="en-US" w:eastAsia="zh-CN" w:bidi="ar-SA"/>
            </w:rPr>
            <w:t>五、一般公共预算当年拨款情况说明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_Toc22643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69178B23">
          <w:pPr>
            <w:pStyle w:val="24"/>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"_Toc27319" </w:instrText>
          </w:r>
          <w:r>
            <w:fldChar w:fldCharType="separate"/>
          </w:r>
          <w:r>
            <w:rPr>
              <w:rFonts w:hint="eastAsia" w:ascii="仿宋_GB2312" w:hAnsi="仿宋_GB2312" w:eastAsia="仿宋_GB2312" w:cs="仿宋_GB2312"/>
              <w:kern w:val="2"/>
              <w:sz w:val="32"/>
              <w:szCs w:val="32"/>
              <w:lang w:val="en-US" w:eastAsia="zh-CN" w:bidi="ar-SA"/>
            </w:rPr>
            <w:t>（一）一般公共预算当年拨款规模变化情况</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_Toc27319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6C561ACD">
          <w:pPr>
            <w:pStyle w:val="24"/>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"_Toc29656" </w:instrText>
          </w:r>
          <w:r>
            <w:fldChar w:fldCharType="separate"/>
          </w:r>
          <w:r>
            <w:rPr>
              <w:rFonts w:hint="eastAsia" w:ascii="仿宋_GB2312" w:hAnsi="仿宋_GB2312" w:eastAsia="仿宋_GB2312" w:cs="仿宋_GB2312"/>
              <w:kern w:val="2"/>
              <w:sz w:val="32"/>
              <w:szCs w:val="32"/>
              <w:lang w:val="en-US" w:eastAsia="zh-CN" w:bidi="ar-SA"/>
            </w:rPr>
            <w:t>（二）一般公共预算当年拨款结构情况</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_Toc29656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05CF4C98">
          <w:pPr>
            <w:pStyle w:val="24"/>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"_Toc15962" </w:instrText>
          </w:r>
          <w:r>
            <w:fldChar w:fldCharType="separate"/>
          </w:r>
          <w:r>
            <w:rPr>
              <w:rFonts w:hint="eastAsia" w:ascii="仿宋_GB2312" w:hAnsi="仿宋_GB2312" w:eastAsia="仿宋_GB2312" w:cs="仿宋_GB2312"/>
              <w:kern w:val="2"/>
              <w:sz w:val="32"/>
              <w:szCs w:val="32"/>
              <w:lang w:val="en-US" w:eastAsia="zh-CN" w:bidi="ar-SA"/>
            </w:rPr>
            <w:t>（三）一般公共预算当年拨款具体使用情况</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_Toc15962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5B4CBDED">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"_Toc31761" </w:instrText>
          </w:r>
          <w:r>
            <w:fldChar w:fldCharType="separate"/>
          </w:r>
          <w:r>
            <w:rPr>
              <w:rFonts w:hint="eastAsia" w:ascii="仿宋_GB2312" w:hAnsi="仿宋_GB2312" w:eastAsia="仿宋_GB2312" w:cs="仿宋_GB2312"/>
              <w:kern w:val="2"/>
              <w:sz w:val="32"/>
              <w:szCs w:val="32"/>
              <w:lang w:val="en-US" w:eastAsia="zh-CN" w:bidi="ar-SA"/>
            </w:rPr>
            <w:t>六、一般公共预算基本支出情况说明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_Toc31761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6</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7AF75277">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"_Toc15977" </w:instrText>
          </w:r>
          <w:r>
            <w:fldChar w:fldCharType="separate"/>
          </w:r>
          <w:r>
            <w:rPr>
              <w:rFonts w:hint="eastAsia" w:ascii="仿宋_GB2312" w:hAnsi="仿宋_GB2312" w:eastAsia="仿宋_GB2312" w:cs="仿宋_GB2312"/>
              <w:kern w:val="2"/>
              <w:sz w:val="32"/>
              <w:szCs w:val="32"/>
              <w:lang w:val="en-US" w:eastAsia="zh-CN" w:bidi="ar-SA"/>
            </w:rPr>
            <w:t>七、“三公”经费财政拨款预算安排情况说明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_Toc15977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6</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0D4E13ED">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"_Toc19285" </w:instrText>
          </w:r>
          <w:r>
            <w:fldChar w:fldCharType="separate"/>
          </w:r>
          <w:r>
            <w:rPr>
              <w:rFonts w:hint="eastAsia" w:ascii="仿宋_GB2312" w:hAnsi="仿宋_GB2312" w:eastAsia="仿宋_GB2312" w:cs="仿宋_GB2312"/>
              <w:kern w:val="2"/>
              <w:sz w:val="32"/>
              <w:szCs w:val="32"/>
              <w:lang w:val="en-US" w:eastAsia="zh-CN" w:bidi="ar-SA"/>
            </w:rPr>
            <w:t>八、政府性基金预算支出情况说明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_Toc19285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6</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7149D2D2">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"_Toc5478" </w:instrText>
          </w:r>
          <w:r>
            <w:fldChar w:fldCharType="separate"/>
          </w:r>
          <w:r>
            <w:rPr>
              <w:rFonts w:hint="eastAsia" w:ascii="仿宋_GB2312" w:hAnsi="仿宋_GB2312" w:eastAsia="仿宋_GB2312" w:cs="仿宋_GB2312"/>
              <w:kern w:val="2"/>
              <w:sz w:val="32"/>
              <w:szCs w:val="32"/>
              <w:lang w:val="en-US" w:eastAsia="zh-CN" w:bidi="ar-SA"/>
            </w:rPr>
            <w:t>九、国有资本经营预算支出情况说明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_Toc5478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7</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1A646D45">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"_Toc24227" </w:instrText>
          </w:r>
          <w:r>
            <w:fldChar w:fldCharType="separate"/>
          </w:r>
          <w:r>
            <w:rPr>
              <w:rFonts w:hint="eastAsia" w:ascii="仿宋_GB2312" w:hAnsi="仿宋_GB2312" w:eastAsia="仿宋_GB2312" w:cs="仿宋_GB2312"/>
              <w:kern w:val="2"/>
              <w:sz w:val="32"/>
              <w:szCs w:val="32"/>
              <w:lang w:val="en-US" w:eastAsia="zh-CN" w:bidi="ar-SA"/>
            </w:rPr>
            <w:t>十、其他重要事项的情况说明</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_Toc24227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7</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21AAA1F6">
          <w:pPr>
            <w:pStyle w:val="23"/>
            <w:tabs>
              <w:tab w:val="right" w:leader="dot" w:pos="8845"/>
            </w:tabs>
            <w:rPr>
              <w:rFonts w:hint="eastAsia" w:ascii="仿宋_GB2312" w:hAnsi="仿宋_GB2312" w:eastAsia="仿宋_GB2312" w:cs="仿宋_GB2312"/>
              <w:kern w:val="2"/>
              <w:sz w:val="32"/>
              <w:szCs w:val="32"/>
              <w:lang w:val="en-US" w:eastAsia="zh-CN" w:bidi="ar-SA"/>
            </w:rPr>
          </w:pPr>
          <w:r>
            <w:fldChar w:fldCharType="begin"/>
          </w:r>
          <w:r>
            <w:instrText xml:space="preserve"> HYPERLINK \l "_Toc24271" </w:instrText>
          </w:r>
          <w:r>
            <w:fldChar w:fldCharType="separate"/>
          </w:r>
          <w:r>
            <w:rPr>
              <w:rFonts w:hint="eastAsia" w:ascii="仿宋_GB2312" w:hAnsi="仿宋_GB2312" w:eastAsia="仿宋_GB2312" w:cs="仿宋_GB2312"/>
              <w:kern w:val="2"/>
              <w:sz w:val="32"/>
              <w:szCs w:val="32"/>
              <w:lang w:val="en-US" w:eastAsia="zh-CN" w:bidi="ar-SA"/>
            </w:rPr>
            <w:t>十一、名词解释</w:t>
          </w:r>
          <w:r>
            <w:rPr>
              <w:rFonts w:hint="eastAsia" w:ascii="仿宋_GB2312" w:hAnsi="仿宋_GB2312" w:eastAsia="仿宋_GB2312" w:cs="仿宋_GB2312"/>
              <w:kern w:val="2"/>
              <w:sz w:val="32"/>
              <w:szCs w:val="32"/>
              <w:lang w:val="en-US" w:eastAsia="zh-CN" w:bidi="ar-SA"/>
            </w:rPr>
            <w:tab/>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PAGEREF _Toc24271 \h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kern w:val="2"/>
              <w:sz w:val="32"/>
              <w:szCs w:val="32"/>
              <w:lang w:val="en-US" w:eastAsia="zh-CN" w:bidi="ar-SA"/>
            </w:rPr>
            <w:t>7</w:t>
          </w:r>
          <w:r>
            <w:rPr>
              <w:rFonts w:hint="eastAsia" w:ascii="仿宋_GB2312" w:hAnsi="仿宋_GB2312" w:eastAsia="仿宋_GB2312" w:cs="仿宋_GB2312"/>
              <w:kern w:val="2"/>
              <w:sz w:val="32"/>
              <w:szCs w:val="32"/>
              <w:lang w:val="en-US" w:eastAsia="zh-CN" w:bidi="ar-SA"/>
            </w:rPr>
            <w:fldChar w:fldCharType="end"/>
          </w:r>
          <w:r>
            <w:rPr>
              <w:rFonts w:hint="eastAsia" w:ascii="仿宋_GB2312" w:hAnsi="仿宋_GB2312" w:eastAsia="仿宋_GB2312" w:cs="仿宋_GB2312"/>
              <w:kern w:val="2"/>
              <w:sz w:val="32"/>
              <w:szCs w:val="32"/>
              <w:lang w:val="en-US" w:eastAsia="zh-CN" w:bidi="ar-SA"/>
            </w:rPr>
            <w:fldChar w:fldCharType="end"/>
          </w:r>
        </w:p>
        <w:p w14:paraId="67C3B74F">
          <w:r>
            <w:rPr>
              <w:rFonts w:hint="eastAsia" w:ascii="仿宋_GB2312" w:hAnsi="仿宋_GB2312" w:eastAsia="仿宋_GB2312" w:cs="仿宋_GB2312"/>
              <w:kern w:val="2"/>
              <w:sz w:val="32"/>
              <w:szCs w:val="32"/>
              <w:lang w:val="en-US" w:eastAsia="zh-CN" w:bidi="ar-SA"/>
            </w:rPr>
            <w:fldChar w:fldCharType="end"/>
          </w:r>
        </w:p>
      </w:sdtContent>
    </w:sdt>
    <w:p w14:paraId="3EE28890">
      <w:pPr>
        <w:outlineLvl w:val="0"/>
        <w:rPr>
          <w:rFonts w:hint="eastAsia" w:ascii="黑体" w:hAnsi="黑体" w:eastAsia="黑体" w:cs="黑体"/>
          <w:sz w:val="32"/>
          <w:szCs w:val="32"/>
        </w:rPr>
      </w:pPr>
      <w:bookmarkStart w:id="0" w:name="_Toc10569"/>
    </w:p>
    <w:p w14:paraId="455FD403">
      <w:pPr>
        <w:outlineLvl w:val="0"/>
        <w:rPr>
          <w:rFonts w:hint="eastAsia" w:ascii="黑体" w:hAnsi="黑体" w:eastAsia="黑体" w:cs="黑体"/>
          <w:sz w:val="32"/>
          <w:szCs w:val="32"/>
        </w:rPr>
      </w:pPr>
    </w:p>
    <w:p w14:paraId="31182C07">
      <w:pPr>
        <w:outlineLvl w:val="0"/>
        <w:rPr>
          <w:rFonts w:hint="eastAsia" w:ascii="黑体" w:hAnsi="黑体" w:eastAsia="黑体" w:cs="黑体"/>
          <w:sz w:val="32"/>
          <w:szCs w:val="32"/>
        </w:rPr>
      </w:pPr>
    </w:p>
    <w:p w14:paraId="7751523A">
      <w:pPr>
        <w:outlineLvl w:val="0"/>
        <w:rPr>
          <w:rFonts w:hint="eastAsia" w:ascii="黑体" w:hAnsi="黑体" w:eastAsia="黑体" w:cs="黑体"/>
          <w:sz w:val="32"/>
          <w:szCs w:val="32"/>
        </w:rPr>
      </w:pPr>
    </w:p>
    <w:p w14:paraId="0F6878CA">
      <w:pPr>
        <w:outlineLvl w:val="0"/>
        <w:rPr>
          <w:rFonts w:hint="eastAsia" w:ascii="黑体" w:hAnsi="黑体" w:eastAsia="黑体" w:cs="黑体"/>
          <w:sz w:val="32"/>
          <w:szCs w:val="32"/>
        </w:rPr>
      </w:pPr>
    </w:p>
    <w:p w14:paraId="39034653">
      <w:pPr>
        <w:outlineLvl w:val="0"/>
        <w:rPr>
          <w:rFonts w:hint="eastAsia" w:ascii="黑体" w:hAnsi="黑体" w:eastAsia="黑体" w:cs="黑体"/>
          <w:sz w:val="32"/>
          <w:szCs w:val="32"/>
        </w:rPr>
      </w:pPr>
    </w:p>
    <w:p w14:paraId="43C75DDC">
      <w:pPr>
        <w:outlineLvl w:val="0"/>
        <w:rPr>
          <w:rFonts w:hint="eastAsia" w:ascii="黑体" w:hAnsi="黑体" w:eastAsia="黑体" w:cs="黑体"/>
          <w:sz w:val="32"/>
          <w:szCs w:val="32"/>
        </w:rPr>
      </w:pPr>
    </w:p>
    <w:p w14:paraId="3550B63E">
      <w:pPr>
        <w:outlineLvl w:val="0"/>
        <w:rPr>
          <w:rFonts w:hint="eastAsia" w:ascii="黑体" w:hAnsi="黑体" w:eastAsia="黑体" w:cs="黑体"/>
          <w:sz w:val="32"/>
          <w:szCs w:val="32"/>
        </w:rPr>
      </w:pPr>
    </w:p>
    <w:p w14:paraId="74BD798A">
      <w:pPr>
        <w:outlineLvl w:val="0"/>
        <w:rPr>
          <w:rFonts w:hint="eastAsia" w:ascii="黑体" w:hAnsi="黑体" w:eastAsia="黑体" w:cs="黑体"/>
          <w:sz w:val="32"/>
          <w:szCs w:val="32"/>
        </w:rPr>
      </w:pPr>
    </w:p>
    <w:p w14:paraId="2587FE32">
      <w:pPr>
        <w:outlineLvl w:val="0"/>
        <w:rPr>
          <w:rFonts w:hint="eastAsia" w:ascii="黑体" w:hAnsi="黑体" w:eastAsia="黑体" w:cs="黑体"/>
          <w:sz w:val="32"/>
          <w:szCs w:val="32"/>
        </w:rPr>
      </w:pPr>
    </w:p>
    <w:p w14:paraId="2A984F33">
      <w:pPr>
        <w:outlineLvl w:val="0"/>
        <w:rPr>
          <w:rFonts w:hint="eastAsia" w:ascii="黑体" w:hAnsi="黑体" w:eastAsia="黑体" w:cs="黑体"/>
          <w:sz w:val="32"/>
          <w:szCs w:val="32"/>
        </w:rPr>
      </w:pPr>
    </w:p>
    <w:p w14:paraId="114991CD">
      <w:pPr>
        <w:outlineLvl w:val="0"/>
        <w:rPr>
          <w:rFonts w:hint="eastAsia" w:ascii="黑体" w:hAnsi="黑体" w:eastAsia="黑体" w:cs="黑体"/>
          <w:sz w:val="32"/>
          <w:szCs w:val="32"/>
        </w:rPr>
      </w:pPr>
    </w:p>
    <w:p w14:paraId="4594693F">
      <w:pPr>
        <w:outlineLvl w:val="0"/>
        <w:rPr>
          <w:rFonts w:hint="eastAsia" w:ascii="黑体" w:hAnsi="黑体" w:eastAsia="黑体" w:cs="黑体"/>
          <w:sz w:val="32"/>
          <w:szCs w:val="32"/>
        </w:rPr>
      </w:pPr>
    </w:p>
    <w:p w14:paraId="0BF7F180">
      <w:pPr>
        <w:outlineLvl w:val="0"/>
        <w:rPr>
          <w:rFonts w:hint="eastAsia" w:ascii="黑体" w:hAnsi="黑体" w:eastAsia="黑体" w:cs="黑体"/>
          <w:sz w:val="32"/>
          <w:szCs w:val="32"/>
        </w:rPr>
      </w:pPr>
    </w:p>
    <w:p w14:paraId="1CCFBB0B">
      <w:pPr>
        <w:outlineLvl w:val="0"/>
        <w:rPr>
          <w:rFonts w:hint="eastAsia" w:ascii="黑体" w:hAnsi="黑体" w:eastAsia="黑体" w:cs="黑体"/>
          <w:sz w:val="32"/>
          <w:szCs w:val="32"/>
        </w:rPr>
      </w:pPr>
    </w:p>
    <w:p w14:paraId="127C1EC6">
      <w:pPr>
        <w:outlineLvl w:val="0"/>
        <w:rPr>
          <w:rFonts w:hint="eastAsia" w:ascii="黑体" w:hAnsi="黑体" w:eastAsia="黑体" w:cs="黑体"/>
          <w:sz w:val="32"/>
          <w:szCs w:val="32"/>
        </w:rPr>
      </w:pPr>
    </w:p>
    <w:p w14:paraId="03AF3624">
      <w:pPr>
        <w:outlineLvl w:val="0"/>
        <w:rPr>
          <w:rFonts w:hint="eastAsia" w:ascii="黑体" w:hAnsi="黑体" w:eastAsia="黑体" w:cs="黑体"/>
          <w:sz w:val="32"/>
          <w:szCs w:val="32"/>
        </w:rPr>
      </w:pPr>
    </w:p>
    <w:p w14:paraId="0C77CDF3">
      <w:pPr>
        <w:outlineLvl w:val="0"/>
        <w:rPr>
          <w:rFonts w:hint="eastAsia" w:ascii="黑体" w:hAnsi="黑体" w:eastAsia="黑体" w:cs="黑体"/>
          <w:sz w:val="32"/>
          <w:szCs w:val="32"/>
        </w:rPr>
      </w:pPr>
    </w:p>
    <w:p w14:paraId="39A08486">
      <w:pPr>
        <w:outlineLvl w:val="0"/>
        <w:rPr>
          <w:rFonts w:hint="eastAsia" w:ascii="黑体" w:hAnsi="黑体" w:eastAsia="黑体" w:cs="黑体"/>
          <w:sz w:val="32"/>
          <w:szCs w:val="32"/>
        </w:rPr>
      </w:pPr>
      <w:r>
        <w:rPr>
          <w:rFonts w:hint="eastAsia" w:ascii="黑体" w:hAnsi="黑体" w:eastAsia="黑体" w:cs="黑体"/>
          <w:sz w:val="32"/>
          <w:szCs w:val="32"/>
        </w:rPr>
        <w:t>一、基本职能及主要工作</w:t>
      </w:r>
      <w:bookmarkEnd w:id="0"/>
    </w:p>
    <w:p w14:paraId="623C7B06">
      <w:pPr>
        <w:spacing w:line="576" w:lineRule="exact"/>
        <w:ind w:firstLine="640" w:firstLineChars="200"/>
        <w:outlineLvl w:val="1"/>
        <w:rPr>
          <w:rFonts w:hint="eastAsia" w:ascii="楷体_GB2312" w:hAnsi="楷体_GB2312" w:eastAsia="楷体_GB2312" w:cs="楷体_GB2312"/>
          <w:sz w:val="32"/>
          <w:szCs w:val="32"/>
        </w:rPr>
      </w:pPr>
      <w:bookmarkStart w:id="1" w:name="_Toc24700"/>
      <w:r>
        <w:rPr>
          <w:rFonts w:hint="eastAsia" w:ascii="楷体_GB2312" w:hAnsi="楷体_GB2312" w:eastAsia="楷体_GB2312" w:cs="楷体_GB2312"/>
          <w:sz w:val="32"/>
          <w:szCs w:val="32"/>
        </w:rPr>
        <w:t>（一）单位职能简介</w:t>
      </w:r>
      <w:bookmarkEnd w:id="1"/>
    </w:p>
    <w:p w14:paraId="45BB7A6B">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1.贯彻党的教育方针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坚持社会主义办学方向，实行教育与生产劳动相结合，对学生进行德育、智育、体育、美育和劳动等方面的教育。</w:t>
      </w:r>
    </w:p>
    <w:p w14:paraId="27D3074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2.负责配合政府依法动员、组织适龄儿童、少年入学，严格控制学生辍学，依法保证适龄儿童、少年接受九年义务教育。</w:t>
      </w:r>
    </w:p>
    <w:p w14:paraId="5E43D48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3.负责依法制定学校章程，并按照章程自主管理。</w:t>
      </w:r>
    </w:p>
    <w:p w14:paraId="0FA4CC8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4.负责制定学校教育发展规划，并抓好组织和实施工作。</w:t>
      </w:r>
    </w:p>
    <w:p w14:paraId="086071E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5.负责按照教育主管部门发布的指导性教学计划、教学大纲，组织实施教育教学活动。</w:t>
      </w:r>
    </w:p>
    <w:p w14:paraId="2ED65CDE">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6.负责学籍管理并对学生实施奖励或处分。</w:t>
      </w:r>
    </w:p>
    <w:p w14:paraId="686CB325">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7.负责依法制定本校教师及其他职工聘任制度，并对教师及其他员工实施包括奖励、处分在内的具体管理活动。</w:t>
      </w:r>
    </w:p>
    <w:p w14:paraId="0E349A20">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8.负责科学管理、合理使用学校的设施和经费，并积极筹措资金，改善办学条件。</w:t>
      </w:r>
    </w:p>
    <w:p w14:paraId="251DD117">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9.负责维护学校、师生的合法权益，有权拒绝任何组织和个人对教育教学活动的非法干扰。</w:t>
      </w:r>
    </w:p>
    <w:p w14:paraId="123A7C2A">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10.依法接受各级教育行政部门的检查指导和人民群众的监督。</w:t>
      </w:r>
    </w:p>
    <w:p w14:paraId="7F3849D4">
      <w:pPr>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11.承办上级交办的其他事项。</w:t>
      </w:r>
    </w:p>
    <w:p w14:paraId="3372943C">
      <w:pPr>
        <w:spacing w:line="576" w:lineRule="exact"/>
        <w:ind w:firstLine="640" w:firstLineChars="200"/>
        <w:outlineLvl w:val="1"/>
        <w:rPr>
          <w:rFonts w:ascii="楷体_GB2312" w:hAnsi="楷体_GB2312" w:eastAsia="楷体_GB2312" w:cs="楷体_GB2312"/>
          <w:sz w:val="32"/>
          <w:szCs w:val="32"/>
        </w:rPr>
      </w:pPr>
      <w:bookmarkStart w:id="2" w:name="_Toc6442"/>
      <w:r>
        <w:rPr>
          <w:rFonts w:hint="eastAsia" w:ascii="楷体_GB2312" w:hAnsi="楷体_GB2312" w:eastAsia="楷体_GB2312" w:cs="楷体_GB2312"/>
          <w:sz w:val="32"/>
          <w:szCs w:val="32"/>
        </w:rPr>
        <w:t>（二）2025年重点工作</w:t>
      </w:r>
      <w:bookmarkEnd w:id="2"/>
    </w:p>
    <w:p w14:paraId="70D1D32E">
      <w:pPr>
        <w:spacing w:line="576" w:lineRule="exact"/>
        <w:ind w:firstLine="640" w:firstLineChars="200"/>
        <w:rPr>
          <w:rFonts w:hint="eastAsia" w:ascii="仿宋" w:hAnsi="仿宋" w:eastAsia="仿宋"/>
          <w:sz w:val="32"/>
          <w:szCs w:val="32"/>
        </w:rPr>
      </w:pPr>
      <w:r>
        <w:rPr>
          <w:rFonts w:hint="eastAsia" w:ascii="仿宋" w:hAnsi="仿宋" w:eastAsia="仿宋"/>
          <w:sz w:val="32"/>
          <w:szCs w:val="32"/>
        </w:rPr>
        <w:t>虎跳初级中学坚持以安全稳定为前提</w:t>
      </w:r>
      <w:r>
        <w:rPr>
          <w:rFonts w:hint="eastAsia" w:ascii="仿宋" w:hAnsi="仿宋" w:eastAsia="仿宋"/>
          <w:sz w:val="32"/>
          <w:szCs w:val="32"/>
          <w:lang w:eastAsia="zh-CN"/>
        </w:rPr>
        <w:t>，</w:t>
      </w:r>
      <w:r>
        <w:rPr>
          <w:rFonts w:hint="eastAsia" w:ascii="仿宋" w:hAnsi="仿宋" w:eastAsia="仿宋"/>
          <w:sz w:val="32"/>
          <w:szCs w:val="32"/>
        </w:rPr>
        <w:t>提高教育教学质量为中心</w:t>
      </w:r>
      <w:r>
        <w:rPr>
          <w:rFonts w:hint="eastAsia" w:ascii="仿宋" w:hAnsi="仿宋" w:eastAsia="仿宋"/>
          <w:sz w:val="32"/>
          <w:szCs w:val="32"/>
          <w:lang w:eastAsia="zh-CN"/>
        </w:rPr>
        <w:t>，</w:t>
      </w:r>
      <w:r>
        <w:rPr>
          <w:rFonts w:hint="eastAsia" w:ascii="仿宋" w:hAnsi="仿宋" w:eastAsia="仿宋"/>
          <w:sz w:val="32"/>
          <w:szCs w:val="32"/>
        </w:rPr>
        <w:t>以学生的全面发展和教师的专业成长为宗旨</w:t>
      </w:r>
      <w:r>
        <w:rPr>
          <w:rFonts w:hint="eastAsia" w:ascii="仿宋" w:hAnsi="仿宋" w:eastAsia="仿宋"/>
          <w:sz w:val="32"/>
          <w:szCs w:val="32"/>
          <w:lang w:eastAsia="zh-CN"/>
        </w:rPr>
        <w:t>，</w:t>
      </w:r>
      <w:r>
        <w:rPr>
          <w:rFonts w:hint="eastAsia" w:ascii="仿宋" w:hAnsi="仿宋" w:eastAsia="仿宋"/>
          <w:sz w:val="32"/>
          <w:szCs w:val="32"/>
        </w:rPr>
        <w:t>以构建美丽、活力、质量、和谐校园为目标，努力营造一个学生能快乐地学习</w:t>
      </w:r>
      <w:r>
        <w:rPr>
          <w:rFonts w:hint="eastAsia" w:ascii="仿宋" w:hAnsi="仿宋" w:eastAsia="仿宋"/>
          <w:sz w:val="32"/>
          <w:szCs w:val="32"/>
          <w:lang w:eastAsia="zh-CN"/>
        </w:rPr>
        <w:t>，</w:t>
      </w:r>
      <w:r>
        <w:rPr>
          <w:rFonts w:hint="eastAsia" w:ascii="仿宋" w:hAnsi="仿宋" w:eastAsia="仿宋"/>
          <w:sz w:val="32"/>
          <w:szCs w:val="32"/>
        </w:rPr>
        <w:t>教师能幸福工作的美丽校园。现就202</w:t>
      </w:r>
      <w:r>
        <w:rPr>
          <w:rFonts w:hint="eastAsia" w:ascii="仿宋" w:hAnsi="仿宋" w:eastAsia="仿宋"/>
          <w:sz w:val="32"/>
          <w:szCs w:val="32"/>
          <w:lang w:val="en-US" w:eastAsia="zh-CN"/>
        </w:rPr>
        <w:t>4</w:t>
      </w:r>
      <w:r>
        <w:rPr>
          <w:rFonts w:hint="eastAsia" w:ascii="仿宋" w:hAnsi="仿宋" w:eastAsia="仿宋"/>
          <w:sz w:val="32"/>
          <w:szCs w:val="32"/>
        </w:rPr>
        <w:t>年秋</w:t>
      </w:r>
      <w:r>
        <w:rPr>
          <w:rFonts w:hint="eastAsia" w:ascii="仿宋" w:hAnsi="仿宋" w:eastAsia="仿宋"/>
          <w:sz w:val="32"/>
          <w:szCs w:val="32"/>
          <w:lang w:val="en-US" w:eastAsia="zh-CN"/>
        </w:rPr>
        <w:t>季</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年春季学校工作作如下打算：</w:t>
      </w:r>
    </w:p>
    <w:p w14:paraId="380DD117">
      <w:pPr>
        <w:spacing w:line="576" w:lineRule="exact"/>
        <w:ind w:firstLine="643" w:firstLineChars="200"/>
        <w:rPr>
          <w:rFonts w:hint="eastAsia" w:ascii="仿宋" w:hAnsi="仿宋" w:eastAsia="仿宋"/>
          <w:b/>
          <w:bCs/>
          <w:sz w:val="32"/>
          <w:szCs w:val="32"/>
        </w:rPr>
      </w:pPr>
      <w:r>
        <w:rPr>
          <w:rFonts w:hint="eastAsia" w:ascii="仿宋" w:hAnsi="仿宋" w:eastAsia="仿宋"/>
          <w:b/>
          <w:bCs/>
          <w:sz w:val="32"/>
          <w:szCs w:val="32"/>
        </w:rPr>
        <w:t>（1）学校工作突显</w:t>
      </w:r>
      <w:r>
        <w:rPr>
          <w:rFonts w:hint="eastAsia" w:ascii="仿宋" w:hAnsi="仿宋" w:eastAsia="仿宋"/>
          <w:b/>
          <w:bCs/>
          <w:sz w:val="32"/>
          <w:szCs w:val="32"/>
          <w:lang w:eastAsia="zh-CN"/>
        </w:rPr>
        <w:t>教育</w:t>
      </w:r>
      <w:r>
        <w:rPr>
          <w:rFonts w:hint="eastAsia" w:ascii="仿宋" w:hAnsi="仿宋" w:eastAsia="仿宋"/>
          <w:b/>
          <w:bCs/>
          <w:sz w:val="32"/>
          <w:szCs w:val="32"/>
        </w:rPr>
        <w:t>质量</w:t>
      </w:r>
      <w:r>
        <w:rPr>
          <w:rFonts w:hint="eastAsia" w:ascii="仿宋" w:hAnsi="仿宋" w:eastAsia="仿宋"/>
          <w:b/>
          <w:bCs/>
          <w:sz w:val="32"/>
          <w:szCs w:val="32"/>
          <w:lang w:eastAsia="zh-CN"/>
        </w:rPr>
        <w:t>为中心</w:t>
      </w:r>
      <w:r>
        <w:rPr>
          <w:rFonts w:hint="eastAsia" w:ascii="仿宋" w:hAnsi="仿宋" w:eastAsia="仿宋"/>
          <w:b/>
          <w:bCs/>
          <w:sz w:val="32"/>
          <w:szCs w:val="32"/>
        </w:rPr>
        <w:t>，不忘本，守初心.</w:t>
      </w:r>
    </w:p>
    <w:p w14:paraId="5742F2FE">
      <w:pPr>
        <w:spacing w:line="576" w:lineRule="exact"/>
        <w:ind w:left="640"/>
        <w:rPr>
          <w:rFonts w:hint="eastAsia" w:ascii="仿宋" w:hAnsi="仿宋" w:eastAsia="仿宋"/>
          <w:sz w:val="32"/>
          <w:szCs w:val="32"/>
          <w:lang w:eastAsia="zh-CN"/>
        </w:rPr>
      </w:pPr>
      <w:r>
        <w:rPr>
          <w:rFonts w:hint="eastAsia" w:ascii="仿宋" w:hAnsi="仿宋" w:eastAsia="仿宋"/>
          <w:sz w:val="32"/>
          <w:szCs w:val="32"/>
        </w:rPr>
        <w:t>树立一个意识：质量是生命线，是学校生存的基础</w:t>
      </w:r>
      <w:r>
        <w:rPr>
          <w:rFonts w:hint="eastAsia" w:ascii="仿宋" w:hAnsi="仿宋" w:eastAsia="仿宋"/>
          <w:sz w:val="32"/>
          <w:szCs w:val="32"/>
          <w:lang w:eastAsia="zh-CN"/>
        </w:rPr>
        <w:t>。</w:t>
      </w:r>
    </w:p>
    <w:p w14:paraId="4D82C89B">
      <w:pPr>
        <w:spacing w:line="576"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做好两个引领：校长躬身上主课</w:t>
      </w:r>
      <w:r>
        <w:rPr>
          <w:rFonts w:hint="eastAsia" w:ascii="仿宋" w:hAnsi="仿宋" w:eastAsia="仿宋"/>
          <w:sz w:val="32"/>
          <w:szCs w:val="32"/>
          <w:lang w:eastAsia="zh-CN"/>
        </w:rPr>
        <w:t>，</w:t>
      </w:r>
      <w:r>
        <w:rPr>
          <w:rFonts w:hint="eastAsia" w:ascii="仿宋" w:hAnsi="仿宋" w:eastAsia="仿宋"/>
          <w:sz w:val="32"/>
          <w:szCs w:val="32"/>
        </w:rPr>
        <w:t>党员人人站讲台</w:t>
      </w:r>
      <w:r>
        <w:rPr>
          <w:rFonts w:hint="eastAsia" w:ascii="仿宋" w:hAnsi="仿宋" w:eastAsia="仿宋"/>
          <w:sz w:val="32"/>
          <w:szCs w:val="32"/>
          <w:lang w:eastAsia="zh-CN"/>
        </w:rPr>
        <w:t>。</w:t>
      </w:r>
    </w:p>
    <w:p w14:paraId="1FC0E2A5">
      <w:pPr>
        <w:spacing w:line="576" w:lineRule="exact"/>
        <w:ind w:firstLine="640" w:firstLineChars="200"/>
        <w:rPr>
          <w:rFonts w:hint="eastAsia" w:ascii="仿宋" w:hAnsi="仿宋" w:eastAsia="仿宋"/>
          <w:sz w:val="32"/>
          <w:szCs w:val="32"/>
        </w:rPr>
      </w:pPr>
      <w:r>
        <w:rPr>
          <w:rFonts w:hint="eastAsia" w:ascii="仿宋" w:hAnsi="仿宋" w:eastAsia="仿宋"/>
          <w:sz w:val="32"/>
          <w:szCs w:val="32"/>
        </w:rPr>
        <w:t>向全面发展要质量</w:t>
      </w:r>
      <w:r>
        <w:rPr>
          <w:rFonts w:hint="eastAsia" w:ascii="仿宋" w:hAnsi="仿宋" w:eastAsia="仿宋"/>
          <w:sz w:val="32"/>
          <w:szCs w:val="32"/>
          <w:lang w:eastAsia="zh-CN"/>
        </w:rPr>
        <w:t>：</w:t>
      </w:r>
      <w:r>
        <w:rPr>
          <w:rFonts w:hint="eastAsia" w:ascii="仿宋" w:hAnsi="仿宋" w:eastAsia="仿宋"/>
          <w:sz w:val="32"/>
          <w:szCs w:val="32"/>
        </w:rPr>
        <w:t>开齐课程、开足课时</w:t>
      </w:r>
      <w:r>
        <w:rPr>
          <w:rFonts w:hint="eastAsia" w:ascii="仿宋" w:hAnsi="仿宋" w:eastAsia="仿宋"/>
          <w:sz w:val="32"/>
          <w:szCs w:val="32"/>
          <w:lang w:eastAsia="zh-CN"/>
        </w:rPr>
        <w:t>，</w:t>
      </w:r>
      <w:r>
        <w:rPr>
          <w:rFonts w:hint="eastAsia" w:ascii="仿宋" w:hAnsi="仿宋" w:eastAsia="仿宋"/>
          <w:sz w:val="32"/>
          <w:szCs w:val="32"/>
        </w:rPr>
        <w:t>这是学校教育的良心。</w:t>
      </w:r>
    </w:p>
    <w:p w14:paraId="0281D8B0">
      <w:pPr>
        <w:spacing w:line="576" w:lineRule="exact"/>
        <w:ind w:firstLine="643" w:firstLineChars="200"/>
        <w:rPr>
          <w:rFonts w:hint="eastAsia" w:ascii="仿宋" w:hAnsi="仿宋" w:eastAsia="仿宋"/>
          <w:b/>
          <w:bCs/>
          <w:sz w:val="32"/>
          <w:szCs w:val="32"/>
        </w:rPr>
      </w:pPr>
      <w:r>
        <w:rPr>
          <w:rFonts w:hint="eastAsia" w:ascii="仿宋" w:hAnsi="仿宋" w:eastAsia="仿宋"/>
          <w:b/>
          <w:bCs/>
          <w:sz w:val="32"/>
          <w:szCs w:val="32"/>
        </w:rPr>
        <w:t>（2）把握两个重点</w:t>
      </w:r>
      <w:r>
        <w:rPr>
          <w:rFonts w:hint="eastAsia" w:ascii="仿宋" w:hAnsi="仿宋" w:eastAsia="仿宋"/>
          <w:b/>
          <w:bCs/>
          <w:sz w:val="32"/>
          <w:szCs w:val="32"/>
          <w:lang w:eastAsia="zh-CN"/>
        </w:rPr>
        <w:t>：</w:t>
      </w:r>
      <w:r>
        <w:rPr>
          <w:rFonts w:hint="eastAsia" w:ascii="仿宋" w:hAnsi="仿宋" w:eastAsia="仿宋"/>
          <w:b/>
          <w:bCs/>
          <w:sz w:val="32"/>
          <w:szCs w:val="32"/>
        </w:rPr>
        <w:t>德育是首位，教学是重心。</w:t>
      </w:r>
    </w:p>
    <w:p w14:paraId="1C4297F5">
      <w:pPr>
        <w:spacing w:line="576" w:lineRule="exact"/>
        <w:ind w:firstLine="643" w:firstLineChars="200"/>
        <w:rPr>
          <w:rFonts w:hint="eastAsia" w:ascii="仿宋" w:hAnsi="仿宋" w:eastAsia="仿宋"/>
          <w:sz w:val="32"/>
          <w:szCs w:val="32"/>
        </w:rPr>
      </w:pPr>
      <w:r>
        <w:rPr>
          <w:rFonts w:hint="eastAsia" w:ascii="仿宋" w:hAnsi="仿宋" w:eastAsia="仿宋"/>
          <w:b/>
          <w:bCs/>
          <w:sz w:val="32"/>
          <w:szCs w:val="32"/>
        </w:rPr>
        <w:t>（3）带好三支队伍：</w:t>
      </w:r>
      <w:r>
        <w:rPr>
          <w:rFonts w:hint="eastAsia" w:ascii="仿宋" w:hAnsi="仿宋" w:eastAsia="仿宋"/>
          <w:sz w:val="32"/>
          <w:szCs w:val="32"/>
        </w:rPr>
        <w:t>培养一支高素质</w:t>
      </w:r>
      <w:r>
        <w:rPr>
          <w:rFonts w:hint="eastAsia" w:ascii="仿宋" w:hAnsi="仿宋" w:eastAsia="仿宋"/>
          <w:sz w:val="32"/>
          <w:szCs w:val="32"/>
          <w:lang w:eastAsia="zh-CN"/>
        </w:rPr>
        <w:t>、</w:t>
      </w:r>
      <w:r>
        <w:rPr>
          <w:rFonts w:hint="eastAsia" w:ascii="仿宋" w:hAnsi="仿宋" w:eastAsia="仿宋"/>
          <w:sz w:val="32"/>
          <w:szCs w:val="32"/>
        </w:rPr>
        <w:t>能力强的领导干部队伍；打造一支素质优良的班主任队伍；建设一支高素质的教师队伍；稳步提升学校的教育教学质量。</w:t>
      </w:r>
    </w:p>
    <w:p w14:paraId="1BB20E6E">
      <w:pPr>
        <w:spacing w:line="576" w:lineRule="exact"/>
        <w:ind w:firstLine="643" w:firstLineChars="200"/>
        <w:rPr>
          <w:rFonts w:hint="eastAsia" w:ascii="仿宋" w:hAnsi="仿宋" w:eastAsia="仿宋"/>
          <w:sz w:val="32"/>
          <w:szCs w:val="32"/>
        </w:rPr>
      </w:pPr>
      <w:r>
        <w:rPr>
          <w:rFonts w:hint="eastAsia" w:ascii="仿宋" w:hAnsi="仿宋" w:eastAsia="仿宋"/>
          <w:b/>
          <w:bCs/>
          <w:sz w:val="32"/>
          <w:szCs w:val="32"/>
        </w:rPr>
        <w:t>（4）扎实</w:t>
      </w:r>
      <w:r>
        <w:rPr>
          <w:rFonts w:hint="eastAsia" w:ascii="仿宋" w:hAnsi="仿宋" w:eastAsia="仿宋"/>
          <w:b/>
          <w:bCs/>
          <w:sz w:val="32"/>
          <w:szCs w:val="32"/>
          <w:lang w:val="en-US" w:eastAsia="zh-CN"/>
        </w:rPr>
        <w:t>做好</w:t>
      </w:r>
      <w:r>
        <w:rPr>
          <w:rFonts w:hint="eastAsia" w:ascii="仿宋" w:hAnsi="仿宋" w:eastAsia="仿宋"/>
          <w:b/>
          <w:bCs/>
          <w:sz w:val="32"/>
          <w:szCs w:val="32"/>
        </w:rPr>
        <w:t>四项工作：</w:t>
      </w:r>
      <w:r>
        <w:rPr>
          <w:rFonts w:hint="eastAsia" w:ascii="仿宋" w:hAnsi="仿宋" w:eastAsia="仿宋"/>
          <w:sz w:val="32"/>
          <w:szCs w:val="32"/>
        </w:rPr>
        <w:t>党建引领示范化，德育规范化，教学常规化，科研精准化。</w:t>
      </w:r>
    </w:p>
    <w:p w14:paraId="2B020B21">
      <w:pPr>
        <w:spacing w:line="576" w:lineRule="exact"/>
        <w:ind w:firstLine="640" w:firstLineChars="200"/>
        <w:outlineLvl w:val="0"/>
        <w:rPr>
          <w:rFonts w:hint="eastAsia" w:ascii="黑体" w:hAnsi="黑体" w:eastAsia="黑体" w:cs="黑体"/>
          <w:sz w:val="32"/>
          <w:szCs w:val="32"/>
        </w:rPr>
      </w:pPr>
      <w:bookmarkStart w:id="3" w:name="_Toc31741"/>
      <w:r>
        <w:rPr>
          <w:rFonts w:hint="eastAsia" w:ascii="黑体" w:hAnsi="黑体" w:eastAsia="黑体" w:cs="黑体"/>
          <w:sz w:val="32"/>
          <w:szCs w:val="32"/>
        </w:rPr>
        <w:t>二、部门预算单位构成</w:t>
      </w:r>
      <w:bookmarkEnd w:id="3"/>
    </w:p>
    <w:p w14:paraId="7B0B676F">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我单位为广元市昭化区教育局的下属二级预算单位，属于公益一类事业单位，无下属机构。</w:t>
      </w:r>
    </w:p>
    <w:p w14:paraId="763E4ED9">
      <w:pPr>
        <w:spacing w:line="576" w:lineRule="exact"/>
        <w:ind w:firstLine="640" w:firstLineChars="200"/>
        <w:outlineLvl w:val="0"/>
        <w:rPr>
          <w:rFonts w:hint="eastAsia" w:ascii="黑体" w:hAnsi="黑体" w:eastAsia="黑体" w:cs="黑体"/>
          <w:sz w:val="32"/>
          <w:szCs w:val="32"/>
        </w:rPr>
      </w:pPr>
      <w:bookmarkStart w:id="4" w:name="_Toc30172"/>
      <w:r>
        <w:rPr>
          <w:rFonts w:hint="eastAsia" w:ascii="黑体" w:hAnsi="黑体" w:eastAsia="黑体" w:cs="黑体"/>
          <w:sz w:val="32"/>
          <w:szCs w:val="32"/>
        </w:rPr>
        <w:t>三、收支预算情况说明</w:t>
      </w:r>
      <w:bookmarkEnd w:id="4"/>
    </w:p>
    <w:p w14:paraId="246F77D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w:t>
      </w:r>
      <w:bookmarkStart w:id="5" w:name="_Hlk190419823"/>
      <w:r>
        <w:rPr>
          <w:rFonts w:hint="eastAsia" w:ascii="仿宋_GB2312" w:hAnsi="仿宋_GB2312" w:eastAsia="仿宋_GB2312" w:cs="仿宋_GB2312"/>
          <w:sz w:val="32"/>
          <w:szCs w:val="32"/>
        </w:rPr>
        <w:t>虎跳中学</w:t>
      </w:r>
      <w:bookmarkEnd w:id="5"/>
      <w:r>
        <w:rPr>
          <w:rFonts w:hint="eastAsia" w:ascii="仿宋_GB2312" w:hAnsi="仿宋_GB2312" w:eastAsia="仿宋_GB2312" w:cs="仿宋_GB2312"/>
          <w:sz w:val="32"/>
          <w:szCs w:val="32"/>
        </w:rPr>
        <w:t>所有收入和支出均纳入部门预算管理。收入包括：一般公共预算拨款收入。支出包括：教育支出。虎跳中学2025年收支预算总数743.86万元，比2024年收支预算总数增加9.1万元，主要原因是基本支出增加。</w:t>
      </w:r>
    </w:p>
    <w:p w14:paraId="47BB5498">
      <w:pPr>
        <w:spacing w:line="576" w:lineRule="exact"/>
        <w:ind w:firstLine="640" w:firstLineChars="200"/>
        <w:outlineLvl w:val="1"/>
        <w:rPr>
          <w:rFonts w:hint="eastAsia" w:ascii="楷体_GB2312" w:hAnsi="楷体_GB2312" w:eastAsia="楷体_GB2312" w:cs="楷体_GB2312"/>
          <w:sz w:val="32"/>
          <w:szCs w:val="32"/>
        </w:rPr>
      </w:pPr>
      <w:bookmarkStart w:id="6" w:name="_Toc1640"/>
      <w:r>
        <w:rPr>
          <w:rFonts w:hint="eastAsia" w:ascii="楷体_GB2312" w:hAnsi="楷体_GB2312" w:eastAsia="楷体_GB2312" w:cs="楷体_GB2312"/>
          <w:sz w:val="32"/>
          <w:szCs w:val="32"/>
        </w:rPr>
        <w:t>（一）收入预算情况</w:t>
      </w:r>
      <w:bookmarkEnd w:id="6"/>
    </w:p>
    <w:p w14:paraId="659AB31E">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虎跳中学2025年收入预算743.86万元，其中：上年结转0万元，占0%；一般公共预算拨款收入743.86万元，占100%.</w:t>
      </w:r>
      <w:r>
        <w:rPr>
          <w:rFonts w:ascii="仿宋_GB2312" w:hAnsi="仿宋_GB2312" w:eastAsia="仿宋_GB2312" w:cs="仿宋_GB2312"/>
          <w:b/>
          <w:bCs/>
          <w:sz w:val="32"/>
          <w:szCs w:val="32"/>
        </w:rPr>
        <w:t xml:space="preserve"> </w:t>
      </w:r>
    </w:p>
    <w:p w14:paraId="507DEE53">
      <w:pPr>
        <w:spacing w:line="576" w:lineRule="exact"/>
        <w:ind w:firstLine="640" w:firstLineChars="200"/>
        <w:outlineLvl w:val="1"/>
        <w:rPr>
          <w:rFonts w:hint="eastAsia" w:ascii="楷体_GB2312" w:hAnsi="楷体_GB2312" w:eastAsia="楷体_GB2312" w:cs="楷体_GB2312"/>
          <w:sz w:val="32"/>
          <w:szCs w:val="32"/>
        </w:rPr>
      </w:pPr>
      <w:bookmarkStart w:id="7" w:name="_Toc27322"/>
      <w:r>
        <w:rPr>
          <w:rFonts w:hint="eastAsia" w:ascii="楷体_GB2312" w:hAnsi="楷体_GB2312" w:eastAsia="楷体_GB2312" w:cs="楷体_GB2312"/>
          <w:sz w:val="32"/>
          <w:szCs w:val="32"/>
        </w:rPr>
        <w:t>（二）支出预算情况</w:t>
      </w:r>
      <w:bookmarkEnd w:id="7"/>
    </w:p>
    <w:p w14:paraId="432C4FBA">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虎跳中学2025年支出预算743.86万元，其中：基本支出697.78万元，占93.8%；项目支出46.08万元，占6.2%。</w:t>
      </w:r>
    </w:p>
    <w:p w14:paraId="1ECBF1B5">
      <w:pPr>
        <w:spacing w:line="576" w:lineRule="exact"/>
        <w:ind w:firstLine="640" w:firstLineChars="200"/>
        <w:outlineLvl w:val="0"/>
        <w:rPr>
          <w:rFonts w:hint="eastAsia" w:ascii="黑体" w:hAnsi="黑体" w:eastAsia="黑体" w:cs="黑体"/>
          <w:sz w:val="32"/>
          <w:szCs w:val="32"/>
        </w:rPr>
      </w:pPr>
      <w:bookmarkStart w:id="8" w:name="_Toc2711"/>
      <w:r>
        <w:rPr>
          <w:rFonts w:hint="eastAsia" w:ascii="黑体" w:hAnsi="黑体" w:eastAsia="黑体" w:cs="黑体"/>
          <w:sz w:val="32"/>
          <w:szCs w:val="32"/>
        </w:rPr>
        <w:t>四、财政拨款收支预算情况说明</w:t>
      </w:r>
      <w:bookmarkEnd w:id="8"/>
    </w:p>
    <w:p w14:paraId="4E215C7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虎跳中学2025年财政拨款收支预算总数</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743.86万元，比2024年财政拨款收支预算总数增加9.1万元，主要原因是基本支出增加。</w:t>
      </w:r>
    </w:p>
    <w:p w14:paraId="7141C1D9">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收入包括：本年一般公共预算拨款收入743.86万元；支出包括：教育支出743.86万元。</w:t>
      </w:r>
    </w:p>
    <w:p w14:paraId="74BAF2A1">
      <w:pPr>
        <w:spacing w:line="576" w:lineRule="exact"/>
        <w:ind w:firstLine="640" w:firstLineChars="200"/>
        <w:outlineLvl w:val="0"/>
        <w:rPr>
          <w:rFonts w:hint="eastAsia" w:ascii="黑体" w:hAnsi="黑体" w:eastAsia="黑体" w:cs="黑体"/>
          <w:sz w:val="32"/>
          <w:szCs w:val="32"/>
        </w:rPr>
      </w:pPr>
      <w:bookmarkStart w:id="9" w:name="_Toc22643"/>
      <w:r>
        <w:rPr>
          <w:rFonts w:hint="eastAsia" w:ascii="黑体" w:hAnsi="黑体" w:eastAsia="黑体" w:cs="黑体"/>
          <w:sz w:val="32"/>
          <w:szCs w:val="32"/>
        </w:rPr>
        <w:t>五、一般公共预算当年拨款情况说明</w:t>
      </w:r>
      <w:bookmarkEnd w:id="9"/>
    </w:p>
    <w:p w14:paraId="132229C5">
      <w:pPr>
        <w:spacing w:line="576" w:lineRule="exact"/>
        <w:ind w:firstLine="640" w:firstLineChars="200"/>
        <w:outlineLvl w:val="1"/>
        <w:rPr>
          <w:rFonts w:hint="eastAsia" w:ascii="楷体_GB2312" w:hAnsi="楷体_GB2312" w:eastAsia="楷体_GB2312" w:cs="楷体_GB2312"/>
          <w:sz w:val="32"/>
          <w:szCs w:val="32"/>
        </w:rPr>
      </w:pPr>
      <w:bookmarkStart w:id="10" w:name="_Toc27319"/>
      <w:r>
        <w:rPr>
          <w:rFonts w:hint="eastAsia" w:ascii="楷体_GB2312" w:hAnsi="楷体_GB2312" w:eastAsia="楷体_GB2312" w:cs="楷体_GB2312"/>
          <w:sz w:val="32"/>
          <w:szCs w:val="32"/>
        </w:rPr>
        <w:t>（一）一般公共预算当年拨款规模变化情况</w:t>
      </w:r>
      <w:bookmarkEnd w:id="10"/>
    </w:p>
    <w:p w14:paraId="367865FC">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虎跳中学2025年一般公共预算当年拨款743.86万元，比2024年预算数增加9.1万元，主要原因是基本支出增加。</w:t>
      </w:r>
    </w:p>
    <w:p w14:paraId="73D632FE">
      <w:pPr>
        <w:spacing w:line="576" w:lineRule="exact"/>
        <w:ind w:firstLine="640" w:firstLineChars="200"/>
        <w:outlineLvl w:val="1"/>
        <w:rPr>
          <w:rFonts w:hint="eastAsia" w:ascii="楷体_GB2312" w:hAnsi="楷体_GB2312" w:eastAsia="楷体_GB2312" w:cs="楷体_GB2312"/>
          <w:sz w:val="32"/>
          <w:szCs w:val="32"/>
        </w:rPr>
      </w:pPr>
      <w:bookmarkStart w:id="11" w:name="_Toc29656"/>
      <w:r>
        <w:rPr>
          <w:rFonts w:hint="eastAsia" w:ascii="楷体_GB2312" w:hAnsi="楷体_GB2312" w:eastAsia="楷体_GB2312" w:cs="楷体_GB2312"/>
          <w:sz w:val="32"/>
          <w:szCs w:val="32"/>
        </w:rPr>
        <w:t>（二）一般公共预算当年拨款结构情况</w:t>
      </w:r>
      <w:bookmarkEnd w:id="11"/>
    </w:p>
    <w:p w14:paraId="276F0826">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教育支出743.86万元，占100%。</w:t>
      </w:r>
      <w:r>
        <w:rPr>
          <w:rFonts w:ascii="仿宋_GB2312" w:hAnsi="仿宋_GB2312" w:eastAsia="仿宋_GB2312" w:cs="仿宋_GB2312"/>
          <w:sz w:val="32"/>
          <w:szCs w:val="32"/>
        </w:rPr>
        <w:t xml:space="preserve"> </w:t>
      </w:r>
    </w:p>
    <w:p w14:paraId="1F288F03">
      <w:pPr>
        <w:spacing w:line="576" w:lineRule="exact"/>
        <w:ind w:firstLine="640" w:firstLineChars="200"/>
        <w:outlineLvl w:val="1"/>
        <w:rPr>
          <w:rFonts w:hint="eastAsia" w:ascii="楷体_GB2312" w:hAnsi="楷体_GB2312" w:eastAsia="楷体_GB2312" w:cs="楷体_GB2312"/>
          <w:sz w:val="32"/>
          <w:szCs w:val="32"/>
        </w:rPr>
      </w:pPr>
      <w:bookmarkStart w:id="12" w:name="_Toc15962"/>
      <w:r>
        <w:rPr>
          <w:rFonts w:hint="eastAsia" w:ascii="楷体_GB2312" w:hAnsi="楷体_GB2312" w:eastAsia="楷体_GB2312" w:cs="楷体_GB2312"/>
          <w:sz w:val="32"/>
          <w:szCs w:val="32"/>
        </w:rPr>
        <w:t>（三）一般公共预算当年拨款具体使用情况</w:t>
      </w:r>
      <w:bookmarkEnd w:id="12"/>
    </w:p>
    <w:p w14:paraId="60AB8578">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教育支出（类）普通教育（款）初中教育（项）2025年预算数为</w:t>
      </w:r>
      <w:r>
        <w:rPr>
          <w:rFonts w:hint="eastAsia" w:ascii="仿宋_GB2312" w:hAnsi="仿宋_GB2312" w:eastAsia="仿宋_GB2312" w:cs="仿宋_GB2312"/>
          <w:sz w:val="32"/>
          <w:szCs w:val="32"/>
        </w:rPr>
        <w:t>743.86</w:t>
      </w:r>
      <w:r>
        <w:rPr>
          <w:rFonts w:ascii="仿宋_GB2312" w:hAnsi="仿宋_GB2312" w:eastAsia="仿宋_GB2312" w:cs="仿宋_GB2312"/>
          <w:sz w:val="32"/>
          <w:szCs w:val="32"/>
        </w:rPr>
        <w:t>万元，主要用于：初中教育机构的基本支出，包括基本工资、津贴补贴、基础绩效奖等人员经费以及机构运行所需的办公费、印刷费、维修（护）费、工会经费等运行补助经费。</w:t>
      </w:r>
    </w:p>
    <w:p w14:paraId="1AD671AF">
      <w:pPr>
        <w:spacing w:line="576" w:lineRule="exact"/>
        <w:ind w:firstLine="640" w:firstLineChars="200"/>
        <w:outlineLvl w:val="0"/>
        <w:rPr>
          <w:rFonts w:hint="eastAsia" w:ascii="黑体" w:hAnsi="黑体" w:eastAsia="黑体" w:cs="黑体"/>
          <w:sz w:val="32"/>
          <w:szCs w:val="32"/>
        </w:rPr>
      </w:pPr>
      <w:bookmarkStart w:id="13" w:name="_Toc31761"/>
      <w:r>
        <w:rPr>
          <w:rFonts w:hint="eastAsia" w:ascii="黑体" w:hAnsi="黑体" w:eastAsia="黑体" w:cs="黑体"/>
          <w:sz w:val="32"/>
          <w:szCs w:val="32"/>
        </w:rPr>
        <w:t>六、一般公共预算基本支出情况说明</w:t>
      </w:r>
      <w:bookmarkEnd w:id="13"/>
    </w:p>
    <w:p w14:paraId="335EF98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虎跳中学2025年一般公共预算基本支出743.86万元，其中：</w:t>
      </w:r>
    </w:p>
    <w:p w14:paraId="5DC86E90">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人员经费697.78万元，主要包括：基本工资、绩效工资、津贴补贴、奖金、社会保险缴费、住房公积金等支出。</w:t>
      </w:r>
    </w:p>
    <w:p w14:paraId="03C0068D">
      <w:pPr>
        <w:spacing w:line="576" w:lineRule="exact"/>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公用经费0万元。</w:t>
      </w:r>
    </w:p>
    <w:p w14:paraId="2CE105E0">
      <w:pPr>
        <w:spacing w:line="576" w:lineRule="exact"/>
        <w:ind w:firstLine="640" w:firstLineChars="200"/>
        <w:outlineLvl w:val="0"/>
        <w:rPr>
          <w:rFonts w:hint="eastAsia" w:ascii="黑体" w:hAnsi="黑体" w:eastAsia="黑体" w:cs="黑体"/>
          <w:sz w:val="32"/>
          <w:szCs w:val="32"/>
        </w:rPr>
      </w:pPr>
      <w:bookmarkStart w:id="14" w:name="_Toc15977"/>
      <w:r>
        <w:rPr>
          <w:rFonts w:hint="eastAsia" w:ascii="黑体" w:hAnsi="黑体" w:eastAsia="黑体" w:cs="黑体"/>
          <w:sz w:val="32"/>
          <w:szCs w:val="32"/>
        </w:rPr>
        <w:t>七、“三公”经费财政拨款预算安排情况说明</w:t>
      </w:r>
      <w:bookmarkEnd w:id="14"/>
    </w:p>
    <w:p w14:paraId="762019D1">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虎跳中学2025年“三公”经费财政拨款预算数</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0万元，其中：公务接待费0万元，公务用车购置及运行维护费0万元，因公出国（境）经费0万元。</w:t>
      </w:r>
    </w:p>
    <w:p w14:paraId="0090FC9D">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（一）公务接待费</w:t>
      </w:r>
    </w:p>
    <w:p w14:paraId="1941B74F">
      <w:pPr>
        <w:spacing w:line="576" w:lineRule="exact"/>
        <w:ind w:firstLine="640" w:firstLineChars="200"/>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公务接待费与2024年预算相比持平</w:t>
      </w:r>
      <w:r>
        <w:rPr>
          <w:rFonts w:hint="eastAsia" w:ascii="楷体_GB2312" w:hAnsi="楷体_GB2312" w:eastAsia="楷体_GB2312" w:cs="楷体_GB2312"/>
          <w:sz w:val="32"/>
          <w:szCs w:val="32"/>
        </w:rPr>
        <w:t>。</w:t>
      </w:r>
    </w:p>
    <w:p w14:paraId="7A2D42E0">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公务用车购置及运行维护费与2024年预算持平。</w:t>
      </w:r>
    </w:p>
    <w:p w14:paraId="4A21874B">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单位现有公务用车0辆。</w:t>
      </w:r>
    </w:p>
    <w:p w14:paraId="49C32D28">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2025年未安排公务用车购置费。</w:t>
      </w:r>
    </w:p>
    <w:p w14:paraId="1D80220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2025年安排公务用车运行维护费0万元。</w:t>
      </w:r>
    </w:p>
    <w:p w14:paraId="3BE5CEA1">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rPr>
        <w:t>）因公出国（境）经费</w:t>
      </w:r>
    </w:p>
    <w:p w14:paraId="48EF2ADC">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因公出国（境）经费与2024年预算相比持平。</w:t>
      </w:r>
    </w:p>
    <w:p w14:paraId="7238609D">
      <w:pPr>
        <w:spacing w:line="576" w:lineRule="exact"/>
        <w:ind w:firstLine="640" w:firstLineChars="200"/>
        <w:outlineLvl w:val="0"/>
        <w:rPr>
          <w:rFonts w:hint="eastAsia" w:ascii="黑体" w:hAnsi="黑体" w:eastAsia="黑体" w:cs="黑体"/>
          <w:sz w:val="32"/>
          <w:szCs w:val="32"/>
        </w:rPr>
      </w:pPr>
      <w:bookmarkStart w:id="15" w:name="_Toc19285"/>
      <w:r>
        <w:rPr>
          <w:rFonts w:hint="eastAsia" w:ascii="黑体" w:hAnsi="黑体" w:eastAsia="黑体" w:cs="黑体"/>
          <w:sz w:val="32"/>
          <w:szCs w:val="32"/>
        </w:rPr>
        <w:t>八、政府性基金预算支出情况说明</w:t>
      </w:r>
      <w:bookmarkEnd w:id="15"/>
    </w:p>
    <w:p w14:paraId="132B63DE">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虎跳中学2025年无政府性基金预算拨款安排的支出。</w:t>
      </w:r>
    </w:p>
    <w:p w14:paraId="26BC36DF">
      <w:pPr>
        <w:spacing w:line="576" w:lineRule="exact"/>
        <w:ind w:firstLine="640" w:firstLineChars="200"/>
        <w:outlineLvl w:val="0"/>
        <w:rPr>
          <w:rFonts w:hint="eastAsia" w:ascii="黑体" w:hAnsi="黑体" w:eastAsia="黑体" w:cs="黑体"/>
          <w:sz w:val="32"/>
          <w:szCs w:val="32"/>
        </w:rPr>
      </w:pPr>
      <w:bookmarkStart w:id="16" w:name="_Toc5478"/>
      <w:r>
        <w:rPr>
          <w:rFonts w:hint="eastAsia" w:ascii="黑体" w:hAnsi="黑体" w:eastAsia="黑体" w:cs="黑体"/>
          <w:sz w:val="32"/>
          <w:szCs w:val="32"/>
        </w:rPr>
        <w:t>九、国有资本经营预算支出情况说明</w:t>
      </w:r>
      <w:bookmarkEnd w:id="16"/>
    </w:p>
    <w:p w14:paraId="181374E7">
      <w:pPr>
        <w:spacing w:line="576" w:lineRule="exact"/>
        <w:ind w:firstLine="640" w:firstLineChars="200"/>
        <w:rPr>
          <w:rFonts w:ascii="仿宋_GB2312" w:hAnsi="仿宋_GB2312" w:eastAsia="仿宋_GB2312" w:cs="仿宋_GB2312"/>
          <w:sz w:val="32"/>
          <w:szCs w:val="32"/>
        </w:rPr>
      </w:pPr>
      <w:bookmarkStart w:id="17" w:name="_Hlk190421438"/>
      <w:r>
        <w:rPr>
          <w:rFonts w:hint="eastAsia" w:ascii="仿宋_GB2312" w:hAnsi="仿宋_GB2312" w:eastAsia="仿宋_GB2312" w:cs="仿宋_GB2312"/>
          <w:sz w:val="32"/>
          <w:szCs w:val="32"/>
        </w:rPr>
        <w:t>虎跳中学</w:t>
      </w:r>
      <w:bookmarkEnd w:id="17"/>
      <w:r>
        <w:rPr>
          <w:rFonts w:hint="eastAsia" w:ascii="仿宋_GB2312" w:hAnsi="仿宋_GB2312" w:eastAsia="仿宋_GB2312" w:cs="仿宋_GB2312"/>
          <w:sz w:val="32"/>
          <w:szCs w:val="32"/>
        </w:rPr>
        <w:t>2025年无国有资本经营预算拨款安排的支出。</w:t>
      </w:r>
    </w:p>
    <w:p w14:paraId="0E6D47A0">
      <w:pPr>
        <w:spacing w:line="576" w:lineRule="exact"/>
        <w:ind w:firstLine="640" w:firstLineChars="200"/>
        <w:outlineLvl w:val="0"/>
        <w:rPr>
          <w:rFonts w:hint="eastAsia" w:ascii="黑体" w:hAnsi="黑体" w:eastAsia="黑体" w:cs="黑体"/>
          <w:sz w:val="32"/>
          <w:szCs w:val="32"/>
        </w:rPr>
      </w:pPr>
      <w:bookmarkStart w:id="18" w:name="_Toc24227"/>
      <w:r>
        <w:rPr>
          <w:rFonts w:hint="eastAsia" w:ascii="黑体" w:hAnsi="黑体" w:eastAsia="黑体" w:cs="黑体"/>
          <w:sz w:val="32"/>
          <w:szCs w:val="32"/>
        </w:rPr>
        <w:t>十、其他重要事项的情况说明</w:t>
      </w:r>
      <w:bookmarkEnd w:id="18"/>
    </w:p>
    <w:p w14:paraId="5EDB291E">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14:paraId="12283B37">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2025年，本单位属公益二类事业单位</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无机关运行经费。</w:t>
      </w:r>
    </w:p>
    <w:p w14:paraId="1B5169B9">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14:paraId="33D39381">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2025年，虎跳中学安排政府采购预算0万元，其中：政府采购货物预算0万元、政府采购工程预算0万元、政府采购服务预算0万元。</w:t>
      </w:r>
    </w:p>
    <w:p w14:paraId="3AEEBF75">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14:paraId="51546E1D">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截至2024年底，虎跳中学共有车辆0辆，其中，领导干部用车0辆、定向保障用车0辆、执法执勤用车0辆。单位无价值200万元以上大型设备XX台（套）（或单位无价值200万元以上的大型设备）。</w:t>
      </w:r>
    </w:p>
    <w:p w14:paraId="5E3BD65A">
      <w:pPr>
        <w:spacing w:line="576"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2025年部门预算未安排购置车辆及单位价值200万元以上大型设备。</w:t>
      </w:r>
    </w:p>
    <w:p w14:paraId="0F32922B">
      <w:pPr>
        <w:spacing w:line="576" w:lineRule="exact"/>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14:paraId="7EDD29A9">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2025年虎跳中学开展绩效目标管理的项目23个，涉及预算XX万元。其中：人员类项目19个，涉及预算688.68万元；运转类项目4个，涉及预算46.08万元；特定目标类项目0个，涉及预算0万元。因部分项目内容涉密，不予公开。</w:t>
      </w:r>
    </w:p>
    <w:p w14:paraId="26B06F20">
      <w:pPr>
        <w:spacing w:line="576" w:lineRule="exact"/>
        <w:ind w:firstLine="640" w:firstLineChars="200"/>
        <w:outlineLvl w:val="0"/>
        <w:rPr>
          <w:rFonts w:hint="eastAsia" w:ascii="黑体" w:hAnsi="黑体" w:eastAsia="黑体" w:cs="黑体"/>
          <w:sz w:val="32"/>
          <w:szCs w:val="32"/>
        </w:rPr>
      </w:pPr>
      <w:bookmarkStart w:id="19" w:name="_Toc24271"/>
      <w:r>
        <w:rPr>
          <w:rFonts w:hint="eastAsia" w:ascii="黑体" w:hAnsi="黑体" w:eastAsia="黑体" w:cs="黑体"/>
          <w:sz w:val="32"/>
          <w:szCs w:val="32"/>
        </w:rPr>
        <w:t>十一、名词解释</w:t>
      </w:r>
      <w:bookmarkEnd w:id="19"/>
    </w:p>
    <w:p w14:paraId="1518BE06">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hint="eastAsia" w:ascii="仿宋_GB2312" w:hAnsi="仿宋_GB2312" w:eastAsia="仿宋_GB2312" w:cs="仿宋_GB2312"/>
          <w:sz w:val="32"/>
          <w:szCs w:val="32"/>
        </w:rPr>
        <w:t>指</w:t>
      </w:r>
      <w:r>
        <w:rPr>
          <w:rFonts w:hint="eastAsia" w:ascii="仿宋_GB2312" w:hAnsi="仿宋_GB2312" w:eastAsia="仿宋_GB2312" w:cs="仿宋_GB2312"/>
          <w:sz w:val="32"/>
          <w:szCs w:val="32"/>
          <w:lang w:eastAsia="zh-CN"/>
        </w:rPr>
        <w:t>区级</w:t>
      </w:r>
      <w:r>
        <w:rPr>
          <w:rFonts w:hint="eastAsia" w:ascii="仿宋_GB2312" w:hAnsi="仿宋_GB2312" w:eastAsia="仿宋_GB2312" w:cs="仿宋_GB2312"/>
          <w:sz w:val="32"/>
          <w:szCs w:val="32"/>
        </w:rPr>
        <w:t>财政当年安排的财政预算收入。按现行管理制度，部门预算中反映的财政拨款包括一般公共预算拨款和政府性基金预算拨款。</w:t>
      </w:r>
    </w:p>
    <w:p w14:paraId="017E1204">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（二）其他收入：</w:t>
      </w:r>
      <w:r>
        <w:rPr>
          <w:rFonts w:hint="eastAsia" w:ascii="仿宋_GB2312" w:hAnsi="仿宋_GB2312" w:eastAsia="仿宋_GB2312" w:cs="仿宋_GB2312"/>
          <w:sz w:val="32"/>
          <w:szCs w:val="32"/>
        </w:rPr>
        <w:t>指除上述“一般公共预算拨款收入和事业收入”等以外的收入。如银行存款利息收入、社会考试服务收入、校企合作收入、课时收入等。</w:t>
      </w:r>
    </w:p>
    <w:p w14:paraId="1842B095">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（三）上年结转：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四</w:t>
      </w:r>
      <w:r>
        <w:rPr>
          <w:rFonts w:ascii="仿宋_GB2312" w:hAnsi="仿宋_GB2312" w:eastAsia="仿宋_GB2312" w:cs="仿宋_GB2312"/>
          <w:b/>
          <w:bCs/>
          <w:sz w:val="32"/>
          <w:szCs w:val="32"/>
        </w:rPr>
        <w:t>）教育支出（类）普通教育（款）初中教育（项）：</w:t>
      </w:r>
      <w:r>
        <w:rPr>
          <w:rFonts w:ascii="仿宋_GB2312" w:hAnsi="仿宋_GB2312" w:eastAsia="仿宋_GB2312" w:cs="仿宋_GB2312"/>
          <w:sz w:val="32"/>
          <w:szCs w:val="32"/>
        </w:rPr>
        <w:t>指全区初中教育发展的基本支出，包括基本工资、津贴补贴等人员经费以及办公费、印刷费、水电费等日常公用经费。</w:t>
      </w:r>
    </w:p>
    <w:p w14:paraId="66D25DA1">
      <w:pPr>
        <w:spacing w:line="576" w:lineRule="exact"/>
        <w:ind w:firstLine="643" w:firstLineChars="200"/>
        <w:rPr>
          <w:rFonts w:hint="eastAsia" w:ascii="仿宋_GB2312" w:hAnsi="仿宋_GB2312" w:eastAsia="仿宋_GB2312" w:cs="仿宋_GB2312"/>
          <w:sz w:val="32"/>
          <w:szCs w:val="32"/>
        </w:rPr>
      </w:pP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五</w:t>
      </w:r>
      <w:r>
        <w:rPr>
          <w:rFonts w:ascii="仿宋_GB2312" w:hAnsi="仿宋_GB2312" w:eastAsia="仿宋_GB2312" w:cs="仿宋_GB2312"/>
          <w:b/>
          <w:bCs/>
          <w:sz w:val="32"/>
          <w:szCs w:val="32"/>
        </w:rPr>
        <w:t>）社会保障和就业（类）行政事业单位养老支出（款）机关事业单位基本养老保险缴费支出（项）：</w:t>
      </w:r>
      <w:r>
        <w:rPr>
          <w:rFonts w:ascii="仿宋_GB2312" w:hAnsi="仿宋_GB2312" w:eastAsia="仿宋_GB2312" w:cs="仿宋_GB2312"/>
          <w:sz w:val="32"/>
          <w:szCs w:val="32"/>
        </w:rPr>
        <w:t>指部门实施养老保险制度由单位缴纳的养老保险</w:t>
      </w:r>
      <w:r>
        <w:rPr>
          <w:rFonts w:hint="eastAsia" w:ascii="仿宋_GB2312" w:hAnsi="仿宋_GB2312" w:eastAsia="仿宋_GB2312" w:cs="仿宋_GB2312"/>
          <w:sz w:val="32"/>
          <w:szCs w:val="32"/>
          <w:lang w:val="en-US" w:eastAsia="zh-CN"/>
        </w:rPr>
        <w:t>费</w:t>
      </w:r>
      <w:r>
        <w:rPr>
          <w:rFonts w:ascii="仿宋_GB2312" w:hAnsi="仿宋_GB2312" w:eastAsia="仿宋_GB2312" w:cs="仿宋_GB2312"/>
          <w:sz w:val="32"/>
          <w:szCs w:val="32"/>
        </w:rPr>
        <w:t>的支出。</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rPr>
        <w:t>六</w:t>
      </w:r>
      <w:r>
        <w:rPr>
          <w:rFonts w:ascii="仿宋_GB2312" w:hAnsi="仿宋_GB2312" w:eastAsia="仿宋_GB2312" w:cs="仿宋_GB2312"/>
          <w:b/>
          <w:bCs/>
          <w:sz w:val="32"/>
          <w:szCs w:val="32"/>
        </w:rPr>
        <w:t>）社会保障和就业（类）行政事业单位养老支出（款）机关事业单位职业年金缴费支出（项）：</w:t>
      </w:r>
      <w:r>
        <w:rPr>
          <w:rFonts w:ascii="仿宋_GB2312" w:hAnsi="仿宋_GB2312" w:eastAsia="仿宋_GB2312" w:cs="仿宋_GB2312"/>
          <w:sz w:val="32"/>
          <w:szCs w:val="32"/>
        </w:rPr>
        <w:t>指部门实施养老保险制度由单位缴纳的职业年金的支出。</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七</w:t>
      </w:r>
      <w:r>
        <w:rPr>
          <w:rFonts w:ascii="仿宋_GB2312" w:hAnsi="仿宋_GB2312" w:eastAsia="仿宋_GB2312" w:cs="仿宋_GB2312"/>
          <w:b/>
          <w:bCs/>
          <w:sz w:val="32"/>
          <w:szCs w:val="32"/>
        </w:rPr>
        <w:t>）卫生健康（类）行政事业单位医疗（款）事业单位医疗（项）：</w:t>
      </w:r>
      <w:r>
        <w:rPr>
          <w:rFonts w:ascii="仿宋_GB2312" w:hAnsi="仿宋_GB2312" w:eastAsia="仿宋_GB2312" w:cs="仿宋_GB2312"/>
          <w:sz w:val="32"/>
          <w:szCs w:val="32"/>
        </w:rPr>
        <w:t>指事业单位用于单位应缴纳基本医疗保险支出。</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八</w:t>
      </w:r>
      <w:r>
        <w:rPr>
          <w:rFonts w:ascii="仿宋_GB2312" w:hAnsi="仿宋_GB2312" w:eastAsia="仿宋_GB2312" w:cs="仿宋_GB2312"/>
          <w:b/>
          <w:bCs/>
          <w:sz w:val="32"/>
          <w:szCs w:val="32"/>
        </w:rPr>
        <w:t>）住房保障（类）住房改革支出（款）住房公积金（项）：</w:t>
      </w:r>
      <w:r>
        <w:rPr>
          <w:rFonts w:ascii="仿宋_GB2312" w:hAnsi="仿宋_GB2312" w:eastAsia="仿宋_GB2312" w:cs="仿宋_GB2312"/>
          <w:sz w:val="32"/>
          <w:szCs w:val="32"/>
        </w:rPr>
        <w:t>指按照《住房公积金管理条例》的规定，由单位及其在职职工缴存的长期住房储金。</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ascii="仿宋_GB2312" w:hAnsi="仿宋_GB2312" w:eastAsia="仿宋_GB2312" w:cs="仿宋_GB2312"/>
          <w:b/>
          <w:bCs/>
          <w:sz w:val="32"/>
          <w:szCs w:val="32"/>
        </w:rPr>
        <w:t>（</w:t>
      </w:r>
      <w:r>
        <w:rPr>
          <w:rFonts w:hint="eastAsia" w:ascii="仿宋_GB2312" w:hAnsi="仿宋_GB2312" w:eastAsia="仿宋_GB2312" w:cs="仿宋_GB2312"/>
          <w:b/>
          <w:bCs/>
          <w:sz w:val="32"/>
          <w:szCs w:val="32"/>
          <w:lang w:val="en-US" w:eastAsia="zh-CN"/>
        </w:rPr>
        <w:t>九</w:t>
      </w:r>
      <w:r>
        <w:rPr>
          <w:rFonts w:ascii="仿宋_GB2312" w:hAnsi="仿宋_GB2312" w:eastAsia="仿宋_GB2312" w:cs="仿宋_GB2312"/>
          <w:b/>
          <w:bCs/>
          <w:sz w:val="32"/>
          <w:szCs w:val="32"/>
        </w:rPr>
        <w:t>）基本支出：</w:t>
      </w:r>
      <w:r>
        <w:rPr>
          <w:rFonts w:ascii="仿宋_GB2312" w:hAnsi="仿宋_GB2312" w:eastAsia="仿宋_GB2312" w:cs="仿宋_GB2312"/>
          <w:sz w:val="32"/>
          <w:szCs w:val="32"/>
        </w:rPr>
        <w:t>指为保证机构正常运转，完成日常工作任务而发生的人员支出和公用支出。</w:t>
      </w:r>
      <w:r>
        <w:rPr>
          <w:rFonts w:ascii="仿宋_GB2312" w:hAnsi="仿宋_GB2312" w:eastAsia="仿宋_GB2312" w:cs="仿宋_GB2312"/>
          <w:sz w:val="32"/>
          <w:szCs w:val="32"/>
        </w:rPr>
        <w:br w:type="textWrapping"/>
      </w:r>
      <w:r>
        <w:rPr>
          <w:rFonts w:ascii="仿宋_GB2312" w:hAnsi="仿宋_GB2312" w:eastAsia="仿宋_GB2312" w:cs="仿宋_GB2312"/>
          <w:sz w:val="32"/>
          <w:szCs w:val="32"/>
        </w:rPr>
        <w:t>　　</w:t>
      </w:r>
      <w:r>
        <w:rPr>
          <w:rFonts w:ascii="仿宋_GB2312" w:hAnsi="仿宋_GB2312" w:eastAsia="仿宋_GB2312" w:cs="仿宋_GB2312"/>
          <w:b/>
          <w:bCs/>
          <w:sz w:val="32"/>
          <w:szCs w:val="32"/>
        </w:rPr>
        <w:t>（十）项目支出：</w:t>
      </w:r>
      <w:r>
        <w:rPr>
          <w:rFonts w:ascii="仿宋_GB2312" w:hAnsi="仿宋_GB2312" w:eastAsia="仿宋_GB2312" w:cs="仿宋_GB2312"/>
          <w:sz w:val="32"/>
          <w:szCs w:val="32"/>
        </w:rPr>
        <w:t>指在基本支出之外为完成特定行政任务和事业发展目标所发生的支出。</w:t>
      </w:r>
      <w:r>
        <w:rPr>
          <w:rFonts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w:t>
      </w:r>
      <w:r>
        <w:rPr>
          <w:rFonts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en-US" w:eastAsia="zh-CN"/>
        </w:rPr>
        <w:t>一</w:t>
      </w:r>
      <w:r>
        <w:rPr>
          <w:rFonts w:ascii="仿宋_GB2312" w:hAnsi="仿宋_GB2312" w:eastAsia="仿宋_GB2312" w:cs="仿宋_GB2312"/>
          <w:b/>
          <w:bCs/>
          <w:sz w:val="32"/>
          <w:szCs w:val="32"/>
        </w:rPr>
        <w:t>）“三公”经费：</w:t>
      </w:r>
      <w:r>
        <w:rPr>
          <w:rFonts w:ascii="仿宋_GB2312" w:hAnsi="仿宋_GB2312" w:eastAsia="仿宋_GB2312" w:cs="仿宋_GB2312"/>
          <w:sz w:val="32"/>
          <w:szCs w:val="32"/>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w:t>
      </w:r>
      <w:r>
        <w:rPr>
          <w:rFonts w:hint="eastAsia" w:ascii="仿宋_GB2312" w:hAnsi="仿宋_GB2312" w:eastAsia="仿宋_GB2312" w:cs="仿宋_GB2312"/>
          <w:sz w:val="32"/>
          <w:szCs w:val="32"/>
          <w:lang w:eastAsia="zh-CN"/>
        </w:rPr>
        <w:t>费</w:t>
      </w:r>
      <w:bookmarkStart w:id="24" w:name="_GoBack"/>
      <w:bookmarkEnd w:id="24"/>
      <w:r>
        <w:rPr>
          <w:rFonts w:ascii="仿宋_GB2312" w:hAnsi="仿宋_GB2312" w:eastAsia="仿宋_GB2312" w:cs="仿宋_GB2312"/>
          <w:sz w:val="32"/>
          <w:szCs w:val="32"/>
        </w:rPr>
        <w:t>（含外宾接待）支出。</w:t>
      </w:r>
    </w:p>
    <w:p w14:paraId="1AF47FD1">
      <w:pPr>
        <w:spacing w:line="576" w:lineRule="exact"/>
        <w:ind w:firstLine="640" w:firstLineChars="200"/>
        <w:outlineLvl w:val="0"/>
        <w:rPr>
          <w:rFonts w:ascii="仿宋_GB2312" w:hAnsi="仿宋_GB2312" w:eastAsia="仿宋_GB2312" w:cs="仿宋_GB2312"/>
          <w:sz w:val="32"/>
          <w:szCs w:val="32"/>
        </w:rPr>
      </w:pPr>
      <w:bookmarkStart w:id="20" w:name="_Toc5135"/>
      <w:bookmarkStart w:id="21" w:name="_Toc10943"/>
      <w:r>
        <w:rPr>
          <w:rFonts w:hint="eastAsia" w:ascii="仿宋_GB2312" w:hAnsi="仿宋_GB2312" w:eastAsia="仿宋_GB2312" w:cs="仿宋_GB2312"/>
          <w:sz w:val="32"/>
          <w:szCs w:val="32"/>
        </w:rPr>
        <w:t>附件：1. 单位预算公开表</w:t>
      </w:r>
      <w:bookmarkEnd w:id="20"/>
      <w:bookmarkEnd w:id="21"/>
    </w:p>
    <w:p w14:paraId="13DDFED5">
      <w:pPr>
        <w:numPr>
          <w:ilvl w:val="0"/>
          <w:numId w:val="1"/>
        </w:numPr>
        <w:spacing w:line="576" w:lineRule="exact"/>
        <w:outlineLvl w:val="0"/>
        <w:rPr>
          <w:rFonts w:hint="eastAsia" w:ascii="仿宋_GB2312" w:hAnsi="仿宋_GB2312" w:eastAsia="仿宋_GB2312" w:cs="仿宋_GB2312"/>
          <w:sz w:val="32"/>
          <w:szCs w:val="32"/>
        </w:rPr>
      </w:pPr>
      <w:bookmarkStart w:id="22" w:name="_Toc24702"/>
      <w:bookmarkStart w:id="23" w:name="_Toc14000"/>
      <w:r>
        <w:rPr>
          <w:rFonts w:hint="eastAsia" w:ascii="仿宋_GB2312" w:hAnsi="仿宋_GB2312" w:eastAsia="仿宋_GB2312" w:cs="仿宋_GB2312"/>
          <w:sz w:val="32"/>
          <w:szCs w:val="32"/>
        </w:rPr>
        <w:t>单位预算项目绩效目标表</w:t>
      </w:r>
      <w:bookmarkEnd w:id="22"/>
      <w:bookmarkEnd w:id="23"/>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0000000000000000000"/>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0000000000000000000"/>
    <w:charset w:val="86"/>
    <w:family w:val="auto"/>
    <w:pitch w:val="default"/>
    <w:sig w:usb0="00000000" w:usb1="00000000" w:usb2="00000016" w:usb3="00000000" w:csb0="602E0107" w:csb1="00000000"/>
  </w:font>
  <w:font w:name="Cambria">
    <w:panose1 w:val="02040503050406030204"/>
    <w:charset w:val="00"/>
    <w:family w:val="auto"/>
    <w:pitch w:val="default"/>
    <w:sig w:usb0="E00002FF" w:usb1="400004FF" w:usb2="00000000" w:usb3="00000000" w:csb0="2000019F"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21DE8">
    <w:pPr>
      <w:pStyle w:val="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13"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D502F05">
                          <w:pPr>
                            <w:pStyle w:val="6"/>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CerELz/gEAAAAEAAAOAAAAAAAAAAEAIAAAAB8BAABkcnMvZTJvRG9jLnht&#10;bFBLBQYAAAAABgAGAFkBAACPBQAAAAA=&#10;">
              <v:fill on="f" focussize="0,0"/>
              <v:stroke on="f"/>
              <v:imagedata o:title=""/>
              <o:lock v:ext="edit" aspectratio="f"/>
              <v:textbox inset="0mm,0mm,0mm,0mm" style="mso-fit-shape-to-text:t;">
                <w:txbxContent>
                  <w:p w14:paraId="3D502F05">
                    <w:pPr>
                      <w:pStyle w:val="6"/>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4F4747"/>
    <w:multiLevelType w:val="singleLevel"/>
    <w:tmpl w:val="F64F4747"/>
    <w:lvl w:ilvl="0" w:tentative="0">
      <w:start w:val="2"/>
      <w:numFmt w:val="decimal"/>
      <w:lvlText w:val="%1."/>
      <w:lvlJc w:val="left"/>
      <w:pPr>
        <w:tabs>
          <w:tab w:val="left" w:pos="312"/>
        </w:tabs>
        <w:ind w:left="160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1C9736C8"/>
    <w:rsid w:val="4B1027B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character" w:default="1" w:styleId="14">
    <w:name w:val="Default Paragraph Font"/>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uppressLineNumbers/>
      <w:spacing w:before="120" w:after="120"/>
    </w:pPr>
    <w:rPr>
      <w:i/>
      <w:iCs/>
      <w:sz w:val="24"/>
    </w:rPr>
  </w:style>
  <w:style w:type="paragraph" w:styleId="4">
    <w:name w:val="Body Text"/>
    <w:basedOn w:val="1"/>
    <w:qFormat/>
    <w:uiPriority w:val="0"/>
    <w:pPr>
      <w:spacing w:after="140" w:line="276" w:lineRule="auto"/>
    </w:pPr>
  </w:style>
  <w:style w:type="paragraph" w:styleId="5">
    <w:name w:val="toc 3"/>
    <w:basedOn w:val="1"/>
    <w:next w:val="1"/>
    <w:unhideWhenUsed/>
    <w:qFormat/>
    <w:uiPriority w:val="39"/>
    <w:pPr>
      <w:widowControl/>
      <w:suppressAutoHyphens w:val="0"/>
      <w:spacing w:after="100" w:line="259" w:lineRule="auto"/>
      <w:ind w:left="440"/>
      <w:jc w:val="left"/>
    </w:pPr>
    <w:rPr>
      <w:rFonts w:asciiTheme="minorHAnsi" w:hAnsiTheme="minorHAnsi" w:eastAsiaTheme="minorEastAsia"/>
      <w:kern w:val="0"/>
      <w:sz w:val="22"/>
      <w:szCs w:val="2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unhideWhenUsed/>
    <w:qFormat/>
    <w:uiPriority w:val="39"/>
    <w:pPr>
      <w:widowControl/>
      <w:suppressAutoHyphens w:val="0"/>
      <w:spacing w:after="100" w:line="259" w:lineRule="auto"/>
      <w:jc w:val="left"/>
    </w:pPr>
    <w:rPr>
      <w:rFonts w:asciiTheme="minorHAnsi" w:hAnsiTheme="minorHAnsi" w:eastAsiaTheme="minorEastAsia"/>
      <w:kern w:val="0"/>
      <w:sz w:val="22"/>
      <w:szCs w:val="22"/>
    </w:rPr>
  </w:style>
  <w:style w:type="paragraph" w:styleId="9">
    <w:name w:val="List"/>
    <w:basedOn w:val="4"/>
    <w:qFormat/>
    <w:uiPriority w:val="0"/>
  </w:style>
  <w:style w:type="paragraph" w:styleId="10">
    <w:name w:val="toc 2"/>
    <w:basedOn w:val="1"/>
    <w:next w:val="1"/>
    <w:unhideWhenUsed/>
    <w:qFormat/>
    <w:uiPriority w:val="39"/>
    <w:pPr>
      <w:widowControl/>
      <w:suppressAutoHyphens w:val="0"/>
      <w:spacing w:after="100" w:line="259" w:lineRule="auto"/>
      <w:ind w:left="220"/>
      <w:jc w:val="left"/>
    </w:pPr>
    <w:rPr>
      <w:rFonts w:asciiTheme="minorHAnsi" w:hAnsiTheme="minorHAnsi" w:eastAsiaTheme="minorEastAsia"/>
      <w:kern w:val="0"/>
      <w:sz w:val="22"/>
      <w:szCs w:val="22"/>
    </w:rPr>
  </w:style>
  <w:style w:type="paragraph" w:styleId="11">
    <w:name w:val="Normal (Web)"/>
    <w:basedOn w:val="1"/>
    <w:qFormat/>
    <w:uiPriority w:val="0"/>
    <w:rPr>
      <w:sz w:val="24"/>
    </w:r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5">
    <w:name w:val="Comment Text"/>
    <w:basedOn w:val="1"/>
    <w:link w:val="20"/>
    <w:uiPriority w:val="0"/>
    <w:pPr>
      <w:jc w:val="left"/>
    </w:pPr>
  </w:style>
  <w:style w:type="character" w:customStyle="1" w:styleId="16">
    <w:name w:val="Comment Reference"/>
    <w:basedOn w:val="14"/>
    <w:qFormat/>
    <w:uiPriority w:val="0"/>
    <w:rPr>
      <w:sz w:val="21"/>
      <w:szCs w:val="21"/>
    </w:rPr>
  </w:style>
  <w:style w:type="character" w:customStyle="1" w:styleId="17">
    <w:name w:val="默认段落字体1"/>
    <w:qFormat/>
    <w:uiPriority w:val="0"/>
  </w:style>
  <w:style w:type="paragraph" w:customStyle="1" w:styleId="18">
    <w:name w:val="Heading"/>
    <w:basedOn w:val="1"/>
    <w:next w:val="4"/>
    <w:qFormat/>
    <w:uiPriority w:val="0"/>
    <w:pPr>
      <w:keepNext/>
      <w:spacing w:before="240" w:after="120"/>
    </w:pPr>
    <w:rPr>
      <w:rFonts w:ascii="Liberation Sans" w:hAnsi="Liberation Sans" w:eastAsia="Noto Sans CJK SC Regular" w:cs="Noto Sans CJK SC Regular"/>
      <w:sz w:val="28"/>
      <w:szCs w:val="28"/>
    </w:rPr>
  </w:style>
  <w:style w:type="paragraph" w:customStyle="1" w:styleId="19">
    <w:name w:val="Index"/>
    <w:basedOn w:val="1"/>
    <w:qFormat/>
    <w:uiPriority w:val="0"/>
    <w:pPr>
      <w:suppressLineNumbers/>
    </w:pPr>
  </w:style>
  <w:style w:type="character" w:customStyle="1" w:styleId="20">
    <w:name w:val="批注文字 字符"/>
    <w:basedOn w:val="14"/>
    <w:link w:val="15"/>
    <w:uiPriority w:val="0"/>
    <w:rPr>
      <w:rFonts w:ascii="Calibri" w:hAnsi="Calibri"/>
      <w:kern w:val="2"/>
      <w:sz w:val="21"/>
      <w:szCs w:val="24"/>
    </w:rPr>
  </w:style>
  <w:style w:type="character" w:customStyle="1" w:styleId="21">
    <w:name w:val="标题 1 字符"/>
    <w:basedOn w:val="14"/>
    <w:link w:val="2"/>
    <w:qFormat/>
    <w:uiPriority w:val="0"/>
    <w:rPr>
      <w:rFonts w:ascii="Calibri" w:hAnsi="Calibri"/>
      <w:b/>
      <w:bCs/>
      <w:kern w:val="44"/>
      <w:sz w:val="44"/>
      <w:szCs w:val="44"/>
    </w:rPr>
  </w:style>
  <w:style w:type="paragraph" w:customStyle="1" w:styleId="22">
    <w:name w:val="TOC Heading"/>
    <w:basedOn w:val="2"/>
    <w:next w:val="1"/>
    <w:unhideWhenUsed/>
    <w:qFormat/>
    <w:uiPriority w:val="39"/>
    <w:pPr>
      <w:widowControl/>
      <w:suppressAutoHyphens w:val="0"/>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3176</Words>
  <Characters>3383</Characters>
  <Lines>28</Lines>
  <Paragraphs>8</Paragraphs>
  <TotalTime>5</TotalTime>
  <ScaleCrop>false</ScaleCrop>
  <LinksUpToDate>false</LinksUpToDate>
  <CharactersWithSpaces>3463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2025-02-15T05:16:23Z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