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1D47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default"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广元市昭化区太公初级中学</w:t>
      </w:r>
    </w:p>
    <w:p w14:paraId="1F21CDB9">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11A6A274">
      <w:pPr>
        <w:jc w:val="center"/>
        <w:outlineLvl w:val="0"/>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bookmarkStart w:id="0" w:name="_Toc13360"/>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bookmarkEnd w:id="0"/>
    </w:p>
    <w:sdt>
      <w:sdtPr>
        <w:rPr>
          <w:rFonts w:ascii="宋体" w:hAnsi="宋体" w:eastAsia="宋体" w:cs="Times New Roman"/>
          <w:color w:val="auto"/>
          <w:kern w:val="2"/>
          <w:sz w:val="21"/>
          <w:szCs w:val="24"/>
          <w:lang w:val="en-US" w:eastAsia="zh-CN" w:bidi="ar-SA"/>
        </w:rPr>
        <w:id w:val="147467484"/>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14:paraId="62E0AB85">
          <w:pPr>
            <w:spacing w:before="0" w:beforeLines="0" w:after="0" w:afterLines="0" w:line="240" w:lineRule="auto"/>
            <w:ind w:left="0" w:leftChars="0" w:right="0" w:rightChars="0" w:firstLine="0" w:firstLineChars="0"/>
            <w:jc w:val="center"/>
          </w:pPr>
        </w:p>
        <w:p w14:paraId="58BFBCC6">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sz w:val="32"/>
              <w:szCs w:val="32"/>
            </w:rPr>
            <w:fldChar w:fldCharType="begin"/>
          </w:r>
          <w:r>
            <w:rPr>
              <w:sz w:val="32"/>
              <w:szCs w:val="32"/>
            </w:rPr>
            <w:instrText xml:space="preserve">TOC \o "1-2" \h \u</w:instrText>
          </w:r>
          <w:r>
            <w:rPr>
              <w:sz w:val="32"/>
              <w:szCs w:val="32"/>
            </w:rPr>
            <w:fldChar w:fldCharType="separate"/>
          </w:r>
          <w:r>
            <w:fldChar w:fldCharType="begin"/>
          </w:r>
          <w:r>
            <w:instrText xml:space="preserve"> HYPERLINK \l "_Toc16543"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一、基本职能及主要工作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_Toc16543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38D570E">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"_Toc15332"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（一）单位职能简介</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_Toc15332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D9111DF">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"_Toc31116"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（二）2025年重点工作</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_Toc31116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3</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A559837">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"_Toc16027"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二、部门预算单位构成</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_Toc16027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8BE0E6B">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"_Toc4106"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_Toc4106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8</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2A0D606">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"_Toc10714"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（一）收入预算情况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_Toc10714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442A123">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"_Toc8768"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（二）支出预算情况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_Toc8768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57E57B88">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"_Toc22272"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四、财政拨款收支预算情况说明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_Toc22272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36214EC">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"_Toc20638"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五、一般公共预算当年拨款情况说明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_Toc20638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B6A1F66">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"_Toc1818"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（一）一般公共预算当年拨款规模变化情况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_Toc1818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2A316A9A">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"_Toc30931"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（二）一般公共预算当年拨款结构情况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_Toc30931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ED6981E">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"_Toc9871"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（三）一般公共预算当年拨款具体使用情况</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_Toc9871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9</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399682C7">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"_Toc3415"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六、一般公共预算基本支出情况说明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_Toc3415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10</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0FFE7F43">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"_Toc24311"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七、“三公”经费财政拨款预算安排情况说明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_Toc24311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10</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645A9853">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"_Toc23582"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八、政府性基金预算支出情况说明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_Toc23582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11</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9F5EED9">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"_Toc10978"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九、国有资本经营预算支出情况说明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_Toc10978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11</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44EAA9BB">
          <w:pPr>
            <w:pStyle w:val="6"/>
            <w:tabs>
              <w:tab w:val="right" w:leader="dot" w:pos="8845"/>
            </w:tabs>
            <w:rPr>
              <w:sz w:val="32"/>
              <w:szCs w:val="32"/>
            </w:rPr>
          </w:pPr>
          <w:r>
            <w:fldChar w:fldCharType="begin"/>
          </w:r>
          <w:r>
            <w:instrText xml:space="preserve"> HYPERLINK \l "_Toc21901"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十、其他重要事项的情况说明</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_Toc21901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11</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5EAF6C8">
          <w:pPr>
            <w:pStyle w:val="6"/>
            <w:tabs>
              <w:tab w:val="right" w:leader="dot" w:pos="8845"/>
            </w:tabs>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fldChar w:fldCharType="begin"/>
          </w:r>
          <w:r>
            <w:instrText xml:space="preserve"> HYPERLINK \l "_Toc4890" </w:instrText>
          </w:r>
          <w:r>
            <w:fldChar w:fldCharType="separate"/>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十一、名词解释</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tab/>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fldChar w:fldCharType="begin"/>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instrText xml:space="preserve"> PAGEREF _Toc4890 \h </w:instrTex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separate"/>
          </w:r>
          <w:r>
            <w:rPr>
              <w:rFonts w:hint="eastAsia" w:ascii="仿宋_GB2312" w:hAnsi="仿宋_GB2312" w:eastAsia="仿宋_GB2312" w:cs="仿宋_GB2312"/>
              <w:i w:val="0"/>
              <w:caps w:val="0"/>
              <w:color w:val="000000" w:themeColor="text1"/>
              <w:spacing w:val="0"/>
              <w:kern w:val="0"/>
              <w:sz w:val="32"/>
              <w:szCs w:val="32"/>
              <w:highlight w:val="none"/>
              <w:lang w:val="en-US" w:eastAsia="zh-CN"/>
              <w14:textFill>
                <w14:solidFill>
                  <w14:schemeClr w14:val="tx1"/>
                </w14:solidFill>
              </w14:textFill>
            </w:rPr>
            <w:t>12</w:t>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r>
            <w:rPr>
              <w:rFonts w:hint="eastAsia" w:ascii="仿宋_GB2312" w:hAnsi="仿宋_GB2312" w:eastAsia="仿宋_GB2312" w:cs="仿宋_GB2312"/>
              <w:i w:val="0"/>
              <w:caps w:val="0"/>
              <w:color w:val="000000" w:themeColor="text1"/>
              <w:spacing w:val="0"/>
              <w:kern w:val="0"/>
              <w:sz w:val="32"/>
              <w:szCs w:val="32"/>
              <w:highlight w:val="none"/>
              <w:shd w:val="clear" w:color="auto" w:fill="FFFFFF"/>
              <w:lang w:val="en-US" w:eastAsia="zh-CN"/>
              <w14:textFill>
                <w14:solidFill>
                  <w14:schemeClr w14:val="tx1"/>
                </w14:solidFill>
              </w14:textFill>
            </w:rPr>
            <w:fldChar w:fldCharType="end"/>
          </w:r>
        </w:p>
        <w:p w14:paraId="7BD533F8">
          <w:r>
            <w:rPr>
              <w:sz w:val="32"/>
              <w:szCs w:val="32"/>
            </w:rPr>
            <w:fldChar w:fldCharType="end"/>
          </w:r>
        </w:p>
      </w:sdtContent>
    </w:sdt>
    <w:p w14:paraId="450A529B"/>
    <w:p w14:paraId="3E8E9FE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0"/>
        <w:jc w:val="both"/>
        <w:rPr>
          <w:rFonts w:hint="default" w:ascii="宋体" w:hAnsi="宋体" w:eastAsia="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pPr>
      <w:r>
        <w:rPr>
          <w:rFonts w:hint="eastAsia" w:ascii="宋体" w:hAnsi="宋体" w:cs="宋体"/>
          <w:b/>
          <w:i w:val="0"/>
          <w:caps w:val="0"/>
          <w:color w:val="000000" w:themeColor="text1"/>
          <w:spacing w:val="0"/>
          <w:sz w:val="28"/>
          <w:szCs w:val="28"/>
          <w:highlight w:val="none"/>
          <w:shd w:val="clear" w:color="auto" w:fill="FFFFFF"/>
          <w:lang w:val="en-US" w:eastAsia="zh-CN"/>
          <w14:textFill>
            <w14:solidFill>
              <w14:schemeClr w14:val="tx1"/>
            </w14:solidFill>
          </w14:textFill>
        </w:rPr>
        <w:t xml:space="preserve">     </w:t>
      </w:r>
    </w:p>
    <w:p w14:paraId="1543F12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954B6F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A39BC14">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495346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16054B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3525D3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7294BFD">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A9F80F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4D04F751">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016C5EE">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D15F528">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57B940A">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C57F01C">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CBCF40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 w:name="_Toc16543"/>
      <w:r>
        <w:rPr>
          <w:rFonts w:hint="eastAsia" w:ascii="黑体" w:hAnsi="黑体" w:eastAsia="黑体" w:cs="黑体"/>
          <w:sz w:val="32"/>
          <w:szCs w:val="32"/>
          <w:lang w:val="en-US" w:eastAsia="zh-CN"/>
        </w:rPr>
        <w:t>一、基本职能及主要工作</w:t>
      </w:r>
      <w:bookmarkEnd w:id="1"/>
    </w:p>
    <w:p w14:paraId="6DFA80B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 w:name="_Toc15332"/>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2"/>
    </w:p>
    <w:p w14:paraId="1FAA6F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237172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04E638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3255AF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7EC8BF7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381F583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12C49D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782B03F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4363B9E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00488BC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1B63A09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49BF6F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 w:name="_Toc31116"/>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3"/>
    </w:p>
    <w:p w14:paraId="0B365BC1">
      <w:pPr>
        <w:keepNext w:val="0"/>
        <w:keepLines w:val="0"/>
        <w:pageBreakBefore w:val="0"/>
        <w:kinsoku/>
        <w:wordWrap/>
        <w:overflowPunct/>
        <w:topLinePunct w:val="0"/>
        <w:autoSpaceDE/>
        <w:autoSpaceDN/>
        <w:bidi w:val="0"/>
        <w:adjustRightInd/>
        <w:spacing w:line="576" w:lineRule="exact"/>
        <w:ind w:firstLine="960" w:firstLineChars="300"/>
        <w:textAlignment w:val="auto"/>
        <w:outlineLvl w:val="2"/>
        <w:rPr>
          <w:rFonts w:hint="eastAsia" w:ascii="仿宋" w:hAnsi="仿宋" w:eastAsia="仿宋" w:cs="仿宋"/>
          <w:b w:val="0"/>
          <w:bCs w:val="0"/>
          <w:sz w:val="32"/>
          <w:szCs w:val="32"/>
          <w:lang w:eastAsia="zh-CN"/>
        </w:rPr>
      </w:pPr>
      <w:bookmarkStart w:id="4" w:name="_Toc17815"/>
      <w:bookmarkStart w:id="5" w:name="_Toc13446"/>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lang w:eastAsia="zh-CN"/>
        </w:rPr>
        <w:t>党建</w:t>
      </w:r>
      <w:r>
        <w:rPr>
          <w:rFonts w:hint="eastAsia" w:ascii="仿宋" w:hAnsi="仿宋" w:eastAsia="仿宋" w:cs="仿宋"/>
          <w:b w:val="0"/>
          <w:bCs w:val="0"/>
          <w:sz w:val="32"/>
          <w:szCs w:val="32"/>
        </w:rPr>
        <w:t>工作</w:t>
      </w:r>
      <w:bookmarkEnd w:id="4"/>
      <w:bookmarkEnd w:id="5"/>
      <w:r>
        <w:rPr>
          <w:rFonts w:hint="eastAsia" w:ascii="仿宋" w:hAnsi="仿宋" w:eastAsia="仿宋" w:cs="仿宋"/>
          <w:b w:val="0"/>
          <w:bCs w:val="0"/>
          <w:sz w:val="32"/>
          <w:szCs w:val="32"/>
          <w:lang w:eastAsia="zh-CN"/>
        </w:rPr>
        <w:t>。</w:t>
      </w:r>
    </w:p>
    <w:p w14:paraId="108EB9EC">
      <w:pPr>
        <w:keepNext w:val="0"/>
        <w:keepLines w:val="0"/>
        <w:pageBreakBefore w:val="0"/>
        <w:numPr>
          <w:ilvl w:val="0"/>
          <w:numId w:val="0"/>
        </w:numPr>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党建指引方向，支部凝聚力量。落实党组织领导下的校长负责制；深入学习习近平新时代中国特色社会主义思想和总书记治国理政等重要论述；用党的旗帜、党的思想指引前进方向</w:t>
      </w:r>
      <w:r>
        <w:rPr>
          <w:rFonts w:hint="eastAsia" w:ascii="仿宋" w:hAnsi="仿宋" w:eastAsia="仿宋" w:cs="仿宋"/>
          <w:sz w:val="32"/>
          <w:szCs w:val="32"/>
        </w:rPr>
        <w:t>，</w:t>
      </w:r>
      <w:r>
        <w:rPr>
          <w:rFonts w:hint="eastAsia" w:ascii="仿宋" w:hAnsi="仿宋" w:eastAsia="仿宋" w:cs="仿宋"/>
          <w:sz w:val="32"/>
          <w:szCs w:val="32"/>
          <w:lang w:eastAsia="zh-CN"/>
        </w:rPr>
        <w:t>用爱岗敬业夯实学校中心工作，汇聚一切力量为教育教学服务</w:t>
      </w:r>
      <w:r>
        <w:rPr>
          <w:rFonts w:hint="eastAsia" w:ascii="仿宋" w:hAnsi="仿宋" w:eastAsia="仿宋" w:cs="仿宋"/>
          <w:sz w:val="32"/>
          <w:szCs w:val="32"/>
        </w:rPr>
        <w:t>，</w:t>
      </w:r>
      <w:r>
        <w:rPr>
          <w:rFonts w:hint="eastAsia" w:ascii="仿宋" w:hAnsi="仿宋" w:eastAsia="仿宋" w:cs="仿宋"/>
          <w:sz w:val="32"/>
          <w:szCs w:val="32"/>
          <w:lang w:eastAsia="zh-CN"/>
        </w:rPr>
        <w:t>引领学校发展再上新台阶。</w:t>
      </w:r>
    </w:p>
    <w:p w14:paraId="149268CB">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lang w:eastAsia="zh-CN"/>
        </w:rPr>
      </w:pPr>
      <w:bookmarkStart w:id="6" w:name="_Toc6359"/>
      <w:bookmarkStart w:id="7" w:name="_Toc29193"/>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教育教学工作</w:t>
      </w:r>
      <w:bookmarkEnd w:id="6"/>
      <w:bookmarkEnd w:id="7"/>
      <w:r>
        <w:rPr>
          <w:rFonts w:hint="eastAsia" w:ascii="仿宋" w:hAnsi="仿宋" w:eastAsia="仿宋" w:cs="仿宋"/>
          <w:b w:val="0"/>
          <w:bCs w:val="0"/>
          <w:sz w:val="32"/>
          <w:szCs w:val="32"/>
          <w:lang w:eastAsia="zh-CN"/>
        </w:rPr>
        <w:t>。</w:t>
      </w:r>
    </w:p>
    <w:p w14:paraId="4B7DE174">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完善教学管理机制，使之规范化</w:t>
      </w:r>
      <w:r>
        <w:rPr>
          <w:rFonts w:hint="eastAsia" w:ascii="仿宋" w:hAnsi="仿宋" w:eastAsia="仿宋" w:cs="仿宋"/>
          <w:sz w:val="32"/>
          <w:szCs w:val="32"/>
          <w:lang w:eastAsia="zh-CN"/>
        </w:rPr>
        <w:t>、</w:t>
      </w:r>
      <w:r>
        <w:rPr>
          <w:rFonts w:hint="eastAsia" w:ascii="仿宋" w:hAnsi="仿宋" w:eastAsia="仿宋" w:cs="仿宋"/>
          <w:sz w:val="32"/>
          <w:szCs w:val="32"/>
        </w:rPr>
        <w:t>制度化。</w:t>
      </w:r>
    </w:p>
    <w:p w14:paraId="79930D3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&lt;2&gt;</w:t>
      </w:r>
      <w:r>
        <w:rPr>
          <w:rFonts w:hint="eastAsia" w:ascii="仿宋" w:hAnsi="仿宋" w:eastAsia="仿宋" w:cs="仿宋"/>
          <w:sz w:val="32"/>
          <w:szCs w:val="32"/>
        </w:rPr>
        <w:t>加强教学管理，落实教学常规</w:t>
      </w:r>
      <w:r>
        <w:rPr>
          <w:rFonts w:hint="eastAsia" w:ascii="仿宋" w:hAnsi="仿宋" w:eastAsia="仿宋" w:cs="仿宋"/>
          <w:sz w:val="32"/>
          <w:szCs w:val="32"/>
          <w:lang w:eastAsia="zh-CN"/>
        </w:rPr>
        <w:t>。</w:t>
      </w:r>
    </w:p>
    <w:p w14:paraId="0A110A8D">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抓好九年级毕业班工作，确保高质量地完成中考目标。</w:t>
      </w:r>
    </w:p>
    <w:p w14:paraId="081FE5C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&lt;4&gt;</w:t>
      </w:r>
      <w:r>
        <w:rPr>
          <w:rFonts w:hint="eastAsia" w:ascii="仿宋" w:hAnsi="仿宋" w:eastAsia="仿宋" w:cs="仿宋"/>
          <w:sz w:val="32"/>
          <w:szCs w:val="32"/>
        </w:rPr>
        <w:t>加大教学科研力度，促进教学质量提升</w:t>
      </w:r>
      <w:r>
        <w:rPr>
          <w:rFonts w:hint="eastAsia" w:ascii="仿宋" w:hAnsi="仿宋" w:eastAsia="仿宋" w:cs="仿宋"/>
          <w:sz w:val="32"/>
          <w:szCs w:val="32"/>
          <w:lang w:eastAsia="zh-CN"/>
        </w:rPr>
        <w:t>。</w:t>
      </w:r>
    </w:p>
    <w:p w14:paraId="4C52FA3E">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&lt;5&gt;</w:t>
      </w:r>
      <w:r>
        <w:rPr>
          <w:rFonts w:hint="eastAsia" w:ascii="仿宋" w:hAnsi="仿宋" w:eastAsia="仿宋" w:cs="仿宋"/>
          <w:sz w:val="32"/>
          <w:szCs w:val="32"/>
        </w:rPr>
        <w:t>切实加强学校体卫艺工作。</w:t>
      </w:r>
    </w:p>
    <w:p w14:paraId="0C5B949E">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lang w:eastAsia="zh-CN"/>
        </w:rPr>
      </w:pPr>
      <w:bookmarkStart w:id="8" w:name="_Toc21045"/>
      <w:bookmarkStart w:id="9" w:name="_Toc26073"/>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德育工作</w:t>
      </w:r>
      <w:bookmarkEnd w:id="8"/>
      <w:bookmarkEnd w:id="9"/>
      <w:r>
        <w:rPr>
          <w:rFonts w:hint="eastAsia" w:ascii="仿宋" w:hAnsi="仿宋" w:eastAsia="仿宋" w:cs="仿宋"/>
          <w:b w:val="0"/>
          <w:bCs w:val="0"/>
          <w:sz w:val="32"/>
          <w:szCs w:val="32"/>
          <w:lang w:eastAsia="zh-CN"/>
        </w:rPr>
        <w:t>。</w:t>
      </w:r>
    </w:p>
    <w:p w14:paraId="6D72C7C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加强学生思政课教育，培养爱党爱国爱社会主义的接班人。</w:t>
      </w:r>
    </w:p>
    <w:p w14:paraId="3FD695C5">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加强德育队伍建设，培养一支德育工作队伍，尤其是班主任队伍。</w:t>
      </w:r>
    </w:p>
    <w:p w14:paraId="3CB5B1DF">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加强值周工作的管理、培训和考核，充分发挥自主管理委员会的作用，</w:t>
      </w:r>
      <w:r>
        <w:rPr>
          <w:rFonts w:hint="eastAsia" w:ascii="仿宋" w:hAnsi="仿宋" w:eastAsia="仿宋" w:cs="仿宋"/>
          <w:kern w:val="0"/>
          <w:sz w:val="32"/>
          <w:szCs w:val="32"/>
        </w:rPr>
        <w:t>强化日常行为规范教育，落实《中学生守则》《中学生日常行为规则（修订）》</w:t>
      </w:r>
      <w:r>
        <w:rPr>
          <w:rFonts w:hint="eastAsia" w:ascii="仿宋" w:hAnsi="仿宋" w:eastAsia="仿宋" w:cs="仿宋"/>
          <w:sz w:val="32"/>
          <w:szCs w:val="32"/>
        </w:rPr>
        <w:t>。</w:t>
      </w:r>
      <w:r>
        <w:rPr>
          <w:rFonts w:hint="eastAsia" w:ascii="仿宋" w:hAnsi="仿宋" w:eastAsia="仿宋" w:cs="仿宋"/>
          <w:kern w:val="0"/>
          <w:sz w:val="32"/>
          <w:szCs w:val="32"/>
        </w:rPr>
        <w:t>坚持每天检查通报，每周班级量化考核评比，纳入班主任绩效考核。</w:t>
      </w:r>
    </w:p>
    <w:p w14:paraId="71427206">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积极开展感恩教育、养成教育、红色教育等为主体的德育活动，拓宽德育渠道，开展丰富多彩的德育活动，三年时间内修完德育课程。</w:t>
      </w:r>
    </w:p>
    <w:p w14:paraId="0218546C">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&lt;5&gt;严格落实音体美、实验教学、阅读等课程，广泛开展校园艺术兴趣活动，开展好学校课后延时服务活动。</w:t>
      </w:r>
    </w:p>
    <w:p w14:paraId="5C1C1045">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&lt;6&gt;</w:t>
      </w:r>
      <w:r>
        <w:rPr>
          <w:rFonts w:hint="eastAsia" w:ascii="仿宋" w:hAnsi="仿宋" w:eastAsia="仿宋" w:cs="仿宋"/>
          <w:kern w:val="0"/>
          <w:sz w:val="32"/>
          <w:szCs w:val="32"/>
        </w:rPr>
        <w:t>坚持健康第一，开展各类体育活动，保证每天一小时的锻炼时间，让学生健康快乐成长。</w:t>
      </w:r>
    </w:p>
    <w:p w14:paraId="2F99E780">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lang w:eastAsia="zh-CN"/>
        </w:rPr>
      </w:pPr>
      <w:r>
        <w:rPr>
          <w:rFonts w:hint="eastAsia" w:ascii="仿宋" w:hAnsi="仿宋" w:eastAsia="仿宋" w:cs="仿宋"/>
          <w:sz w:val="32"/>
          <w:szCs w:val="32"/>
          <w:lang w:val="en-US" w:eastAsia="zh-CN"/>
        </w:rPr>
        <w:t>&lt;7&gt;</w:t>
      </w:r>
      <w:r>
        <w:rPr>
          <w:rFonts w:hint="eastAsia" w:ascii="仿宋" w:hAnsi="仿宋" w:eastAsia="仿宋" w:cs="仿宋"/>
          <w:kern w:val="0"/>
          <w:sz w:val="32"/>
          <w:szCs w:val="32"/>
        </w:rPr>
        <w:t>培养学生认知能力，促进思维发展。</w:t>
      </w:r>
    </w:p>
    <w:p w14:paraId="6BBA59E1">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&lt;8&gt;</w:t>
      </w:r>
      <w:r>
        <w:rPr>
          <w:rFonts w:hint="eastAsia" w:ascii="仿宋" w:hAnsi="仿宋" w:eastAsia="仿宋" w:cs="仿宋"/>
          <w:sz w:val="32"/>
          <w:szCs w:val="32"/>
        </w:rPr>
        <w:t>强化学校安全教育，构</w:t>
      </w:r>
      <w:r>
        <w:rPr>
          <w:rFonts w:hint="eastAsia" w:ascii="仿宋" w:hAnsi="仿宋" w:eastAsia="仿宋" w:cs="仿宋"/>
          <w:kern w:val="0"/>
          <w:sz w:val="32"/>
          <w:szCs w:val="32"/>
        </w:rPr>
        <w:t>建安全文明校园，</w:t>
      </w:r>
      <w:r>
        <w:rPr>
          <w:rFonts w:hint="eastAsia" w:ascii="仿宋" w:hAnsi="仿宋" w:eastAsia="仿宋" w:cs="仿宋"/>
          <w:sz w:val="32"/>
          <w:szCs w:val="32"/>
        </w:rPr>
        <w:t>确保安全责任零事故。</w:t>
      </w:r>
    </w:p>
    <w:p w14:paraId="4844A14F">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&lt;9&gt;</w:t>
      </w:r>
      <w:r>
        <w:rPr>
          <w:rFonts w:hint="eastAsia" w:ascii="仿宋" w:hAnsi="仿宋" w:eastAsia="仿宋" w:cs="仿宋"/>
          <w:sz w:val="32"/>
          <w:szCs w:val="32"/>
        </w:rPr>
        <w:t>加强家校联系。</w:t>
      </w:r>
    </w:p>
    <w:p w14:paraId="2DABA72B">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&lt;10&gt;</w:t>
      </w:r>
      <w:r>
        <w:rPr>
          <w:rFonts w:hint="eastAsia" w:ascii="仿宋" w:hAnsi="仿宋" w:eastAsia="仿宋" w:cs="仿宋"/>
          <w:sz w:val="32"/>
          <w:szCs w:val="32"/>
        </w:rPr>
        <w:t>建好用好劳动实践基地，利用学校空地，组织学生开展劳动教育，让学生在劳动中成长。</w:t>
      </w:r>
    </w:p>
    <w:p w14:paraId="55160F59">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lang w:eastAsia="zh-CN"/>
        </w:rPr>
      </w:pPr>
      <w:bookmarkStart w:id="10" w:name="_Toc25753"/>
      <w:bookmarkStart w:id="11" w:name="_Toc26852"/>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安全工作</w:t>
      </w:r>
      <w:bookmarkEnd w:id="10"/>
      <w:bookmarkEnd w:id="11"/>
      <w:r>
        <w:rPr>
          <w:rFonts w:hint="eastAsia" w:ascii="仿宋" w:hAnsi="仿宋" w:eastAsia="仿宋" w:cs="仿宋"/>
          <w:b w:val="0"/>
          <w:bCs w:val="0"/>
          <w:sz w:val="32"/>
          <w:szCs w:val="32"/>
          <w:lang w:eastAsia="zh-CN"/>
        </w:rPr>
        <w:t>。</w:t>
      </w:r>
    </w:p>
    <w:p w14:paraId="1F10A64F">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提高认识，加强领导</w:t>
      </w:r>
      <w:r>
        <w:rPr>
          <w:rFonts w:hint="eastAsia" w:ascii="仿宋" w:hAnsi="仿宋" w:eastAsia="仿宋" w:cs="仿宋"/>
          <w:sz w:val="32"/>
          <w:szCs w:val="32"/>
          <w:lang w:eastAsia="zh-CN"/>
        </w:rPr>
        <w:t>，</w:t>
      </w:r>
      <w:r>
        <w:rPr>
          <w:rFonts w:hint="eastAsia" w:ascii="仿宋" w:hAnsi="仿宋" w:eastAsia="仿宋" w:cs="仿宋"/>
          <w:sz w:val="32"/>
          <w:szCs w:val="32"/>
        </w:rPr>
        <w:t>落实安全责任。</w:t>
      </w:r>
    </w:p>
    <w:p w14:paraId="2D242A5F">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定期排查，消除安全隐患。</w:t>
      </w:r>
    </w:p>
    <w:p w14:paraId="20CC801B">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建立健全制度，促进规范管理。</w:t>
      </w:r>
    </w:p>
    <w:p w14:paraId="7E3F99A3">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rPr>
      </w:pPr>
      <w:bookmarkStart w:id="12" w:name="_Toc10848"/>
      <w:bookmarkStart w:id="13" w:name="_Toc22978"/>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改革创新方面。</w:t>
      </w:r>
      <w:bookmarkEnd w:id="12"/>
      <w:bookmarkEnd w:id="13"/>
    </w:p>
    <w:p w14:paraId="17E1C32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加强教研组建设，完善备课组集体备课制度。</w:t>
      </w:r>
    </w:p>
    <w:p w14:paraId="661C9EE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着力课题研究，抓好课题研究工作。</w:t>
      </w:r>
    </w:p>
    <w:p w14:paraId="269C157C">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积极组织教师参加各级各类教学大比武、教学研究、论文撰写、科技制作等活动。</w:t>
      </w:r>
    </w:p>
    <w:p w14:paraId="4E8FBA8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大力推进课堂改革，开发适合我校的教学模式，深入推进七年级生本教育。</w:t>
      </w:r>
    </w:p>
    <w:p w14:paraId="37DCA7CB">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&lt;5&gt;</w:t>
      </w:r>
      <w:r>
        <w:rPr>
          <w:rFonts w:hint="eastAsia" w:ascii="仿宋" w:hAnsi="仿宋" w:eastAsia="仿宋" w:cs="仿宋"/>
          <w:sz w:val="32"/>
          <w:szCs w:val="32"/>
        </w:rPr>
        <w:t>强教必先强师，继续实施好“青蓝工程”，提升教师专业化水平，培养“双师型”教师。</w:t>
      </w:r>
    </w:p>
    <w:p w14:paraId="0148EAC4">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&lt;6&gt;</w:t>
      </w:r>
      <w:r>
        <w:rPr>
          <w:rFonts w:hint="eastAsia" w:ascii="仿宋" w:hAnsi="仿宋" w:eastAsia="仿宋" w:cs="仿宋"/>
          <w:sz w:val="32"/>
          <w:szCs w:val="32"/>
        </w:rPr>
        <w:t>认真</w:t>
      </w:r>
      <w:r>
        <w:rPr>
          <w:rFonts w:hint="eastAsia" w:ascii="仿宋" w:hAnsi="仿宋" w:eastAsia="仿宋" w:cs="仿宋"/>
          <w:sz w:val="32"/>
          <w:szCs w:val="32"/>
          <w:lang w:eastAsia="zh-CN"/>
        </w:rPr>
        <w:t>开展</w:t>
      </w:r>
      <w:r>
        <w:rPr>
          <w:rFonts w:hint="eastAsia" w:ascii="仿宋" w:hAnsi="仿宋" w:eastAsia="仿宋" w:cs="仿宋"/>
          <w:sz w:val="32"/>
          <w:szCs w:val="32"/>
        </w:rPr>
        <w:t>教研</w:t>
      </w:r>
      <w:r>
        <w:rPr>
          <w:rFonts w:hint="eastAsia" w:ascii="仿宋" w:hAnsi="仿宋" w:eastAsia="仿宋" w:cs="仿宋"/>
          <w:sz w:val="32"/>
          <w:szCs w:val="32"/>
          <w:lang w:eastAsia="zh-CN"/>
        </w:rPr>
        <w:t>活动</w:t>
      </w:r>
      <w:r>
        <w:rPr>
          <w:rFonts w:hint="eastAsia" w:ascii="仿宋" w:hAnsi="仿宋" w:eastAsia="仿宋" w:cs="仿宋"/>
          <w:sz w:val="32"/>
          <w:szCs w:val="32"/>
        </w:rPr>
        <w:t>，夯实过程，凸显教研效果。</w:t>
      </w:r>
    </w:p>
    <w:p w14:paraId="729433D4">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lang w:eastAsia="zh-CN"/>
        </w:rPr>
      </w:pPr>
      <w:bookmarkStart w:id="14" w:name="_Toc12441"/>
      <w:bookmarkStart w:id="15" w:name="_Toc24868"/>
      <w:r>
        <w:rPr>
          <w:rFonts w:hint="eastAsia" w:ascii="仿宋" w:hAnsi="仿宋" w:eastAsia="仿宋" w:cs="仿宋"/>
          <w:b w:val="0"/>
          <w:bCs w:val="0"/>
          <w:sz w:val="32"/>
          <w:szCs w:val="32"/>
          <w:lang w:val="en-US" w:eastAsia="zh-CN"/>
        </w:rPr>
        <w:t>6.乡村振兴</w:t>
      </w:r>
      <w:r>
        <w:rPr>
          <w:rFonts w:hint="eastAsia" w:ascii="仿宋" w:hAnsi="仿宋" w:eastAsia="仿宋" w:cs="仿宋"/>
          <w:b w:val="0"/>
          <w:bCs w:val="0"/>
          <w:sz w:val="32"/>
          <w:szCs w:val="32"/>
        </w:rPr>
        <w:t>方面</w:t>
      </w:r>
      <w:bookmarkEnd w:id="14"/>
      <w:bookmarkEnd w:id="15"/>
      <w:r>
        <w:rPr>
          <w:rFonts w:hint="eastAsia" w:ascii="仿宋" w:hAnsi="仿宋" w:eastAsia="仿宋" w:cs="仿宋"/>
          <w:b w:val="0"/>
          <w:bCs w:val="0"/>
          <w:sz w:val="32"/>
          <w:szCs w:val="32"/>
          <w:lang w:eastAsia="zh-CN"/>
        </w:rPr>
        <w:t>。</w:t>
      </w:r>
    </w:p>
    <w:p w14:paraId="665C25ED">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&lt;1&gt;</w:t>
      </w:r>
      <w:r>
        <w:rPr>
          <w:rFonts w:hint="eastAsia" w:ascii="仿宋" w:hAnsi="仿宋" w:eastAsia="仿宋" w:cs="仿宋"/>
          <w:kern w:val="0"/>
          <w:sz w:val="32"/>
          <w:szCs w:val="32"/>
        </w:rPr>
        <w:t>继续做好“千名教师访万家”工作，积极开展教育扶贫政策宣传，让政策家喻户晓，深入人心。</w:t>
      </w:r>
    </w:p>
    <w:p w14:paraId="63AED7BB">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kern w:val="0"/>
          <w:sz w:val="32"/>
          <w:szCs w:val="32"/>
        </w:rPr>
        <w:t>落实师生结对工作，建好台账。</w:t>
      </w:r>
    </w:p>
    <w:p w14:paraId="07AC7DEF">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kern w:val="0"/>
          <w:sz w:val="32"/>
          <w:szCs w:val="32"/>
        </w:rPr>
        <w:t>常态化开展送教上门工作。</w:t>
      </w:r>
    </w:p>
    <w:p w14:paraId="6482FF2C">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kern w:val="0"/>
          <w:sz w:val="32"/>
          <w:szCs w:val="32"/>
        </w:rPr>
        <w:t>控辍保学一个不少，资助救助一个不漏。</w:t>
      </w:r>
    </w:p>
    <w:p w14:paraId="37DE2F20">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color w:val="000000"/>
          <w:spacing w:val="20"/>
          <w:sz w:val="32"/>
          <w:szCs w:val="32"/>
        </w:rPr>
      </w:pPr>
      <w:r>
        <w:rPr>
          <w:rFonts w:hint="eastAsia" w:ascii="仿宋" w:hAnsi="仿宋" w:eastAsia="仿宋" w:cs="仿宋"/>
          <w:sz w:val="32"/>
          <w:szCs w:val="32"/>
          <w:lang w:val="en-US" w:eastAsia="zh-CN"/>
        </w:rPr>
        <w:t>&lt;5&gt;</w:t>
      </w:r>
      <w:r>
        <w:rPr>
          <w:rFonts w:hint="eastAsia" w:ascii="仿宋" w:hAnsi="仿宋" w:eastAsia="仿宋" w:cs="仿宋"/>
          <w:color w:val="000000"/>
          <w:spacing w:val="20"/>
          <w:sz w:val="32"/>
          <w:szCs w:val="32"/>
        </w:rPr>
        <w:t>继续落实“三免一补”政策。</w:t>
      </w:r>
    </w:p>
    <w:p w14:paraId="26630743">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color w:val="000000"/>
          <w:spacing w:val="20"/>
          <w:sz w:val="32"/>
          <w:szCs w:val="32"/>
        </w:rPr>
      </w:pPr>
      <w:r>
        <w:rPr>
          <w:rFonts w:hint="eastAsia" w:ascii="仿宋" w:hAnsi="仿宋" w:eastAsia="仿宋" w:cs="仿宋"/>
          <w:sz w:val="32"/>
          <w:szCs w:val="32"/>
          <w:lang w:val="en-US" w:eastAsia="zh-CN"/>
        </w:rPr>
        <w:t>&lt;6&gt;</w:t>
      </w:r>
      <w:r>
        <w:rPr>
          <w:rFonts w:hint="eastAsia" w:ascii="仿宋" w:hAnsi="仿宋" w:eastAsia="仿宋" w:cs="仿宋"/>
          <w:color w:val="000000"/>
          <w:spacing w:val="20"/>
          <w:sz w:val="32"/>
          <w:szCs w:val="32"/>
        </w:rPr>
        <w:t>做好“教育扶贫日”捐赠工作。</w:t>
      </w:r>
    </w:p>
    <w:p w14:paraId="3AE09760">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lang w:eastAsia="zh-CN"/>
        </w:rPr>
      </w:pPr>
      <w:bookmarkStart w:id="16" w:name="_Toc10604"/>
      <w:bookmarkStart w:id="17" w:name="_Toc26561"/>
      <w:r>
        <w:rPr>
          <w:rFonts w:hint="eastAsia" w:ascii="仿宋" w:hAnsi="仿宋" w:eastAsia="仿宋" w:cs="仿宋"/>
          <w:b w:val="0"/>
          <w:bCs w:val="0"/>
          <w:sz w:val="32"/>
          <w:szCs w:val="32"/>
          <w:lang w:val="en-US" w:eastAsia="zh-CN"/>
        </w:rPr>
        <w:t>7.</w:t>
      </w:r>
      <w:r>
        <w:rPr>
          <w:rFonts w:hint="eastAsia" w:ascii="仿宋" w:hAnsi="仿宋" w:eastAsia="仿宋" w:cs="仿宋"/>
          <w:b w:val="0"/>
          <w:bCs w:val="0"/>
          <w:sz w:val="32"/>
          <w:szCs w:val="32"/>
        </w:rPr>
        <w:t>工会及群团工作</w:t>
      </w:r>
      <w:bookmarkEnd w:id="16"/>
      <w:bookmarkEnd w:id="17"/>
      <w:r>
        <w:rPr>
          <w:rFonts w:hint="eastAsia" w:ascii="仿宋" w:hAnsi="仿宋" w:eastAsia="仿宋" w:cs="仿宋"/>
          <w:b w:val="0"/>
          <w:bCs w:val="0"/>
          <w:sz w:val="32"/>
          <w:szCs w:val="32"/>
          <w:lang w:eastAsia="zh-CN"/>
        </w:rPr>
        <w:t>。</w:t>
      </w:r>
    </w:p>
    <w:p w14:paraId="0DD416EA">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用好教代会组织，依法维护好学校、教师的权益，协助学校支部、行政落实好工作部署。</w:t>
      </w:r>
    </w:p>
    <w:p w14:paraId="7D10633E">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做好“老、弱、病、残、退”教师的关爱慰问工作，搞好教师的业余文化生活，关心年轻教师的生活。</w:t>
      </w:r>
    </w:p>
    <w:p w14:paraId="6822F2D0">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履行好监督职能，依法公开校务。</w:t>
      </w:r>
    </w:p>
    <w:p w14:paraId="0C18CD59">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宣传、落实党中央、团中央各项政策，引导学生拥护共产党、热爱祖国、感恩社会、感恩亲人、感恩老师。</w:t>
      </w:r>
    </w:p>
    <w:p w14:paraId="2CBC6192">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&lt;5&gt;</w:t>
      </w:r>
      <w:r>
        <w:rPr>
          <w:rFonts w:hint="eastAsia" w:ascii="仿宋" w:hAnsi="仿宋" w:eastAsia="仿宋" w:cs="仿宋"/>
          <w:sz w:val="32"/>
          <w:szCs w:val="32"/>
        </w:rPr>
        <w:t>开展好各类促进身心健康发展的活动，特别是音、体、美、劳、社会实践等活动。</w:t>
      </w:r>
    </w:p>
    <w:p w14:paraId="05786DDA">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&lt;6&gt;</w:t>
      </w:r>
      <w:r>
        <w:rPr>
          <w:rFonts w:hint="eastAsia" w:ascii="仿宋" w:hAnsi="仿宋" w:eastAsia="仿宋" w:cs="仿宋"/>
          <w:sz w:val="32"/>
          <w:szCs w:val="32"/>
        </w:rPr>
        <w:t>建立兴趣小组，全面提高学生素质。</w:t>
      </w:r>
    </w:p>
    <w:p w14:paraId="65156B81">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&lt;7&gt;</w:t>
      </w:r>
      <w:r>
        <w:rPr>
          <w:rFonts w:hint="eastAsia" w:ascii="仿宋" w:hAnsi="仿宋" w:eastAsia="仿宋" w:cs="仿宋"/>
          <w:sz w:val="32"/>
          <w:szCs w:val="32"/>
        </w:rPr>
        <w:t>办好学校春秋季运动会。积极参加各级运动会、艺术节。</w:t>
      </w:r>
    </w:p>
    <w:p w14:paraId="1F0B9CF8">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&lt;8&gt;</w:t>
      </w:r>
      <w:r>
        <w:rPr>
          <w:rFonts w:hint="eastAsia" w:ascii="仿宋" w:hAnsi="仿宋" w:eastAsia="仿宋" w:cs="仿宋"/>
          <w:sz w:val="32"/>
          <w:szCs w:val="32"/>
        </w:rPr>
        <w:t>把</w:t>
      </w:r>
      <w:r>
        <w:rPr>
          <w:rFonts w:hint="eastAsia" w:ascii="仿宋" w:hAnsi="仿宋" w:eastAsia="仿宋" w:cs="仿宋"/>
          <w:kern w:val="0"/>
          <w:sz w:val="32"/>
          <w:szCs w:val="32"/>
        </w:rPr>
        <w:t>升旗仪式办成“树理想、展风采、显文明、有活力”的德育课堂。</w:t>
      </w:r>
    </w:p>
    <w:p w14:paraId="727EB543">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lang w:eastAsia="zh-CN"/>
        </w:rPr>
      </w:pPr>
      <w:bookmarkStart w:id="18" w:name="_Toc18842"/>
      <w:bookmarkStart w:id="19" w:name="_Toc6620"/>
      <w:r>
        <w:rPr>
          <w:rFonts w:hint="eastAsia" w:ascii="仿宋" w:hAnsi="仿宋" w:eastAsia="仿宋" w:cs="仿宋"/>
          <w:b w:val="0"/>
          <w:bCs w:val="0"/>
          <w:sz w:val="32"/>
          <w:szCs w:val="32"/>
          <w:lang w:val="en-US" w:eastAsia="zh-CN"/>
        </w:rPr>
        <w:t>8.</w:t>
      </w:r>
      <w:r>
        <w:rPr>
          <w:rFonts w:hint="eastAsia" w:ascii="仿宋" w:hAnsi="仿宋" w:eastAsia="仿宋" w:cs="仿宋"/>
          <w:b w:val="0"/>
          <w:bCs w:val="0"/>
          <w:sz w:val="32"/>
          <w:szCs w:val="32"/>
        </w:rPr>
        <w:t>依法治校方面</w:t>
      </w:r>
      <w:bookmarkEnd w:id="18"/>
      <w:bookmarkEnd w:id="19"/>
      <w:r>
        <w:rPr>
          <w:rFonts w:hint="eastAsia" w:ascii="仿宋" w:hAnsi="仿宋" w:eastAsia="仿宋" w:cs="仿宋"/>
          <w:b w:val="0"/>
          <w:bCs w:val="0"/>
          <w:sz w:val="32"/>
          <w:szCs w:val="32"/>
          <w:lang w:eastAsia="zh-CN"/>
        </w:rPr>
        <w:t>。</w:t>
      </w:r>
    </w:p>
    <w:p w14:paraId="6DFAE848">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
          <w:bCs/>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用法律、法规、</w:t>
      </w:r>
      <w:r>
        <w:rPr>
          <w:rFonts w:hint="eastAsia" w:ascii="仿宋" w:hAnsi="仿宋" w:eastAsia="仿宋" w:cs="仿宋"/>
          <w:bCs/>
          <w:sz w:val="32"/>
          <w:szCs w:val="32"/>
          <w:lang w:eastAsia="zh-CN"/>
        </w:rPr>
        <w:t>条例</w:t>
      </w:r>
      <w:r>
        <w:rPr>
          <w:rFonts w:hint="eastAsia" w:ascii="仿宋" w:hAnsi="仿宋" w:eastAsia="仿宋" w:cs="仿宋"/>
          <w:sz w:val="32"/>
          <w:szCs w:val="32"/>
        </w:rPr>
        <w:t>、办法，规范办学行为，做到有法必依。</w:t>
      </w:r>
      <w:r>
        <w:rPr>
          <w:rFonts w:hint="eastAsia" w:ascii="仿宋" w:hAnsi="仿宋" w:eastAsia="仿宋" w:cs="仿宋"/>
          <w:b/>
          <w:bCs/>
          <w:sz w:val="32"/>
          <w:szCs w:val="32"/>
        </w:rPr>
        <w:t xml:space="preserve"> </w:t>
      </w:r>
    </w:p>
    <w:p w14:paraId="0AA58A5C">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&lt;2&gt;</w:t>
      </w:r>
      <w:r>
        <w:rPr>
          <w:rFonts w:hint="eastAsia" w:ascii="仿宋" w:hAnsi="仿宋" w:eastAsia="仿宋" w:cs="仿宋"/>
          <w:bCs/>
          <w:sz w:val="32"/>
          <w:szCs w:val="32"/>
        </w:rPr>
        <w:t xml:space="preserve">推进“法律进校园”工作，坚持会前学法，依法办教育，营造风清气正的氛围。 </w:t>
      </w:r>
    </w:p>
    <w:p w14:paraId="3C907B2D">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&lt;3&gt;</w:t>
      </w:r>
      <w:r>
        <w:rPr>
          <w:rFonts w:hint="eastAsia" w:ascii="仿宋" w:hAnsi="仿宋" w:eastAsia="仿宋" w:cs="仿宋"/>
          <w:bCs/>
          <w:sz w:val="32"/>
          <w:szCs w:val="32"/>
        </w:rPr>
        <w:t xml:space="preserve">严格执行“三重一大”重大事项民主决策和支部审议制度。 </w:t>
      </w:r>
    </w:p>
    <w:p w14:paraId="40B282BB">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&lt;4&gt;</w:t>
      </w:r>
      <w:r>
        <w:rPr>
          <w:rFonts w:hint="eastAsia" w:ascii="仿宋" w:hAnsi="仿宋" w:eastAsia="仿宋" w:cs="仿宋"/>
          <w:bCs/>
          <w:sz w:val="32"/>
          <w:szCs w:val="32"/>
        </w:rPr>
        <w:t>配合相关部门积极治理校园周边环境，营造良好育人氛围。</w:t>
      </w:r>
    </w:p>
    <w:p w14:paraId="54FC1ACA">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&lt;5&gt;</w:t>
      </w:r>
      <w:r>
        <w:rPr>
          <w:rFonts w:hint="eastAsia" w:ascii="仿宋" w:hAnsi="仿宋" w:eastAsia="仿宋" w:cs="仿宋"/>
          <w:bCs/>
          <w:sz w:val="32"/>
          <w:szCs w:val="32"/>
        </w:rPr>
        <w:t>遵守中央八项规定，继续落实“作风纪律深化年”相关要求，远离红线，坚守底线，禁碰高压线。</w:t>
      </w:r>
    </w:p>
    <w:p w14:paraId="78633B01">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&lt;6&gt;</w:t>
      </w:r>
      <w:r>
        <w:rPr>
          <w:rFonts w:hint="eastAsia" w:ascii="仿宋" w:hAnsi="仿宋" w:eastAsia="仿宋" w:cs="仿宋"/>
          <w:bCs/>
          <w:sz w:val="32"/>
          <w:szCs w:val="32"/>
        </w:rPr>
        <w:t>杜绝有偿补课、微商、推销教辅等违禁行为。</w:t>
      </w:r>
    </w:p>
    <w:p w14:paraId="3D3830C4">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bCs/>
          <w:sz w:val="32"/>
          <w:szCs w:val="32"/>
        </w:rPr>
      </w:pPr>
      <w:r>
        <w:rPr>
          <w:rFonts w:hint="eastAsia" w:ascii="仿宋" w:hAnsi="仿宋" w:eastAsia="仿宋" w:cs="仿宋"/>
          <w:sz w:val="32"/>
          <w:szCs w:val="32"/>
          <w:lang w:val="en-US" w:eastAsia="zh-CN"/>
        </w:rPr>
        <w:t>&lt;7&gt;</w:t>
      </w:r>
      <w:r>
        <w:rPr>
          <w:rFonts w:hint="eastAsia" w:ascii="仿宋" w:hAnsi="仿宋" w:eastAsia="仿宋" w:cs="仿宋"/>
          <w:bCs/>
          <w:sz w:val="32"/>
          <w:szCs w:val="32"/>
        </w:rPr>
        <w:t>关爱学生，良心从教，杜绝体罚、变相体罚等行为。</w:t>
      </w:r>
    </w:p>
    <w:p w14:paraId="4C306D98">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lang w:eastAsia="zh-CN"/>
        </w:rPr>
      </w:pPr>
      <w:bookmarkStart w:id="20" w:name="_Toc32516"/>
      <w:bookmarkStart w:id="21" w:name="_Toc8114"/>
      <w:r>
        <w:rPr>
          <w:rFonts w:hint="eastAsia" w:ascii="仿宋" w:hAnsi="仿宋" w:eastAsia="仿宋" w:cs="仿宋"/>
          <w:b w:val="0"/>
          <w:bCs w:val="0"/>
          <w:sz w:val="32"/>
          <w:szCs w:val="32"/>
          <w:lang w:val="en-US" w:eastAsia="zh-CN"/>
        </w:rPr>
        <w:t>9.</w:t>
      </w:r>
      <w:r>
        <w:rPr>
          <w:rFonts w:hint="eastAsia" w:ascii="仿宋" w:hAnsi="仿宋" w:eastAsia="仿宋" w:cs="仿宋"/>
          <w:b w:val="0"/>
          <w:bCs w:val="0"/>
          <w:sz w:val="32"/>
          <w:szCs w:val="32"/>
        </w:rPr>
        <w:t>后勤管理</w:t>
      </w:r>
      <w:bookmarkEnd w:id="20"/>
      <w:bookmarkEnd w:id="21"/>
      <w:r>
        <w:rPr>
          <w:rFonts w:hint="eastAsia" w:ascii="仿宋" w:hAnsi="仿宋" w:eastAsia="仿宋" w:cs="仿宋"/>
          <w:b w:val="0"/>
          <w:bCs w:val="0"/>
          <w:sz w:val="32"/>
          <w:szCs w:val="32"/>
          <w:lang w:eastAsia="zh-CN"/>
        </w:rPr>
        <w:t>。</w:t>
      </w:r>
    </w:p>
    <w:p w14:paraId="543F54B4">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&lt;1&gt;</w:t>
      </w:r>
      <w:r>
        <w:rPr>
          <w:rFonts w:hint="eastAsia" w:ascii="仿宋" w:hAnsi="仿宋" w:eastAsia="仿宋" w:cs="仿宋"/>
          <w:kern w:val="0"/>
          <w:sz w:val="32"/>
          <w:szCs w:val="32"/>
        </w:rPr>
        <w:t>树立后勤为教学服务的思想，吃苦耐劳，竭诚服务师生。</w:t>
      </w:r>
    </w:p>
    <w:p w14:paraId="3E4A5987">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kern w:val="0"/>
          <w:sz w:val="32"/>
          <w:szCs w:val="32"/>
        </w:rPr>
        <w:t>依法依规经营</w:t>
      </w:r>
      <w:r>
        <w:rPr>
          <w:rFonts w:hint="eastAsia" w:ascii="仿宋" w:hAnsi="仿宋" w:eastAsia="仿宋" w:cs="仿宋"/>
          <w:sz w:val="32"/>
          <w:szCs w:val="32"/>
        </w:rPr>
        <w:t>食堂，严格执行师生同餐、同价，零利润。</w:t>
      </w:r>
    </w:p>
    <w:p w14:paraId="2D0C7309">
      <w:pPr>
        <w:keepNext w:val="0"/>
        <w:keepLines w:val="0"/>
        <w:pageBreakBefore w:val="0"/>
        <w:widowControl/>
        <w:kinsoku/>
        <w:wordWrap/>
        <w:overflowPunct/>
        <w:topLinePunct w:val="0"/>
        <w:autoSpaceDE/>
        <w:autoSpaceDN/>
        <w:bidi w:val="0"/>
        <w:adjustRightInd/>
        <w:spacing w:line="576" w:lineRule="exact"/>
        <w:ind w:firstLine="640" w:firstLineChars="200"/>
        <w:jc w:val="left"/>
        <w:textAlignment w:val="auto"/>
        <w:rPr>
          <w:rFonts w:hint="eastAsia" w:ascii="仿宋" w:hAnsi="仿宋" w:eastAsia="仿宋" w:cs="仿宋"/>
          <w:kern w:val="0"/>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加强卫生工作，定期消杀，做好传染病防治工作，确保师生健康</w:t>
      </w:r>
      <w:r>
        <w:rPr>
          <w:rFonts w:hint="eastAsia" w:ascii="仿宋" w:hAnsi="仿宋" w:eastAsia="仿宋" w:cs="仿宋"/>
          <w:kern w:val="0"/>
          <w:sz w:val="32"/>
          <w:szCs w:val="32"/>
        </w:rPr>
        <w:t>。</w:t>
      </w:r>
    </w:p>
    <w:p w14:paraId="5107244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按教育局的要求实施原材料的采购，保质、保量、保价。</w:t>
      </w:r>
    </w:p>
    <w:p w14:paraId="1442497A">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&lt;5&gt;</w:t>
      </w:r>
      <w:r>
        <w:rPr>
          <w:rFonts w:hint="eastAsia" w:ascii="仿宋" w:hAnsi="仿宋" w:eastAsia="仿宋" w:cs="仿宋"/>
          <w:sz w:val="32"/>
          <w:szCs w:val="32"/>
        </w:rPr>
        <w:t>开源节流，养成勤俭节约</w:t>
      </w:r>
      <w:r>
        <w:rPr>
          <w:rFonts w:hint="eastAsia" w:ascii="仿宋" w:hAnsi="仿宋" w:eastAsia="仿宋" w:cs="仿宋"/>
          <w:sz w:val="32"/>
          <w:szCs w:val="32"/>
          <w:lang w:val="en-US" w:eastAsia="zh-CN"/>
        </w:rPr>
        <w:t>的</w:t>
      </w:r>
      <w:r>
        <w:rPr>
          <w:rFonts w:hint="eastAsia" w:ascii="仿宋" w:hAnsi="仿宋" w:eastAsia="仿宋" w:cs="仿宋"/>
          <w:sz w:val="32"/>
          <w:szCs w:val="32"/>
        </w:rPr>
        <w:t>好习惯。</w:t>
      </w:r>
    </w:p>
    <w:p w14:paraId="37D81AF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&lt;6&gt;</w:t>
      </w:r>
      <w:r>
        <w:rPr>
          <w:rFonts w:hint="eastAsia" w:ascii="仿宋" w:hAnsi="仿宋" w:eastAsia="仿宋" w:cs="仿宋"/>
          <w:sz w:val="32"/>
          <w:szCs w:val="32"/>
        </w:rPr>
        <w:t>严格实施热水澡工程计划，让学生身心都温暖。</w:t>
      </w:r>
    </w:p>
    <w:p w14:paraId="223E0225">
      <w:pPr>
        <w:keepNext w:val="0"/>
        <w:keepLines w:val="0"/>
        <w:pageBreakBefore w:val="0"/>
        <w:kinsoku/>
        <w:wordWrap/>
        <w:overflowPunct/>
        <w:topLinePunct w:val="0"/>
        <w:autoSpaceDE/>
        <w:autoSpaceDN/>
        <w:bidi w:val="0"/>
        <w:adjustRightInd/>
        <w:spacing w:line="576" w:lineRule="exact"/>
        <w:ind w:firstLine="640" w:firstLineChars="200"/>
        <w:textAlignment w:val="auto"/>
        <w:outlineLvl w:val="2"/>
        <w:rPr>
          <w:rFonts w:hint="eastAsia" w:ascii="仿宋" w:hAnsi="仿宋" w:eastAsia="仿宋" w:cs="仿宋"/>
          <w:b w:val="0"/>
          <w:bCs w:val="0"/>
          <w:sz w:val="32"/>
          <w:szCs w:val="32"/>
          <w:lang w:eastAsia="zh-CN"/>
        </w:rPr>
      </w:pPr>
      <w:bookmarkStart w:id="22" w:name="_Toc21621"/>
      <w:bookmarkStart w:id="23" w:name="_Toc5782"/>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rPr>
        <w:t>特色发展</w:t>
      </w:r>
      <w:bookmarkEnd w:id="22"/>
      <w:bookmarkEnd w:id="23"/>
      <w:r>
        <w:rPr>
          <w:rFonts w:hint="eastAsia" w:ascii="仿宋" w:hAnsi="仿宋" w:eastAsia="仿宋" w:cs="仿宋"/>
          <w:b w:val="0"/>
          <w:bCs w:val="0"/>
          <w:sz w:val="32"/>
          <w:szCs w:val="32"/>
          <w:lang w:eastAsia="zh-CN"/>
        </w:rPr>
        <w:t>。</w:t>
      </w:r>
    </w:p>
    <w:p w14:paraId="741CA04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&lt;1&gt;</w:t>
      </w:r>
      <w:r>
        <w:rPr>
          <w:rFonts w:hint="eastAsia" w:ascii="仿宋" w:hAnsi="仿宋" w:eastAsia="仿宋" w:cs="仿宋"/>
          <w:sz w:val="32"/>
          <w:szCs w:val="32"/>
        </w:rPr>
        <w:t>深化“传统经典文化进校园活动”，有计划地让学生诵读传统经典名篇，并开展演讲、讲故事、朗诵等比赛。</w:t>
      </w:r>
    </w:p>
    <w:p w14:paraId="2E83E447">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&lt;2&gt;</w:t>
      </w:r>
      <w:r>
        <w:rPr>
          <w:rFonts w:hint="eastAsia" w:ascii="仿宋" w:hAnsi="仿宋" w:eastAsia="仿宋" w:cs="仿宋"/>
          <w:sz w:val="32"/>
          <w:szCs w:val="32"/>
        </w:rPr>
        <w:t>深化“文明礼仪伴我行”活动。把活动作为一</w:t>
      </w:r>
      <w:r>
        <w:rPr>
          <w:rFonts w:hint="eastAsia" w:ascii="仿宋" w:hAnsi="仿宋" w:eastAsia="仿宋" w:cs="仿宋"/>
          <w:sz w:val="32"/>
          <w:szCs w:val="32"/>
          <w:lang w:val="en-US" w:eastAsia="zh-CN"/>
        </w:rPr>
        <w:t>项</w:t>
      </w:r>
      <w:r>
        <w:rPr>
          <w:rFonts w:hint="eastAsia" w:ascii="仿宋" w:hAnsi="仿宋" w:eastAsia="仿宋" w:cs="仿宋"/>
          <w:sz w:val="32"/>
          <w:szCs w:val="32"/>
        </w:rPr>
        <w:t>常态化的工作来抓，建立相关档案。实行每学期一表彰的制度。</w:t>
      </w:r>
    </w:p>
    <w:p w14:paraId="335DC9B8">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&lt;3&gt;</w:t>
      </w:r>
      <w:r>
        <w:rPr>
          <w:rFonts w:hint="eastAsia" w:ascii="仿宋" w:hAnsi="仿宋" w:eastAsia="仿宋" w:cs="仿宋"/>
          <w:sz w:val="32"/>
          <w:szCs w:val="32"/>
        </w:rPr>
        <w:t>打造快乐大课间活动品牌，尽可能让所有学生在活动中获取自信，全面发展，感受幸福。</w:t>
      </w:r>
    </w:p>
    <w:p w14:paraId="406F6A75">
      <w:pPr>
        <w:keepNext w:val="0"/>
        <w:keepLines w:val="0"/>
        <w:pageBreakBefore w:val="0"/>
        <w:kinsoku/>
        <w:wordWrap/>
        <w:overflowPunct/>
        <w:topLinePunct w:val="0"/>
        <w:autoSpaceDE/>
        <w:autoSpaceDN/>
        <w:bidi w:val="0"/>
        <w:adjustRightInd/>
        <w:spacing w:line="576"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&lt;4&gt;</w:t>
      </w:r>
      <w:r>
        <w:rPr>
          <w:rFonts w:hint="eastAsia" w:ascii="仿宋" w:hAnsi="仿宋" w:eastAsia="仿宋" w:cs="仿宋"/>
          <w:sz w:val="32"/>
          <w:szCs w:val="32"/>
        </w:rPr>
        <w:t>坚持“优势求生存，特色求发展”的工作思路，组织开展“发扬红军精神，做时代新人”红色教育活动，制定规划，扎实推进，全面提升学校文化内涵和学生素质。</w:t>
      </w:r>
    </w:p>
    <w:p w14:paraId="04E6D3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sz w:val="32"/>
          <w:szCs w:val="32"/>
        </w:rPr>
        <w:t>学校教育工作要认真落实教育局的要求，全面贯彻党的教育方针，坚持解放思想，科学谋划，强化管理，提高质量，切实把学校建成一个让人民满意的服务型、廉洁型、学习型、文明和谐型的校园，真正实现学校持续健康发展。</w:t>
      </w:r>
    </w:p>
    <w:p w14:paraId="7AD6BF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4" w:name="_Toc16027"/>
      <w:r>
        <w:rPr>
          <w:rFonts w:hint="eastAsia" w:ascii="黑体" w:hAnsi="黑体" w:eastAsia="黑体" w:cs="黑体"/>
          <w:sz w:val="32"/>
          <w:szCs w:val="32"/>
          <w:lang w:val="en-US" w:eastAsia="zh-CN"/>
        </w:rPr>
        <w:t>二、部门预算单位构成</w:t>
      </w:r>
      <w:bookmarkEnd w:id="24"/>
    </w:p>
    <w:p w14:paraId="6A18B8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6962BA2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5" w:name="_Toc4106"/>
      <w:r>
        <w:rPr>
          <w:rFonts w:hint="eastAsia" w:ascii="黑体" w:hAnsi="黑体" w:eastAsia="黑体" w:cs="黑体"/>
          <w:sz w:val="32"/>
          <w:szCs w:val="32"/>
          <w:lang w:val="en-US" w:eastAsia="zh-CN"/>
        </w:rPr>
        <w:t>三、收支预算情况说明</w:t>
      </w:r>
      <w:bookmarkEnd w:id="25"/>
    </w:p>
    <w:p w14:paraId="50B2B3F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太公中学所有收入和支出均纳入部门预算管理。收入包括：一般公共预算拨款收入；支出包括：教育支出。太公中学2025年收支预算总数663.88万元，比2024年收支预算总数增加6.1万元，主要原因是基本支出预算增加。</w:t>
      </w:r>
    </w:p>
    <w:p w14:paraId="3DF666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10714"/>
      <w:r>
        <w:rPr>
          <w:rFonts w:hint="eastAsia" w:ascii="楷体_GB2312" w:hAnsi="楷体_GB2312" w:eastAsia="楷体_GB2312" w:cs="楷体_GB2312"/>
          <w:sz w:val="32"/>
          <w:szCs w:val="32"/>
          <w:lang w:val="en-US" w:eastAsia="zh-CN"/>
        </w:rPr>
        <w:t>（一）收入预算情况</w:t>
      </w:r>
      <w:bookmarkEnd w:id="26"/>
    </w:p>
    <w:p w14:paraId="38C4C5A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太公中学2025年收入预算663.88万元，其中：一般公共预算拨款收入663.88万元，占100%。</w:t>
      </w:r>
    </w:p>
    <w:p w14:paraId="20955B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7" w:name="_Toc8768"/>
      <w:r>
        <w:rPr>
          <w:rFonts w:hint="eastAsia" w:ascii="楷体_GB2312" w:hAnsi="楷体_GB2312" w:eastAsia="楷体_GB2312" w:cs="楷体_GB2312"/>
          <w:sz w:val="32"/>
          <w:szCs w:val="32"/>
          <w:lang w:val="en-US" w:eastAsia="zh-CN"/>
        </w:rPr>
        <w:t>（二）支出预算情况</w:t>
      </w:r>
      <w:bookmarkEnd w:id="27"/>
    </w:p>
    <w:p w14:paraId="7FC7F13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太公中学2025年支出预算663.88万元，其中：基本支出621.18万元，占93.57%；项目支出42.7万元，占6.43%</w:t>
      </w:r>
      <w:r>
        <w:rPr>
          <w:rFonts w:hint="eastAsia" w:ascii="仿宋_GB2312" w:hAnsi="仿宋_GB2312" w:eastAsia="仿宋_GB2312" w:cs="仿宋_GB2312"/>
          <w:b w:val="0"/>
          <w:bCs w:val="0"/>
          <w:sz w:val="32"/>
          <w:szCs w:val="32"/>
          <w:lang w:val="en-US" w:eastAsia="zh-CN"/>
        </w:rPr>
        <w:t>。</w:t>
      </w:r>
    </w:p>
    <w:p w14:paraId="27D2710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22272"/>
      <w:r>
        <w:rPr>
          <w:rFonts w:hint="eastAsia" w:ascii="黑体" w:hAnsi="黑体" w:eastAsia="黑体" w:cs="黑体"/>
          <w:sz w:val="32"/>
          <w:szCs w:val="32"/>
          <w:lang w:val="en-US" w:eastAsia="zh-CN"/>
        </w:rPr>
        <w:t>四、财政拨款收支预算情况说明</w:t>
      </w:r>
      <w:bookmarkEnd w:id="28"/>
    </w:p>
    <w:p w14:paraId="56FBAA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太公中学2025年财政拨款收支预算总数663.88万元，比2024年财政拨款收支预算总数增加6.1万元，主要原因是基本支出预算增加。</w:t>
      </w:r>
    </w:p>
    <w:p w14:paraId="176286C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收入包括：本年一般公共预算拨款收入663.88万元；支出包括：教育支出663.88万元。</w:t>
      </w:r>
    </w:p>
    <w:p w14:paraId="71B453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9" w:name="_Toc20638"/>
      <w:r>
        <w:rPr>
          <w:rFonts w:hint="eastAsia" w:ascii="黑体" w:hAnsi="黑体" w:eastAsia="黑体" w:cs="黑体"/>
          <w:sz w:val="32"/>
          <w:szCs w:val="32"/>
          <w:lang w:val="en-US" w:eastAsia="zh-CN"/>
        </w:rPr>
        <w:t>五、一般公共预算当年拨款情况说明</w:t>
      </w:r>
      <w:bookmarkEnd w:id="29"/>
    </w:p>
    <w:p w14:paraId="2DC70A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1818"/>
      <w:r>
        <w:rPr>
          <w:rFonts w:hint="eastAsia" w:ascii="楷体_GB2312" w:hAnsi="楷体_GB2312" w:eastAsia="楷体_GB2312" w:cs="楷体_GB2312"/>
          <w:sz w:val="32"/>
          <w:szCs w:val="32"/>
          <w:lang w:val="en-US" w:eastAsia="zh-CN"/>
        </w:rPr>
        <w:t>（一）一般公共预算当年拨款规模变化情况</w:t>
      </w:r>
      <w:bookmarkEnd w:id="30"/>
    </w:p>
    <w:p w14:paraId="7FE089E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太公中学2025年一般公共预算当年拨款663.88万元，比2024年预算数增加6.1万元，主要原因是基本支出预算增加。</w:t>
      </w:r>
    </w:p>
    <w:p w14:paraId="156A08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30931"/>
      <w:r>
        <w:rPr>
          <w:rFonts w:hint="eastAsia" w:ascii="楷体_GB2312" w:hAnsi="楷体_GB2312" w:eastAsia="楷体_GB2312" w:cs="楷体_GB2312"/>
          <w:sz w:val="32"/>
          <w:szCs w:val="32"/>
          <w:lang w:val="en-US" w:eastAsia="zh-CN"/>
        </w:rPr>
        <w:t>（二）一般公共预算当年拨款结构情况</w:t>
      </w:r>
      <w:bookmarkEnd w:id="31"/>
    </w:p>
    <w:p w14:paraId="3D32807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教育支出663.88万元，占100%。</w:t>
      </w:r>
    </w:p>
    <w:p w14:paraId="216DE81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9871"/>
      <w:r>
        <w:rPr>
          <w:rFonts w:hint="eastAsia" w:ascii="楷体_GB2312" w:hAnsi="楷体_GB2312" w:eastAsia="楷体_GB2312" w:cs="楷体_GB2312"/>
          <w:sz w:val="32"/>
          <w:szCs w:val="32"/>
          <w:lang w:val="en-US" w:eastAsia="zh-CN"/>
        </w:rPr>
        <w:t>（三）一般公共预算当年拨款具体使用情况</w:t>
      </w:r>
      <w:bookmarkEnd w:id="32"/>
    </w:p>
    <w:p w14:paraId="6B47ED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教育支出（类）普通教育（款）初中教育（项）2025年预算数为663.88万元，主要用于：初中教育机构的基本支出，包括基本工资、津贴补贴、基础绩效奖等人员经费以及机构运行所需的办公费、印刷费、维修（护）费、工会经费等运行补助经费。</w:t>
      </w:r>
    </w:p>
    <w:p w14:paraId="1303338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3" w:name="_Toc3415"/>
      <w:r>
        <w:rPr>
          <w:rFonts w:hint="eastAsia" w:ascii="黑体" w:hAnsi="黑体" w:eastAsia="黑体" w:cs="黑体"/>
          <w:sz w:val="32"/>
          <w:szCs w:val="32"/>
          <w:lang w:val="en-US" w:eastAsia="zh-CN"/>
        </w:rPr>
        <w:t>六、一般公共预算基本支出情况说明</w:t>
      </w:r>
      <w:bookmarkEnd w:id="33"/>
    </w:p>
    <w:p w14:paraId="4D69F3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太公中学2025年一般公共预算基本支出621.18万元，其中：</w:t>
      </w:r>
    </w:p>
    <w:p w14:paraId="6CCBFA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人员经费621.18万元，主要包括：基本工资、津贴补贴、奖金、绩效工资、社会保险缴费、住房公积金、生活补助、奖励金等支出。</w:t>
      </w:r>
    </w:p>
    <w:p w14:paraId="0D29DCF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公用经费0万元。</w:t>
      </w:r>
    </w:p>
    <w:p w14:paraId="19C31D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4" w:name="_Toc24311"/>
      <w:r>
        <w:rPr>
          <w:rFonts w:hint="eastAsia" w:ascii="黑体" w:hAnsi="黑体" w:eastAsia="黑体" w:cs="黑体"/>
          <w:sz w:val="32"/>
          <w:szCs w:val="32"/>
          <w:lang w:val="en-US" w:eastAsia="zh-CN"/>
        </w:rPr>
        <w:t>七、“三公”经费财政拨款预算安排情况说明</w:t>
      </w:r>
      <w:bookmarkEnd w:id="34"/>
    </w:p>
    <w:p w14:paraId="766616B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太公中学2025年“三公”经费财政拨款预算数0万元，其中：公务接待费0万元，公务用车购置及运行维护费0万元，因公出国（境）经费0万元。</w:t>
      </w:r>
    </w:p>
    <w:p w14:paraId="4367AD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5" w:name="_Toc5723"/>
      <w:r>
        <w:rPr>
          <w:rFonts w:hint="eastAsia" w:ascii="楷体_GB2312" w:hAnsi="楷体_GB2312" w:eastAsia="楷体_GB2312" w:cs="楷体_GB2312"/>
          <w:sz w:val="32"/>
          <w:szCs w:val="32"/>
          <w:lang w:val="en-US" w:eastAsia="zh-CN"/>
        </w:rPr>
        <w:t>（一）公务接待费</w:t>
      </w:r>
      <w:bookmarkEnd w:id="35"/>
    </w:p>
    <w:p w14:paraId="0A4AAC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0682EC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0A863FEC">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6" w:name="_Toc28888"/>
      <w:r>
        <w:rPr>
          <w:rFonts w:hint="eastAsia" w:ascii="楷体_GB2312" w:hAnsi="楷体_GB2312" w:eastAsia="楷体_GB2312" w:cs="楷体_GB2312"/>
          <w:sz w:val="32"/>
          <w:szCs w:val="32"/>
          <w:lang w:val="en-US" w:eastAsia="zh-CN"/>
        </w:rPr>
        <w:t>公务用车购置及运行维护费</w:t>
      </w:r>
      <w:bookmarkEnd w:id="36"/>
    </w:p>
    <w:p w14:paraId="1B03DE32">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4079B23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1757854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2CDD19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3A882B41">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37" w:name="_Toc3865"/>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7"/>
    </w:p>
    <w:p w14:paraId="28E4B33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7EAF9ED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8" w:name="_Toc23582"/>
      <w:r>
        <w:rPr>
          <w:rFonts w:hint="eastAsia" w:ascii="黑体" w:hAnsi="黑体" w:eastAsia="黑体" w:cs="黑体"/>
          <w:sz w:val="32"/>
          <w:szCs w:val="32"/>
          <w:lang w:val="en-US" w:eastAsia="zh-CN"/>
        </w:rPr>
        <w:t>八、政府性基金预算支出情况说明</w:t>
      </w:r>
      <w:bookmarkEnd w:id="38"/>
    </w:p>
    <w:p w14:paraId="0E444DC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太公中学2025年无政府性基金预算拨款安排的支出。</w:t>
      </w:r>
    </w:p>
    <w:p w14:paraId="2F0D1AA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9" w:name="_Toc10978"/>
      <w:r>
        <w:rPr>
          <w:rFonts w:hint="eastAsia" w:ascii="黑体" w:hAnsi="黑体" w:eastAsia="黑体" w:cs="黑体"/>
          <w:sz w:val="32"/>
          <w:szCs w:val="32"/>
          <w:lang w:val="en-US" w:eastAsia="zh-CN"/>
        </w:rPr>
        <w:t>九、国有资本经营预算支出情况说明</w:t>
      </w:r>
      <w:bookmarkEnd w:id="39"/>
    </w:p>
    <w:p w14:paraId="1539ADB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太公中学2025年无国有资本经营预算拨款安排的支出。</w:t>
      </w:r>
    </w:p>
    <w:p w14:paraId="1F8F0B7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0" w:name="_Toc21901"/>
      <w:r>
        <w:rPr>
          <w:rFonts w:hint="eastAsia" w:ascii="黑体" w:hAnsi="黑体" w:eastAsia="黑体" w:cs="黑体"/>
          <w:sz w:val="32"/>
          <w:szCs w:val="32"/>
          <w:lang w:val="en-US" w:eastAsia="zh-CN"/>
        </w:rPr>
        <w:t>十、其他重要事项的情况说明</w:t>
      </w:r>
      <w:bookmarkEnd w:id="40"/>
    </w:p>
    <w:p w14:paraId="70FE6A5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1" w:name="_Toc10073"/>
      <w:r>
        <w:rPr>
          <w:rFonts w:hint="eastAsia" w:ascii="楷体_GB2312" w:hAnsi="楷体_GB2312" w:eastAsia="楷体_GB2312" w:cs="楷体_GB2312"/>
          <w:sz w:val="32"/>
          <w:szCs w:val="32"/>
          <w:lang w:val="en-US" w:eastAsia="zh-CN"/>
        </w:rPr>
        <w:t>（一）机关运行经费</w:t>
      </w:r>
      <w:bookmarkEnd w:id="41"/>
    </w:p>
    <w:p w14:paraId="517F506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2025年，太公中学属公益一类事业单位，无机关运行经费。</w:t>
      </w:r>
    </w:p>
    <w:p w14:paraId="01DE9B2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2" w:name="_Toc14457"/>
      <w:r>
        <w:rPr>
          <w:rFonts w:hint="eastAsia" w:ascii="楷体_GB2312" w:hAnsi="楷体_GB2312" w:eastAsia="楷体_GB2312" w:cs="楷体_GB2312"/>
          <w:sz w:val="32"/>
          <w:szCs w:val="32"/>
          <w:lang w:val="en-US" w:eastAsia="zh-CN"/>
        </w:rPr>
        <w:t>（二）政府采购情况</w:t>
      </w:r>
      <w:bookmarkEnd w:id="42"/>
    </w:p>
    <w:p w14:paraId="461BB85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2025年，太公中学安排政府采购预算0万元。</w:t>
      </w:r>
    </w:p>
    <w:p w14:paraId="2C5FD0B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3" w:name="_Toc15801"/>
      <w:r>
        <w:rPr>
          <w:rFonts w:hint="eastAsia" w:ascii="楷体_GB2312" w:hAnsi="楷体_GB2312" w:eastAsia="楷体_GB2312" w:cs="楷体_GB2312"/>
          <w:sz w:val="32"/>
          <w:szCs w:val="32"/>
          <w:lang w:val="en-US" w:eastAsia="zh-CN"/>
        </w:rPr>
        <w:t>（三）国有资产占有使用情况</w:t>
      </w:r>
      <w:bookmarkEnd w:id="43"/>
    </w:p>
    <w:p w14:paraId="7755D8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截至2024年底，太公中学共有车辆0辆。单位无价值200万元以上的大型设备。</w:t>
      </w:r>
    </w:p>
    <w:p w14:paraId="2BB3755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75E829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4" w:name="_Toc24457"/>
      <w:r>
        <w:rPr>
          <w:rFonts w:hint="eastAsia" w:ascii="楷体_GB2312" w:hAnsi="楷体_GB2312" w:eastAsia="楷体_GB2312" w:cs="楷体_GB2312"/>
          <w:sz w:val="32"/>
          <w:szCs w:val="32"/>
          <w:lang w:val="en-US" w:eastAsia="zh-CN"/>
        </w:rPr>
        <w:t>（四）绩效目标设置情况</w:t>
      </w:r>
      <w:bookmarkEnd w:id="44"/>
    </w:p>
    <w:p w14:paraId="32A00B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太公中学开展绩效目标管理的项目13个，涉及预算663.88万元。其中：人员类项目10个，涉及预算621.18万元；运转类项目3个，涉及预算42.7万元；特定目标类项目0个，涉及预算0万元。因部分项目内容涉密，不予公开。</w:t>
      </w:r>
    </w:p>
    <w:p w14:paraId="60351BA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5" w:name="_Toc4890"/>
      <w:r>
        <w:rPr>
          <w:rFonts w:hint="eastAsia" w:ascii="黑体" w:hAnsi="黑体" w:eastAsia="黑体" w:cs="黑体"/>
          <w:sz w:val="32"/>
          <w:szCs w:val="32"/>
          <w:lang w:val="en-US" w:eastAsia="zh-CN"/>
        </w:rPr>
        <w:t>十一、名词解释</w:t>
      </w:r>
      <w:bookmarkEnd w:id="45"/>
    </w:p>
    <w:p w14:paraId="6DFE05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541DCC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1215BF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指除上述“一般公共预算拨款收入和事业收入”等以外的收入。如银行存款利息收入等。</w:t>
      </w:r>
    </w:p>
    <w:p w14:paraId="5A772FA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14:paraId="4BC83E8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（五）教育支出（类）普通教育（款）初中教育（项）：</w:t>
      </w:r>
      <w:r>
        <w:rPr>
          <w:rFonts w:hint="eastAsia" w:ascii="仿宋_GB2312" w:hAnsi="仿宋_GB2312" w:eastAsia="仿宋_GB2312" w:cs="仿宋_GB2312"/>
          <w:sz w:val="32"/>
          <w:szCs w:val="32"/>
          <w:lang w:val="en-US" w:eastAsia="zh-CN"/>
        </w:rPr>
        <w:t>指全区初中教育发展的基本支出，包括基本工资、津贴补贴等人员经费以及办公费、印刷费、水电费等日常公用经费。</w:t>
      </w:r>
    </w:p>
    <w:p w14:paraId="6C4129B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（六）社会保障和就业（类）行政事业单位养老支出（款）机关事业单位基本养老保险缴费支出（项）：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14:paraId="472CC2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（七）社会保障和就业（类）行政事业单位养老支出（款）机关事业单位职业年金缴费支出（项）：</w:t>
      </w:r>
      <w:r>
        <w:rPr>
          <w:rFonts w:hint="eastAsia" w:ascii="仿宋_GB2312" w:hAnsi="仿宋_GB2312" w:eastAsia="仿宋_GB2312" w:cs="仿宋_GB2312"/>
          <w:sz w:val="32"/>
          <w:szCs w:val="32"/>
          <w:lang w:val="en-US" w:eastAsia="zh-CN"/>
        </w:rPr>
        <w:t>指部门实施养老保险制度由单位缴纳的职业年金的支出。</w:t>
      </w:r>
    </w:p>
    <w:p w14:paraId="3F8F6C6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（八）卫生健康（类）行政事业单位医疗（款）事业单位医疗（项）：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14:paraId="38A44A3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14:paraId="04FAF7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14:paraId="0ADE39A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14:paraId="30493BF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费</w:t>
      </w:r>
      <w:bookmarkStart w:id="46" w:name="_GoBack"/>
      <w:bookmarkEnd w:id="46"/>
      <w:r>
        <w:rPr>
          <w:rFonts w:hint="eastAsia" w:ascii="仿宋_GB2312" w:hAnsi="仿宋_GB2312" w:eastAsia="仿宋_GB2312" w:cs="仿宋_GB2312"/>
          <w:sz w:val="32"/>
          <w:szCs w:val="32"/>
          <w:lang w:val="en-US" w:eastAsia="zh-CN"/>
        </w:rPr>
        <w:t>（含外宾接待）支出。</w:t>
      </w:r>
    </w:p>
    <w:p w14:paraId="6F4A2EE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720A1B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7B53A9AD">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单位预算项目绩效目标表</w:t>
      </w:r>
    </w:p>
    <w:p w14:paraId="726FA935">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1635AB-B6A9-44AA-80B1-5D1C3D398D5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embedRegular r:id="rId2" w:fontKey="{0B4FD84E-3B93-4BA9-B82D-B961004D34E3}"/>
  </w:font>
  <w:font w:name="仿宋_GB2312">
    <w:altName w:val="仿宋"/>
    <w:panose1 w:val="02010609030101010101"/>
    <w:charset w:val="86"/>
    <w:family w:val="auto"/>
    <w:pitch w:val="default"/>
    <w:sig w:usb0="00000000" w:usb1="00000000" w:usb2="00000000" w:usb3="00000000" w:csb0="00040000" w:csb1="00000000"/>
    <w:embedRegular r:id="rId3" w:fontKey="{7B6FAE69-97B7-4E4B-AF44-A36CDE4D7711}"/>
  </w:font>
  <w:font w:name="仿宋">
    <w:panose1 w:val="02010609060101010101"/>
    <w:charset w:val="86"/>
    <w:family w:val="auto"/>
    <w:pitch w:val="default"/>
    <w:sig w:usb0="800002BF" w:usb1="38CF7CFA" w:usb2="00000016" w:usb3="00000000" w:csb0="00040001" w:csb1="00000000"/>
    <w:embedRegular r:id="rId4" w:fontKey="{9FA5F9CC-DAD8-47EA-883E-134B7EB00D4A}"/>
  </w:font>
  <w:font w:name="楷体_GB2312">
    <w:altName w:val="楷体"/>
    <w:panose1 w:val="02010609030101010101"/>
    <w:charset w:val="86"/>
    <w:family w:val="auto"/>
    <w:pitch w:val="default"/>
    <w:sig w:usb0="00000000" w:usb1="00000000" w:usb2="00000000" w:usb3="00000000" w:csb0="00040000" w:csb1="00000000"/>
    <w:embedRegular r:id="rId5" w:fontKey="{53DCC2A0-6F85-4D3A-8DCA-B4684834A643}"/>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5932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12"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7D79861E">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AKByBc/gEAAAAEAAAOAAAAAAAAAAEAIAAAAB8BAABkcnMvZTJvRG9jLnht&#10;bFBLBQYAAAAABgAGAFkBAACPBQAAAAA=&#10;">
              <v:fill on="f" focussize="0,0"/>
              <v:stroke on="f"/>
              <v:imagedata o:title=""/>
              <o:lock v:ext="edit" aspectratio="f"/>
              <v:textbox inset="0mm,0mm,0mm,0mm" style="mso-fit-shape-to-text:t;">
                <w:txbxContent>
                  <w:p w14:paraId="7D79861E">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F756A1"/>
    <w:multiLevelType w:val="singleLevel"/>
    <w:tmpl w:val="F2F756A1"/>
    <w:lvl w:ilvl="0" w:tentative="0">
      <w:start w:val="2"/>
      <w:numFmt w:val="chineseCounting"/>
      <w:suff w:val="nothing"/>
      <w:lvlText w:val="（%1）"/>
      <w:lvlJc w:val="left"/>
      <w:rPr>
        <w:rFonts w:hint="eastAsia"/>
      </w:rPr>
    </w:lvl>
  </w:abstractNum>
  <w:abstractNum w:abstractNumId="1">
    <w:nsid w:val="152CD4EA"/>
    <w:multiLevelType w:val="singleLevel"/>
    <w:tmpl w:val="152CD4EA"/>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170035B4"/>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2">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autoRedefine/>
    <w:qFormat/>
    <w:uiPriority w:val="0"/>
  </w:style>
  <w:style w:type="paragraph" w:styleId="8">
    <w:name w:val="toc 2"/>
    <w:basedOn w:val="1"/>
    <w:next w:val="1"/>
    <w:qFormat/>
    <w:uiPriority w:val="0"/>
    <w:pPr>
      <w:ind w:left="420" w:leftChars="200"/>
    </w:pPr>
  </w:style>
  <w:style w:type="paragraph" w:styleId="9">
    <w:name w:val="Normal (Web)"/>
    <w:basedOn w:val="1"/>
    <w:autoRedefine/>
    <w:qFormat/>
    <w:uiPriority w:val="0"/>
    <w:rPr>
      <w:sz w:val="24"/>
    </w:rPr>
  </w:style>
  <w:style w:type="table" w:styleId="11">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默认段落字体1"/>
    <w:autoRedefine/>
    <w:qFormat/>
    <w:uiPriority w:val="0"/>
  </w:style>
  <w:style w:type="paragraph" w:customStyle="1" w:styleId="14">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autoRedefine/>
    <w:qFormat/>
    <w:uiPriority w:val="0"/>
    <w:pPr>
      <w:widowControl w:val="0"/>
      <w:suppressLineNumbers/>
      <w:suppressAutoHyphen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4793</Words>
  <Characters>5124</Characters>
  <TotalTime>0</TotalTime>
  <ScaleCrop>false</ScaleCrop>
  <LinksUpToDate>false</LinksUpToDate>
  <CharactersWithSpaces>5194</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2025-02-15T05:15:11Z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