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952D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25285"/>
      <w:bookmarkStart w:id="1" w:name="_Toc2052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广元市昭化区卫子初级中学</w:t>
      </w:r>
      <w:bookmarkEnd w:id="0"/>
      <w:bookmarkEnd w:id="1"/>
    </w:p>
    <w:p w14:paraId="1BC3FCC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630DC2D">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目录</w:t>
      </w:r>
    </w:p>
    <w:sdt>
      <w:sdtPr>
        <w:rPr>
          <w:rFonts w:ascii="宋体" w:hAnsi="宋体" w:eastAsia="宋体" w:cs="Times New Roman"/>
          <w:color w:val="auto"/>
          <w:kern w:val="2"/>
          <w:sz w:val="21"/>
          <w:szCs w:val="24"/>
          <w:lang w:val="en-US" w:eastAsia="zh-CN" w:bidi="ar-SA"/>
        </w:rPr>
        <w:id w:val="147461139"/>
        <w:docPartObj>
          <w:docPartGallery w:val="Table of Contents"/>
          <w:docPartUnique/>
        </w:docPartObj>
      </w:sdtPr>
      <w:sdtEndPr>
        <w:rPr>
          <w:rFonts w:hint="eastAsia" w:ascii="仿宋" w:hAnsi="仿宋" w:eastAsia="仿宋" w:cs="仿宋"/>
          <w:color w:val="auto"/>
          <w:kern w:val="2"/>
          <w:sz w:val="32"/>
          <w:szCs w:val="32"/>
          <w:lang w:val="en-US" w:eastAsia="zh-CN" w:bidi="ar-SA"/>
        </w:rPr>
      </w:sdtEndPr>
      <w:sdtContent>
        <w:p w14:paraId="1D2C0B5A">
          <w:pPr>
            <w:spacing w:before="0" w:beforeLines="0" w:after="0" w:afterLines="0" w:line="240" w:lineRule="auto"/>
            <w:ind w:left="0" w:leftChars="0" w:right="0" w:rightChars="0" w:firstLine="0" w:firstLineChars="0"/>
            <w:jc w:val="center"/>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TOC \o "1-2" \h \u</w:instrText>
          </w:r>
          <w:r>
            <w:rPr>
              <w:rFonts w:hint="eastAsia" w:ascii="仿宋" w:hAnsi="仿宋" w:eastAsia="仿宋" w:cs="仿宋"/>
              <w:color w:val="auto"/>
              <w:kern w:val="2"/>
              <w:sz w:val="32"/>
              <w:szCs w:val="32"/>
              <w:lang w:val="en-US" w:eastAsia="zh-CN"/>
            </w:rPr>
            <w:fldChar w:fldCharType="separate"/>
          </w:r>
        </w:p>
        <w:p w14:paraId="0478D83A">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"_Toc22614" </w:instrText>
          </w:r>
          <w:r>
            <w:fldChar w:fldCharType="separate"/>
          </w:r>
          <w:r>
            <w:rPr>
              <w:rFonts w:hint="eastAsia" w:ascii="仿宋" w:hAnsi="仿宋" w:eastAsia="仿宋" w:cs="仿宋"/>
              <w:color w:val="auto"/>
              <w:kern w:val="2"/>
              <w:sz w:val="32"/>
              <w:szCs w:val="32"/>
              <w:lang w:val="en-US" w:eastAsia="zh-CN"/>
            </w:rPr>
            <w:t>一、基本职能及主要工作</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_Toc22614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3</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598BEE56">
          <w:pPr>
            <w:pStyle w:val="21"/>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"_Toc12561" </w:instrText>
          </w:r>
          <w:r>
            <w:fldChar w:fldCharType="separate"/>
          </w:r>
          <w:r>
            <w:rPr>
              <w:rFonts w:hint="eastAsia" w:ascii="仿宋" w:hAnsi="仿宋" w:eastAsia="仿宋" w:cs="仿宋"/>
              <w:color w:val="auto"/>
              <w:kern w:val="2"/>
              <w:sz w:val="32"/>
              <w:szCs w:val="32"/>
              <w:lang w:val="en-US" w:eastAsia="zh-CN"/>
            </w:rPr>
            <w:t>（一）职能简介</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_Toc12561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3</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533B3979">
          <w:pPr>
            <w:pStyle w:val="21"/>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"_Toc6862" </w:instrText>
          </w:r>
          <w:r>
            <w:fldChar w:fldCharType="separate"/>
          </w:r>
          <w:r>
            <w:rPr>
              <w:rFonts w:hint="eastAsia" w:ascii="仿宋" w:hAnsi="仿宋" w:eastAsia="仿宋" w:cs="仿宋"/>
              <w:color w:val="auto"/>
              <w:kern w:val="2"/>
              <w:sz w:val="32"/>
              <w:szCs w:val="32"/>
              <w:lang w:val="en-US" w:eastAsia="zh-CN"/>
            </w:rPr>
            <w:t>（二）单位2025年重点工作</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_Toc6862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3</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3A1F731">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"_Toc26589" </w:instrText>
          </w:r>
          <w:r>
            <w:fldChar w:fldCharType="separate"/>
          </w:r>
          <w:r>
            <w:rPr>
              <w:rFonts w:hint="eastAsia" w:ascii="仿宋" w:hAnsi="仿宋" w:eastAsia="仿宋" w:cs="仿宋"/>
              <w:color w:val="auto"/>
              <w:kern w:val="2"/>
              <w:sz w:val="32"/>
              <w:szCs w:val="32"/>
              <w:lang w:val="en-US" w:eastAsia="zh-CN"/>
            </w:rPr>
            <w:t>二、部门预算单位构成</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_Toc26589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4</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0FD45663">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"_Toc12297" </w:instrText>
          </w:r>
          <w:r>
            <w:fldChar w:fldCharType="separate"/>
          </w:r>
          <w:r>
            <w:rPr>
              <w:rFonts w:hint="eastAsia" w:ascii="仿宋" w:hAnsi="仿宋" w:eastAsia="仿宋" w:cs="仿宋"/>
              <w:color w:val="auto"/>
              <w:kern w:val="2"/>
              <w:sz w:val="32"/>
              <w:szCs w:val="32"/>
              <w:lang w:val="en-US" w:eastAsia="zh-CN"/>
            </w:rPr>
            <w:t>三、收支预算情况说明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_Toc12297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68AD6419">
          <w:pPr>
            <w:pStyle w:val="21"/>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"_Toc19088" </w:instrText>
          </w:r>
          <w:r>
            <w:fldChar w:fldCharType="separate"/>
          </w:r>
          <w:r>
            <w:rPr>
              <w:rFonts w:hint="eastAsia" w:ascii="仿宋" w:hAnsi="仿宋" w:eastAsia="仿宋" w:cs="仿宋"/>
              <w:color w:val="auto"/>
              <w:kern w:val="2"/>
              <w:sz w:val="32"/>
              <w:szCs w:val="32"/>
              <w:lang w:val="en-US" w:eastAsia="zh-CN"/>
            </w:rPr>
            <w:t>（一）收入预算情况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_Toc19088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09A2A1D">
          <w:pPr>
            <w:pStyle w:val="21"/>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"_Toc16908" </w:instrText>
          </w:r>
          <w:r>
            <w:fldChar w:fldCharType="separate"/>
          </w:r>
          <w:r>
            <w:rPr>
              <w:rFonts w:hint="eastAsia" w:ascii="仿宋" w:hAnsi="仿宋" w:eastAsia="仿宋" w:cs="仿宋"/>
              <w:color w:val="auto"/>
              <w:kern w:val="2"/>
              <w:sz w:val="32"/>
              <w:szCs w:val="32"/>
              <w:lang w:val="en-US" w:eastAsia="zh-CN"/>
            </w:rPr>
            <w:t>（二）支出预算情况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_Toc16908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54F688C0">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"_Toc26068" </w:instrText>
          </w:r>
          <w:r>
            <w:fldChar w:fldCharType="separate"/>
          </w:r>
          <w:r>
            <w:rPr>
              <w:rFonts w:hint="eastAsia" w:ascii="仿宋" w:hAnsi="仿宋" w:eastAsia="仿宋" w:cs="仿宋"/>
              <w:color w:val="auto"/>
              <w:kern w:val="2"/>
              <w:sz w:val="32"/>
              <w:szCs w:val="32"/>
              <w:lang w:val="en-US" w:eastAsia="zh-CN"/>
            </w:rPr>
            <w:t>四、财政拨款收支预算情况说明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_Toc26068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5B3B65CD">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"_Toc32118" </w:instrText>
          </w:r>
          <w:r>
            <w:fldChar w:fldCharType="separate"/>
          </w:r>
          <w:r>
            <w:rPr>
              <w:rFonts w:hint="eastAsia" w:ascii="仿宋" w:hAnsi="仿宋" w:eastAsia="仿宋" w:cs="仿宋"/>
              <w:color w:val="auto"/>
              <w:kern w:val="2"/>
              <w:sz w:val="32"/>
              <w:szCs w:val="32"/>
              <w:lang w:val="en-US" w:eastAsia="zh-CN"/>
            </w:rPr>
            <w:t>五、一般公共预算当年拨款情况说明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_Toc32118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1EA4102">
          <w:pPr>
            <w:pStyle w:val="21"/>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"_Toc2195" </w:instrText>
          </w:r>
          <w:r>
            <w:fldChar w:fldCharType="separate"/>
          </w:r>
          <w:r>
            <w:rPr>
              <w:rFonts w:hint="eastAsia" w:ascii="仿宋" w:hAnsi="仿宋" w:eastAsia="仿宋" w:cs="仿宋"/>
              <w:color w:val="auto"/>
              <w:kern w:val="2"/>
              <w:sz w:val="32"/>
              <w:szCs w:val="32"/>
              <w:lang w:val="en-US" w:eastAsia="zh-CN"/>
            </w:rPr>
            <w:t>（一）一般公共预算当年拨款规模变化情况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_Toc2195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37D1AA7">
          <w:pPr>
            <w:pStyle w:val="21"/>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"_Toc8293" </w:instrText>
          </w:r>
          <w:r>
            <w:fldChar w:fldCharType="separate"/>
          </w:r>
          <w:r>
            <w:rPr>
              <w:rFonts w:hint="eastAsia" w:ascii="仿宋" w:hAnsi="仿宋" w:eastAsia="仿宋" w:cs="仿宋"/>
              <w:color w:val="auto"/>
              <w:kern w:val="2"/>
              <w:sz w:val="32"/>
              <w:szCs w:val="32"/>
              <w:lang w:val="en-US" w:eastAsia="zh-CN"/>
            </w:rPr>
            <w:t>（二）一般公共预算当年拨款结构情况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_Toc8293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5BB74F21">
          <w:pPr>
            <w:pStyle w:val="21"/>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"_Toc24544" </w:instrText>
          </w:r>
          <w:r>
            <w:fldChar w:fldCharType="separate"/>
          </w:r>
          <w:r>
            <w:rPr>
              <w:rFonts w:hint="eastAsia" w:ascii="仿宋" w:hAnsi="仿宋" w:eastAsia="仿宋" w:cs="仿宋"/>
              <w:color w:val="auto"/>
              <w:kern w:val="2"/>
              <w:sz w:val="32"/>
              <w:szCs w:val="32"/>
              <w:lang w:val="en-US" w:eastAsia="zh-CN"/>
            </w:rPr>
            <w:t>（三）一般公共预算当年拨款具体使用情况</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_Toc24544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0C209ADA">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"_Toc13639" </w:instrText>
          </w:r>
          <w:r>
            <w:fldChar w:fldCharType="separate"/>
          </w:r>
          <w:r>
            <w:rPr>
              <w:rFonts w:hint="eastAsia" w:ascii="仿宋" w:hAnsi="仿宋" w:eastAsia="仿宋" w:cs="仿宋"/>
              <w:color w:val="auto"/>
              <w:kern w:val="2"/>
              <w:sz w:val="32"/>
              <w:szCs w:val="32"/>
              <w:lang w:val="en-US" w:eastAsia="zh-CN"/>
            </w:rPr>
            <w:t>六、一般公共预算基本支出情况说明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_Toc13639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2E10D38D">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"_Toc16248" </w:instrText>
          </w:r>
          <w:r>
            <w:fldChar w:fldCharType="separate"/>
          </w:r>
          <w:r>
            <w:rPr>
              <w:rFonts w:hint="eastAsia" w:ascii="仿宋" w:hAnsi="仿宋" w:eastAsia="仿宋" w:cs="仿宋"/>
              <w:color w:val="auto"/>
              <w:kern w:val="2"/>
              <w:sz w:val="32"/>
              <w:szCs w:val="32"/>
              <w:lang w:val="en-US" w:eastAsia="zh-CN"/>
            </w:rPr>
            <w:t>七、“三公”经费财政拨款预算安排情况说明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_Toc16248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6</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10A266DC">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"_Toc29585" </w:instrText>
          </w:r>
          <w:r>
            <w:fldChar w:fldCharType="separate"/>
          </w:r>
          <w:r>
            <w:rPr>
              <w:rFonts w:hint="eastAsia" w:ascii="仿宋" w:hAnsi="仿宋" w:eastAsia="仿宋" w:cs="仿宋"/>
              <w:color w:val="auto"/>
              <w:kern w:val="2"/>
              <w:sz w:val="32"/>
              <w:szCs w:val="32"/>
              <w:lang w:val="en-US" w:eastAsia="zh-CN"/>
            </w:rPr>
            <w:t>八、政府性基金预算支出情况说明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_Toc29585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574EE161">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"_Toc25509" </w:instrText>
          </w:r>
          <w:r>
            <w:fldChar w:fldCharType="separate"/>
          </w:r>
          <w:r>
            <w:rPr>
              <w:rFonts w:hint="eastAsia" w:ascii="仿宋" w:hAnsi="仿宋" w:eastAsia="仿宋" w:cs="仿宋"/>
              <w:color w:val="auto"/>
              <w:kern w:val="2"/>
              <w:sz w:val="32"/>
              <w:szCs w:val="32"/>
              <w:lang w:val="en-US" w:eastAsia="zh-CN"/>
            </w:rPr>
            <w:t>九、国有资本经营预算支出情况说明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_Toc25509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25136C4A">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"_Toc25067" </w:instrText>
          </w:r>
          <w:r>
            <w:fldChar w:fldCharType="separate"/>
          </w:r>
          <w:r>
            <w:rPr>
              <w:rFonts w:hint="eastAsia" w:ascii="仿宋" w:hAnsi="仿宋" w:eastAsia="仿宋" w:cs="仿宋"/>
              <w:color w:val="auto"/>
              <w:kern w:val="2"/>
              <w:sz w:val="32"/>
              <w:szCs w:val="32"/>
              <w:lang w:val="en-US" w:eastAsia="zh-CN"/>
            </w:rPr>
            <w:t>十、其他重要事项的情况说明</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_Toc25067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71DF4C80">
          <w:pPr>
            <w:pStyle w:val="20"/>
            <w:tabs>
              <w:tab w:val="right" w:leader="dot" w:pos="8845"/>
            </w:tabs>
            <w:rPr>
              <w:rFonts w:hint="eastAsia" w:ascii="仿宋" w:hAnsi="仿宋" w:eastAsia="仿宋" w:cs="仿宋"/>
              <w:color w:val="auto"/>
              <w:kern w:val="2"/>
              <w:sz w:val="32"/>
              <w:szCs w:val="32"/>
              <w:lang w:val="en-US" w:eastAsia="zh-CN"/>
            </w:rPr>
          </w:pPr>
          <w:r>
            <w:fldChar w:fldCharType="begin"/>
          </w:r>
          <w:r>
            <w:instrText xml:space="preserve"> HYPERLINK \l "_Toc1423" </w:instrText>
          </w:r>
          <w:r>
            <w:fldChar w:fldCharType="separate"/>
          </w:r>
          <w:r>
            <w:rPr>
              <w:rFonts w:hint="eastAsia" w:ascii="仿宋" w:hAnsi="仿宋" w:eastAsia="仿宋" w:cs="仿宋"/>
              <w:color w:val="auto"/>
              <w:kern w:val="2"/>
              <w:sz w:val="32"/>
              <w:szCs w:val="32"/>
              <w:lang w:val="en-US" w:eastAsia="zh-CN"/>
            </w:rPr>
            <w:t>十一、名词解释</w:t>
          </w:r>
          <w:r>
            <w:rPr>
              <w:rFonts w:hint="eastAsia" w:ascii="仿宋" w:hAnsi="仿宋" w:eastAsia="仿宋" w:cs="仿宋"/>
              <w:color w:val="auto"/>
              <w:kern w:val="2"/>
              <w:sz w:val="32"/>
              <w:szCs w:val="32"/>
              <w:lang w:val="en-US" w:eastAsia="zh-CN"/>
            </w:rPr>
            <w:tab/>
          </w:r>
          <w:r>
            <w:rPr>
              <w:rFonts w:hint="eastAsia" w:ascii="仿宋" w:hAnsi="仿宋" w:eastAsia="仿宋" w:cs="仿宋"/>
              <w:color w:val="auto"/>
              <w:kern w:val="2"/>
              <w:sz w:val="32"/>
              <w:szCs w:val="32"/>
              <w:lang w:val="en-US" w:eastAsia="zh-CN"/>
            </w:rPr>
            <w:fldChar w:fldCharType="begin"/>
          </w:r>
          <w:r>
            <w:rPr>
              <w:rFonts w:hint="eastAsia" w:ascii="仿宋" w:hAnsi="仿宋" w:eastAsia="仿宋" w:cs="仿宋"/>
              <w:color w:val="auto"/>
              <w:kern w:val="2"/>
              <w:sz w:val="32"/>
              <w:szCs w:val="32"/>
              <w:lang w:val="en-US" w:eastAsia="zh-CN"/>
            </w:rPr>
            <w:instrText xml:space="preserve"> PAGEREF _Toc1423 \h </w:instrText>
          </w:r>
          <w:r>
            <w:rPr>
              <w:rFonts w:hint="eastAsia" w:ascii="仿宋" w:hAnsi="仿宋" w:eastAsia="仿宋" w:cs="仿宋"/>
              <w:color w:val="auto"/>
              <w:kern w:val="2"/>
              <w:sz w:val="32"/>
              <w:szCs w:val="32"/>
              <w:lang w:val="en-US" w:eastAsia="zh-CN"/>
            </w:rPr>
            <w:fldChar w:fldCharType="separate"/>
          </w:r>
          <w:r>
            <w:rPr>
              <w:rFonts w:hint="eastAsia" w:ascii="仿宋" w:hAnsi="仿宋" w:eastAsia="仿宋" w:cs="仿宋"/>
              <w:color w:val="auto"/>
              <w:kern w:val="2"/>
              <w:sz w:val="32"/>
              <w:szCs w:val="32"/>
              <w:lang w:val="en-US" w:eastAsia="zh-CN"/>
            </w:rPr>
            <w:t>8</w:t>
          </w:r>
          <w:r>
            <w:rPr>
              <w:rFonts w:hint="eastAsia" w:ascii="仿宋" w:hAnsi="仿宋" w:eastAsia="仿宋" w:cs="仿宋"/>
              <w:color w:val="auto"/>
              <w:kern w:val="2"/>
              <w:sz w:val="32"/>
              <w:szCs w:val="32"/>
              <w:lang w:val="en-US" w:eastAsia="zh-CN"/>
            </w:rPr>
            <w:fldChar w:fldCharType="end"/>
          </w:r>
          <w:r>
            <w:rPr>
              <w:rFonts w:hint="eastAsia" w:ascii="仿宋" w:hAnsi="仿宋" w:eastAsia="仿宋" w:cs="仿宋"/>
              <w:color w:val="auto"/>
              <w:kern w:val="2"/>
              <w:sz w:val="32"/>
              <w:szCs w:val="32"/>
              <w:lang w:val="en-US" w:eastAsia="zh-CN"/>
            </w:rPr>
            <w:fldChar w:fldCharType="end"/>
          </w:r>
        </w:p>
        <w:p w14:paraId="0287DF8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fldChar w:fldCharType="end"/>
          </w:r>
        </w:p>
      </w:sdtContent>
    </w:sdt>
    <w:p w14:paraId="5F5C7BB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pPr>
    </w:p>
    <w:p w14:paraId="700191A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FCC799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B6E5A6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8FEC5C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604F75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009062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B2AAA8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466CDC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6DBF68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F9EBDE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05F7E2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C1B844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8F4076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04052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 w:name="_Toc22614"/>
      <w:r>
        <w:rPr>
          <w:rFonts w:hint="eastAsia" w:ascii="黑体" w:hAnsi="黑体" w:eastAsia="黑体" w:cs="黑体"/>
          <w:sz w:val="32"/>
          <w:szCs w:val="32"/>
          <w:lang w:val="en-US" w:eastAsia="zh-CN"/>
        </w:rPr>
        <w:t>一、基本职能及主要工作</w:t>
      </w:r>
      <w:bookmarkEnd w:id="2"/>
    </w:p>
    <w:p w14:paraId="29F6C592">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仿宋_GB2312" w:hAnsi="仿宋_GB2312" w:eastAsia="仿宋_GB2312" w:cs="仿宋_GB2312"/>
          <w:sz w:val="32"/>
          <w:szCs w:val="32"/>
          <w:lang w:val="en-US" w:eastAsia="zh-CN"/>
        </w:rPr>
      </w:pPr>
      <w:bookmarkStart w:id="3" w:name="_Toc12561"/>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color w:val="auto"/>
          <w:kern w:val="2"/>
          <w:sz w:val="32"/>
          <w:szCs w:val="32"/>
          <w:lang w:val="en-US" w:eastAsia="zh-CN" w:bidi="ar-SA"/>
        </w:rPr>
        <w:t>职能简介</w:t>
      </w:r>
      <w:bookmarkEnd w:id="3"/>
    </w:p>
    <w:p w14:paraId="0329465C">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1.贯彻党的教育方针，坚持社会主义办学方向，实行教育与生产劳动相结合，对学生进行德育、智育、体育、美育和劳动等方面的教育。</w:t>
      </w:r>
    </w:p>
    <w:p w14:paraId="6B09D2BC">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2.负责配合政府依法动员、组织适龄儿童、少年入学，严格控制学生辍学，依法保证适龄儿童、少年接受九年义务教育。</w:t>
      </w:r>
    </w:p>
    <w:p w14:paraId="6525C2A3">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仿宋" w:hAnsi="仿宋" w:eastAsia="仿宋" w:cs="仿宋"/>
          <w:color w:val="auto"/>
          <w:kern w:val="2"/>
          <w:sz w:val="32"/>
          <w:szCs w:val="32"/>
          <w:lang w:val="en-US"/>
        </w:rPr>
      </w:pPr>
      <w:bookmarkStart w:id="4" w:name="_Toc26255"/>
      <w:r>
        <w:rPr>
          <w:rFonts w:hint="eastAsia" w:ascii="仿宋" w:hAnsi="仿宋" w:eastAsia="仿宋" w:cs="仿宋"/>
          <w:color w:val="auto"/>
          <w:kern w:val="2"/>
          <w:sz w:val="32"/>
          <w:szCs w:val="32"/>
          <w:lang w:val="en-US" w:eastAsia="zh-CN"/>
        </w:rPr>
        <w:t>3.负责依法制定学校章程，并按照章程自主管理。</w:t>
      </w:r>
      <w:bookmarkEnd w:id="4"/>
    </w:p>
    <w:p w14:paraId="0F7C4F84">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仿宋" w:hAnsi="仿宋" w:eastAsia="仿宋" w:cs="仿宋"/>
          <w:color w:val="auto"/>
          <w:kern w:val="2"/>
          <w:sz w:val="32"/>
          <w:szCs w:val="32"/>
          <w:lang w:val="en-US"/>
        </w:rPr>
      </w:pPr>
      <w:bookmarkStart w:id="5" w:name="_Toc3449"/>
      <w:r>
        <w:rPr>
          <w:rFonts w:hint="eastAsia" w:ascii="仿宋" w:hAnsi="仿宋" w:eastAsia="仿宋" w:cs="仿宋"/>
          <w:color w:val="auto"/>
          <w:kern w:val="2"/>
          <w:sz w:val="32"/>
          <w:szCs w:val="32"/>
          <w:lang w:val="en-US" w:eastAsia="zh-CN"/>
        </w:rPr>
        <w:t>4.负责制定学校教育发展规划，并抓好组织实施和落实工作。</w:t>
      </w:r>
      <w:bookmarkEnd w:id="5"/>
    </w:p>
    <w:p w14:paraId="0B6A6F6C">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仿宋" w:hAnsi="仿宋" w:eastAsia="仿宋" w:cs="仿宋"/>
          <w:color w:val="auto"/>
          <w:kern w:val="2"/>
          <w:sz w:val="32"/>
          <w:szCs w:val="32"/>
          <w:lang w:val="en-US"/>
        </w:rPr>
      </w:pPr>
      <w:bookmarkStart w:id="6" w:name="_Toc28480"/>
      <w:r>
        <w:rPr>
          <w:rFonts w:hint="eastAsia" w:ascii="仿宋" w:hAnsi="仿宋" w:eastAsia="仿宋" w:cs="仿宋"/>
          <w:color w:val="auto"/>
          <w:kern w:val="2"/>
          <w:sz w:val="32"/>
          <w:szCs w:val="32"/>
          <w:lang w:val="en-US" w:eastAsia="zh-CN"/>
        </w:rPr>
        <w:t>5.负责按照教育主管部门发布的指导性教学计划、教学大纲，组织实施教育教学活动。</w:t>
      </w:r>
      <w:bookmarkEnd w:id="6"/>
    </w:p>
    <w:p w14:paraId="13DE6A58">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仿宋" w:hAnsi="仿宋" w:eastAsia="仿宋" w:cs="仿宋"/>
          <w:color w:val="auto"/>
          <w:kern w:val="2"/>
          <w:sz w:val="32"/>
          <w:szCs w:val="32"/>
          <w:lang w:val="en-US"/>
        </w:rPr>
      </w:pPr>
      <w:bookmarkStart w:id="7" w:name="_Toc72"/>
      <w:r>
        <w:rPr>
          <w:rFonts w:hint="eastAsia" w:ascii="仿宋" w:hAnsi="仿宋" w:eastAsia="仿宋" w:cs="仿宋"/>
          <w:color w:val="auto"/>
          <w:kern w:val="2"/>
          <w:sz w:val="32"/>
          <w:szCs w:val="32"/>
          <w:lang w:val="en-US" w:eastAsia="zh-CN"/>
        </w:rPr>
        <w:t>6.负责学籍管理并对学生实施奖励或处分。</w:t>
      </w:r>
      <w:bookmarkEnd w:id="7"/>
    </w:p>
    <w:p w14:paraId="0F79F82F">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7.负责依法制定本校教师及其他职工聘任制度，并对教师及其他员工实施包括奖励、处分在内的工作。</w:t>
      </w:r>
    </w:p>
    <w:p w14:paraId="127B3DFE">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仿宋" w:hAnsi="仿宋" w:eastAsia="仿宋" w:cs="仿宋"/>
          <w:color w:val="auto"/>
          <w:kern w:val="2"/>
          <w:sz w:val="32"/>
          <w:szCs w:val="32"/>
          <w:lang w:val="en-US"/>
        </w:rPr>
      </w:pPr>
      <w:bookmarkStart w:id="8" w:name="_Toc15428"/>
      <w:r>
        <w:rPr>
          <w:rFonts w:hint="eastAsia" w:ascii="仿宋" w:hAnsi="仿宋" w:eastAsia="仿宋" w:cs="仿宋"/>
          <w:color w:val="auto"/>
          <w:kern w:val="2"/>
          <w:sz w:val="32"/>
          <w:szCs w:val="32"/>
          <w:lang w:val="en-US" w:eastAsia="zh-CN"/>
        </w:rPr>
        <w:t>8.负责科学管理、合理使用学校的设施和经费，并积极筹措资金，改善办学条件。</w:t>
      </w:r>
      <w:bookmarkEnd w:id="8"/>
    </w:p>
    <w:p w14:paraId="1CEE02A0">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rPr>
        <w:t>9.负责维护学校、师生的合法权益，有权拒绝任何组织和个人对教育教学活动的</w:t>
      </w:r>
      <w:r>
        <w:commentReference w:id="0"/>
      </w:r>
      <w:r>
        <w:rPr>
          <w:rFonts w:hint="eastAsia" w:ascii="仿宋" w:hAnsi="仿宋" w:eastAsia="仿宋" w:cs="仿宋"/>
          <w:color w:val="auto"/>
          <w:kern w:val="2"/>
          <w:sz w:val="32"/>
          <w:szCs w:val="32"/>
          <w:lang w:val="en-US" w:eastAsia="zh-CN"/>
        </w:rPr>
        <w:t>非法干扰。</w:t>
      </w:r>
    </w:p>
    <w:p w14:paraId="4C1A12E8">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仿宋" w:hAnsi="仿宋" w:eastAsia="仿宋" w:cs="仿宋"/>
          <w:color w:val="auto"/>
          <w:kern w:val="2"/>
          <w:sz w:val="32"/>
          <w:szCs w:val="32"/>
          <w:lang w:val="en-US"/>
        </w:rPr>
      </w:pPr>
      <w:bookmarkStart w:id="9" w:name="_Toc17543"/>
      <w:r>
        <w:rPr>
          <w:rFonts w:hint="eastAsia" w:ascii="仿宋" w:hAnsi="仿宋" w:eastAsia="仿宋" w:cs="仿宋"/>
          <w:color w:val="auto"/>
          <w:kern w:val="2"/>
          <w:sz w:val="32"/>
          <w:szCs w:val="32"/>
          <w:lang w:val="en-US" w:eastAsia="zh-CN"/>
        </w:rPr>
        <w:t>10.依法接受各级教育行政部门的检查指导和人民群众的监督。</w:t>
      </w:r>
      <w:bookmarkEnd w:id="9"/>
    </w:p>
    <w:p w14:paraId="55113183">
      <w:pPr>
        <w:pStyle w:val="19"/>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 w:hAnsi="仿宋" w:eastAsia="仿宋" w:cs="仿宋"/>
          <w:color w:val="auto"/>
          <w:kern w:val="2"/>
          <w:sz w:val="32"/>
          <w:szCs w:val="32"/>
          <w:lang w:val="en-US" w:eastAsia="zh-CN"/>
        </w:rPr>
        <w:t>11.承办上级交办的其他事项。</w:t>
      </w:r>
    </w:p>
    <w:p w14:paraId="30874B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10" w:name="_Toc6862"/>
      <w:r>
        <w:rPr>
          <w:rFonts w:hint="eastAsia" w:ascii="仿宋_GB2312" w:hAnsi="仿宋_GB2312" w:eastAsia="仿宋_GB2312" w:cs="仿宋_GB2312"/>
          <w:sz w:val="32"/>
          <w:szCs w:val="32"/>
          <w:lang w:val="en-US" w:eastAsia="zh-CN"/>
        </w:rPr>
        <w:t>（二）单位2025年重点工作</w:t>
      </w:r>
      <w:bookmarkEnd w:id="10"/>
    </w:p>
    <w:p w14:paraId="22A87D5A">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以党员队伍为抓手，带动</w:t>
      </w:r>
      <w:r>
        <w:commentReference w:id="1"/>
      </w:r>
      <w:r>
        <w:rPr>
          <w:rFonts w:hint="eastAsia" w:ascii="仿宋_GB2312" w:hAnsi="仿宋_GB2312" w:eastAsia="仿宋_GB2312" w:cs="仿宋_GB2312"/>
          <w:color w:val="auto"/>
          <w:kern w:val="2"/>
          <w:sz w:val="32"/>
          <w:szCs w:val="32"/>
          <w:lang w:val="en-US" w:eastAsia="zh-CN" w:bidi="ar-SA"/>
        </w:rPr>
        <w:t>干部队伍建设；学校班子成员分工明确，责任落实；各处室各司其职，充分发挥职能作用；班子团结勤奋，作风民主，凝聚力强。全面贯彻了“谁主管，谁负责，责、权高度统一”的原则；全面落实了“块线结合，以块为主，分校分区包干，分年级管理”的管理策略，实现了“规范管理、阳光行政、民主监督”的管理要求，争取2025年职业教育硬件和软件达标。</w:t>
      </w:r>
    </w:p>
    <w:p w14:paraId="1A157EC6">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学校教研工作重点围绕促进教师专业化发展这一中心任务，广泛开展校本教研活动，提高教师的教育科研能力。充分利用多媒体教学设备提高教师的教育教学水平和业务能力。</w:t>
      </w:r>
    </w:p>
    <w:p w14:paraId="1353B84B">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始终把“养成”教育放在首位，以精细管理推动养成教育；以学习引导和氛围营造为主线，致力于学生自律意识的培养；围绕“感恩教育·生命教育”的德育主题，深入开展爱国主义教育、感恩教育、礼仪教育和生命教育，切实提高德育工作的针对性、主动性和实效性。</w:t>
      </w:r>
    </w:p>
    <w:p w14:paraId="6E3BADA2">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1"/>
        <w:rPr>
          <w:rFonts w:hint="eastAsia" w:ascii="仿宋_GB2312" w:hAnsi="仿宋_GB2312" w:eastAsia="仿宋_GB2312" w:cs="仿宋_GB2312"/>
          <w:color w:val="auto"/>
          <w:kern w:val="2"/>
          <w:sz w:val="32"/>
          <w:szCs w:val="32"/>
          <w:lang w:val="en-US" w:eastAsia="zh-CN" w:bidi="ar-SA"/>
        </w:rPr>
      </w:pPr>
      <w:bookmarkStart w:id="11" w:name="_Toc8120"/>
      <w:r>
        <w:rPr>
          <w:rFonts w:hint="eastAsia" w:ascii="仿宋_GB2312" w:hAnsi="仿宋_GB2312" w:eastAsia="仿宋_GB2312" w:cs="仿宋_GB2312"/>
          <w:color w:val="auto"/>
          <w:kern w:val="2"/>
          <w:sz w:val="32"/>
          <w:szCs w:val="32"/>
          <w:lang w:val="en-US" w:eastAsia="zh-CN" w:bidi="ar-SA"/>
        </w:rPr>
        <w:t>学校坚持以人为本，牢固树立“安全第一，预防为主”</w:t>
      </w:r>
      <w:bookmarkEnd w:id="11"/>
    </w:p>
    <w:p w14:paraId="30C2FA92">
      <w:pPr>
        <w:pStyle w:val="4"/>
        <w:pageBreakBefore w:val="0"/>
        <w:numPr>
          <w:ilvl w:val="0"/>
          <w:numId w:val="0"/>
        </w:numPr>
        <w:kinsoku/>
        <w:wordWrap/>
        <w:overflowPunct/>
        <w:topLinePunct w:val="0"/>
        <w:autoSpaceDE/>
        <w:autoSpaceDN/>
        <w:bidi w:val="0"/>
        <w:adjustRightInd w:val="0"/>
        <w:snapToGrid w:val="0"/>
        <w:spacing w:before="93" w:beforeLines="0" w:line="560" w:lineRule="exact"/>
        <w:textAlignment w:val="auto"/>
        <w:outlineLvl w:val="0"/>
        <w:rPr>
          <w:rFonts w:hint="eastAsia" w:ascii="仿宋_GB2312" w:hAnsi="仿宋_GB2312" w:eastAsia="仿宋_GB2312" w:cs="仿宋_GB2312"/>
          <w:color w:val="auto"/>
          <w:kern w:val="2"/>
          <w:sz w:val="32"/>
          <w:szCs w:val="32"/>
          <w:lang w:val="en-US" w:eastAsia="zh-CN" w:bidi="ar-SA"/>
        </w:rPr>
      </w:pPr>
      <w:bookmarkStart w:id="12" w:name="_Toc15086"/>
      <w:r>
        <w:rPr>
          <w:rFonts w:hint="eastAsia" w:ascii="仿宋_GB2312" w:hAnsi="仿宋_GB2312" w:eastAsia="仿宋_GB2312" w:cs="仿宋_GB2312"/>
          <w:color w:val="auto"/>
          <w:kern w:val="2"/>
          <w:sz w:val="32"/>
          <w:szCs w:val="32"/>
          <w:lang w:val="en-US" w:eastAsia="zh-CN" w:bidi="ar-SA"/>
        </w:rPr>
        <w:t>思想，明确责任，强化措施，常抓不懈，确保不发生安全责任事故。</w:t>
      </w:r>
      <w:bookmarkEnd w:id="12"/>
    </w:p>
    <w:p w14:paraId="069A60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 w:name="_Toc26589"/>
      <w:r>
        <w:rPr>
          <w:rFonts w:hint="eastAsia" w:ascii="黑体" w:hAnsi="黑体" w:eastAsia="黑体" w:cs="黑体"/>
          <w:sz w:val="32"/>
          <w:szCs w:val="32"/>
          <w:lang w:val="en-US" w:eastAsia="zh-CN"/>
        </w:rPr>
        <w:t>二、部门预算单位构成</w:t>
      </w:r>
      <w:bookmarkEnd w:id="13"/>
    </w:p>
    <w:p w14:paraId="27679C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6FAF73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2297"/>
      <w:r>
        <w:rPr>
          <w:rFonts w:hint="eastAsia" w:ascii="黑体" w:hAnsi="黑体" w:eastAsia="黑体" w:cs="黑体"/>
          <w:sz w:val="32"/>
          <w:szCs w:val="32"/>
          <w:lang w:val="en-US" w:eastAsia="zh-CN"/>
        </w:rPr>
        <w:t>三、收支预算情况说明</w:t>
      </w:r>
      <w:bookmarkEnd w:id="14"/>
    </w:p>
    <w:p w14:paraId="2622C5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按照综合预算的原则，卫子中学所有收入和支出均纳入部门预算管理。收入包括：一般公共预算拨款收入；支出包括：教育支出。卫子中学2025年收支预算总数</w:t>
      </w:r>
      <w:r>
        <w:rPr>
          <w:rFonts w:hint="eastAsia" w:ascii="Times New Roman" w:hAnsi="Times New Roman" w:eastAsia="仿宋_GB2312" w:cs="Times New Roman"/>
          <w:color w:val="000000"/>
          <w:kern w:val="2"/>
          <w:sz w:val="32"/>
          <w:szCs w:val="32"/>
          <w:highlight w:val="none"/>
          <w:lang w:val="en-US" w:eastAsia="zh-CN" w:bidi="ar-SA"/>
        </w:rPr>
        <w:t>726.72</w:t>
      </w:r>
      <w:r>
        <w:rPr>
          <w:rFonts w:hint="eastAsia" w:ascii="仿宋_GB2312" w:hAnsi="仿宋_GB2312" w:eastAsia="仿宋_GB2312" w:cs="仿宋_GB2312"/>
          <w:sz w:val="32"/>
          <w:szCs w:val="32"/>
          <w:lang w:val="en-US" w:eastAsia="zh-CN"/>
        </w:rPr>
        <w:t>万元，比2024年收支预算总数增加</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62.36</w:t>
      </w:r>
      <w:r>
        <w:rPr>
          <w:rFonts w:hint="eastAsia" w:ascii="仿宋_GB2312" w:hAnsi="仿宋_GB2312" w:eastAsia="仿宋_GB2312" w:cs="仿宋_GB2312"/>
          <w:sz w:val="32"/>
          <w:szCs w:val="32"/>
          <w:lang w:val="en-US" w:eastAsia="zh-CN"/>
        </w:rPr>
        <w:t>万元，主要原因是基本支出增加。</w:t>
      </w:r>
    </w:p>
    <w:p w14:paraId="13221B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9088"/>
      <w:r>
        <w:rPr>
          <w:rFonts w:hint="eastAsia" w:ascii="楷体_GB2312" w:hAnsi="楷体_GB2312" w:eastAsia="楷体_GB2312" w:cs="楷体_GB2312"/>
          <w:sz w:val="32"/>
          <w:szCs w:val="32"/>
          <w:lang w:val="en-US" w:eastAsia="zh-CN"/>
        </w:rPr>
        <w:t>（一）收入预算情况</w:t>
      </w:r>
      <w:bookmarkEnd w:id="15"/>
    </w:p>
    <w:p w14:paraId="1FCFC9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卫子中学2025年收入预算</w:t>
      </w:r>
      <w:r>
        <w:rPr>
          <w:rFonts w:hint="eastAsia" w:ascii="Times New Roman" w:hAnsi="Times New Roman" w:eastAsia="仿宋_GB2312" w:cs="Times New Roman"/>
          <w:color w:val="000000"/>
          <w:kern w:val="2"/>
          <w:sz w:val="32"/>
          <w:szCs w:val="32"/>
          <w:highlight w:val="none"/>
          <w:lang w:val="en-US" w:eastAsia="zh-CN" w:bidi="ar-SA"/>
        </w:rPr>
        <w:t>726.72</w:t>
      </w:r>
      <w:r>
        <w:rPr>
          <w:rFonts w:hint="eastAsia" w:ascii="仿宋_GB2312" w:hAnsi="仿宋_GB2312" w:eastAsia="仿宋_GB2312" w:cs="仿宋_GB2312"/>
          <w:sz w:val="32"/>
          <w:szCs w:val="32"/>
          <w:lang w:val="en-US" w:eastAsia="zh-CN"/>
        </w:rPr>
        <w:t>万元，其中：一般公共预算拨款收入</w:t>
      </w:r>
      <w:r>
        <w:rPr>
          <w:rFonts w:hint="eastAsia" w:ascii="Times New Roman" w:hAnsi="Times New Roman" w:eastAsia="仿宋_GB2312" w:cs="Times New Roman"/>
          <w:color w:val="000000"/>
          <w:kern w:val="2"/>
          <w:sz w:val="32"/>
          <w:szCs w:val="32"/>
          <w:highlight w:val="none"/>
          <w:lang w:val="en-US" w:eastAsia="zh-CN" w:bidi="ar-SA"/>
        </w:rPr>
        <w:t>726.72</w:t>
      </w:r>
      <w:r>
        <w:rPr>
          <w:rFonts w:hint="eastAsia" w:ascii="仿宋_GB2312" w:hAnsi="仿宋_GB2312" w:eastAsia="仿宋_GB2312" w:cs="仿宋_GB2312"/>
          <w:sz w:val="32"/>
          <w:szCs w:val="32"/>
          <w:lang w:val="en-US" w:eastAsia="zh-CN"/>
        </w:rPr>
        <w:t>万元，占100%。</w:t>
      </w:r>
    </w:p>
    <w:p w14:paraId="50A148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6908"/>
      <w:r>
        <w:rPr>
          <w:rFonts w:hint="eastAsia" w:ascii="楷体_GB2312" w:hAnsi="楷体_GB2312" w:eastAsia="楷体_GB2312" w:cs="楷体_GB2312"/>
          <w:sz w:val="32"/>
          <w:szCs w:val="32"/>
          <w:lang w:val="en-US" w:eastAsia="zh-CN"/>
        </w:rPr>
        <w:t>（二）支出预算情况</w:t>
      </w:r>
      <w:bookmarkEnd w:id="16"/>
    </w:p>
    <w:p w14:paraId="6F3188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卫子中学2025年支出预算</w:t>
      </w:r>
      <w:r>
        <w:rPr>
          <w:rFonts w:hint="eastAsia" w:ascii="Times New Roman" w:hAnsi="Times New Roman" w:eastAsia="仿宋_GB2312" w:cs="Times New Roman"/>
          <w:color w:val="000000"/>
          <w:kern w:val="2"/>
          <w:sz w:val="32"/>
          <w:szCs w:val="32"/>
          <w:highlight w:val="none"/>
          <w:lang w:val="en-US" w:eastAsia="zh-CN" w:bidi="ar-SA"/>
        </w:rPr>
        <w:t>726.72</w:t>
      </w:r>
      <w:r>
        <w:rPr>
          <w:rFonts w:hint="eastAsia" w:ascii="仿宋_GB2312" w:hAnsi="仿宋_GB2312" w:eastAsia="仿宋_GB2312" w:cs="仿宋_GB2312"/>
          <w:sz w:val="32"/>
          <w:szCs w:val="32"/>
          <w:lang w:val="en-US" w:eastAsia="zh-CN"/>
        </w:rPr>
        <w:t>万元，其中：基本支出</w:t>
      </w:r>
      <w:r>
        <w:rPr>
          <w:rFonts w:hint="eastAsia" w:ascii="Times New Roman" w:hAnsi="Times New Roman" w:eastAsia="仿宋_GB2312" w:cs="Times New Roman"/>
          <w:color w:val="000000"/>
          <w:kern w:val="2"/>
          <w:sz w:val="32"/>
          <w:szCs w:val="32"/>
          <w:highlight w:val="none"/>
          <w:lang w:val="en-US" w:eastAsia="zh-CN" w:bidi="ar-SA"/>
        </w:rPr>
        <w:t>726.72</w:t>
      </w:r>
      <w:r>
        <w:rPr>
          <w:rFonts w:hint="eastAsia" w:ascii="仿宋_GB2312" w:hAnsi="仿宋_GB2312" w:eastAsia="仿宋_GB2312" w:cs="仿宋_GB2312"/>
          <w:sz w:val="32"/>
          <w:szCs w:val="32"/>
          <w:lang w:val="en-US" w:eastAsia="zh-CN"/>
        </w:rPr>
        <w:t>万元，占100%</w:t>
      </w:r>
      <w:r>
        <w:rPr>
          <w:rFonts w:hint="eastAsia" w:ascii="仿宋_GB2312" w:hAnsi="仿宋_GB2312" w:eastAsia="仿宋_GB2312" w:cs="仿宋_GB2312"/>
          <w:b w:val="0"/>
          <w:bCs w:val="0"/>
          <w:sz w:val="32"/>
          <w:szCs w:val="32"/>
          <w:lang w:val="en-US" w:eastAsia="zh-CN"/>
        </w:rPr>
        <w:t>。</w:t>
      </w:r>
    </w:p>
    <w:p w14:paraId="03CCB5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26068"/>
      <w:r>
        <w:rPr>
          <w:rFonts w:hint="eastAsia" w:ascii="黑体" w:hAnsi="黑体" w:eastAsia="黑体" w:cs="黑体"/>
          <w:sz w:val="32"/>
          <w:szCs w:val="32"/>
          <w:lang w:val="en-US" w:eastAsia="zh-CN"/>
        </w:rPr>
        <w:t>四、财政拨款收支预算情况说明</w:t>
      </w:r>
      <w:bookmarkEnd w:id="17"/>
    </w:p>
    <w:p w14:paraId="49B24A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卫子中学2025年财政拨款收支预算总数726.72万元，比2024年财政拨款收支预算总数增加</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62.36</w:t>
      </w:r>
      <w:r>
        <w:rPr>
          <w:rFonts w:hint="eastAsia" w:ascii="仿宋_GB2312" w:hAnsi="仿宋_GB2312" w:eastAsia="仿宋_GB2312" w:cs="仿宋_GB2312"/>
          <w:sz w:val="32"/>
          <w:szCs w:val="32"/>
          <w:lang w:val="en-US" w:eastAsia="zh-CN"/>
        </w:rPr>
        <w:t>万元，主要原因是新增加在编教师人员经费。</w:t>
      </w:r>
    </w:p>
    <w:p w14:paraId="2F847D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收入包括：本年一般公共预算拨款收入726.72万元；支出包括：教育支出726.72万元。</w:t>
      </w:r>
    </w:p>
    <w:p w14:paraId="3EF9B6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32118"/>
      <w:r>
        <w:rPr>
          <w:rFonts w:hint="eastAsia" w:ascii="黑体" w:hAnsi="黑体" w:eastAsia="黑体" w:cs="黑体"/>
          <w:sz w:val="32"/>
          <w:szCs w:val="32"/>
          <w:lang w:val="en-US" w:eastAsia="zh-CN"/>
        </w:rPr>
        <w:t>五、一般公共预算当年拨款情况说明</w:t>
      </w:r>
      <w:bookmarkEnd w:id="18"/>
    </w:p>
    <w:p w14:paraId="5522D4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2195"/>
      <w:r>
        <w:rPr>
          <w:rFonts w:hint="eastAsia" w:ascii="楷体_GB2312" w:hAnsi="楷体_GB2312" w:eastAsia="楷体_GB2312" w:cs="楷体_GB2312"/>
          <w:sz w:val="32"/>
          <w:szCs w:val="32"/>
          <w:lang w:val="en-US" w:eastAsia="zh-CN"/>
        </w:rPr>
        <w:t>（一）一般公共预算当年拨款规模变化情况</w:t>
      </w:r>
      <w:bookmarkEnd w:id="19"/>
    </w:p>
    <w:p w14:paraId="19C72E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卫子中学2025年一般公共预算当年拨款726.72万元，比2024年预算数增加</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62.36</w:t>
      </w:r>
      <w:r>
        <w:rPr>
          <w:rFonts w:hint="eastAsia" w:ascii="仿宋_GB2312" w:hAnsi="仿宋_GB2312" w:eastAsia="仿宋_GB2312" w:cs="仿宋_GB2312"/>
          <w:sz w:val="32"/>
          <w:szCs w:val="32"/>
          <w:lang w:val="en-US" w:eastAsia="zh-CN"/>
        </w:rPr>
        <w:t>万元，主要原因是新增加在编教师人员经费。</w:t>
      </w:r>
    </w:p>
    <w:p w14:paraId="2F0AAB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8293"/>
      <w:r>
        <w:rPr>
          <w:rFonts w:hint="eastAsia" w:ascii="楷体_GB2312" w:hAnsi="楷体_GB2312" w:eastAsia="楷体_GB2312" w:cs="楷体_GB2312"/>
          <w:sz w:val="32"/>
          <w:szCs w:val="32"/>
          <w:lang w:val="en-US" w:eastAsia="zh-CN"/>
        </w:rPr>
        <w:t>（二）一般公共预算当年拨款结构情况</w:t>
      </w:r>
      <w:bookmarkEnd w:id="20"/>
    </w:p>
    <w:p w14:paraId="3DE74A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教育支出726.72万元，占100%。</w:t>
      </w:r>
    </w:p>
    <w:p w14:paraId="78F697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4544"/>
      <w:r>
        <w:rPr>
          <w:rFonts w:hint="eastAsia" w:ascii="楷体_GB2312" w:hAnsi="楷体_GB2312" w:eastAsia="楷体_GB2312" w:cs="楷体_GB2312"/>
          <w:sz w:val="32"/>
          <w:szCs w:val="32"/>
          <w:lang w:val="en-US" w:eastAsia="zh-CN"/>
        </w:rPr>
        <w:t>（三）一般公共预算当年拨款具体使用情况</w:t>
      </w:r>
      <w:bookmarkEnd w:id="21"/>
    </w:p>
    <w:p w14:paraId="4EECC8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教育支出（类）普通教育（款）初中教育（项）2025年预算数为</w:t>
      </w:r>
      <w:r>
        <w:rPr>
          <w:rFonts w:hint="eastAsia" w:ascii="仿宋_GB2312" w:hAnsi="仿宋_GB2312" w:eastAsia="仿宋_GB2312" w:cs="仿宋_GB2312"/>
          <w:sz w:val="32"/>
          <w:szCs w:val="32"/>
          <w:lang w:val="en-US" w:eastAsia="zh-CN"/>
        </w:rPr>
        <w:t>726.72</w:t>
      </w:r>
      <w:r>
        <w:rPr>
          <w:rFonts w:hint="eastAsia" w:ascii="Times New Roman" w:hAnsi="Times New Roman" w:eastAsia="仿宋_GB2312" w:cs="Times New Roman"/>
          <w:color w:val="000000"/>
          <w:kern w:val="2"/>
          <w:sz w:val="32"/>
          <w:szCs w:val="32"/>
          <w:highlight w:val="none"/>
          <w:lang w:val="en-US" w:eastAsia="zh-CN" w:bidi="ar-SA"/>
        </w:rPr>
        <w:t>万元，主要用于：教育机构的基本支出，包括基本工资、津贴补贴、基础绩效奖等人员经费以及机构运行所需的办公费、印刷费、维修（护）费、工会经费等运行补助经费。</w:t>
      </w:r>
    </w:p>
    <w:p w14:paraId="7ECCFE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13639"/>
      <w:r>
        <w:rPr>
          <w:rFonts w:hint="eastAsia" w:ascii="黑体" w:hAnsi="黑体" w:eastAsia="黑体" w:cs="黑体"/>
          <w:sz w:val="32"/>
          <w:szCs w:val="32"/>
          <w:lang w:val="en-US" w:eastAsia="zh-CN"/>
        </w:rPr>
        <w:t>六、一般公共预算基本支出情况说明</w:t>
      </w:r>
      <w:bookmarkEnd w:id="22"/>
    </w:p>
    <w:p w14:paraId="084328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卫子中学2025年一般公共预算基本支出726.72万元，其中：</w:t>
      </w:r>
    </w:p>
    <w:p w14:paraId="6F41C7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w:t>
      </w:r>
      <w:r>
        <w:rPr>
          <w:rFonts w:hint="eastAsia" w:ascii="Times New Roman" w:hAnsi="Times New Roman" w:eastAsia="仿宋_GB2312" w:cs="Times New Roman"/>
          <w:color w:val="000000"/>
          <w:kern w:val="2"/>
          <w:sz w:val="32"/>
          <w:szCs w:val="32"/>
          <w:highlight w:val="none"/>
          <w:lang w:val="en-US" w:eastAsia="zh-CN" w:bidi="ar-SA"/>
        </w:rPr>
        <w:t>683.72</w:t>
      </w:r>
      <w:r>
        <w:rPr>
          <w:rFonts w:hint="eastAsia" w:ascii="仿宋_GB2312" w:hAnsi="仿宋_GB2312" w:eastAsia="仿宋_GB2312" w:cs="仿宋_GB2312"/>
          <w:sz w:val="32"/>
          <w:szCs w:val="32"/>
          <w:lang w:val="en-US" w:eastAsia="zh-CN"/>
        </w:rPr>
        <w:t>万元，主要包括：基本工资、津贴补贴、奖金、绩效工资、社会保险缴费、住房公积金、生活补助、奖励金等支出。</w:t>
      </w:r>
    </w:p>
    <w:p w14:paraId="361344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宋体" w:cs="仿宋_GB2312"/>
          <w:sz w:val="32"/>
          <w:szCs w:val="32"/>
          <w:lang w:val="en-US" w:eastAsia="zh-CN"/>
        </w:rPr>
      </w:pPr>
      <w:r>
        <w:rPr>
          <w:rFonts w:hint="eastAsia" w:ascii="仿宋_GB2312" w:hAnsi="仿宋_GB2312" w:eastAsia="仿宋_GB2312" w:cs="仿宋_GB2312"/>
          <w:sz w:val="32"/>
          <w:szCs w:val="32"/>
          <w:lang w:val="en-US" w:eastAsia="zh-CN"/>
        </w:rPr>
        <w:t>公用经费0元</w:t>
      </w:r>
      <w:r>
        <w:rPr>
          <w:rFonts w:hint="eastAsia"/>
          <w:lang w:eastAsia="zh-CN"/>
        </w:rPr>
        <w:t>。</w:t>
      </w:r>
    </w:p>
    <w:p w14:paraId="2DCCA8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16248"/>
      <w:r>
        <w:rPr>
          <w:rFonts w:hint="eastAsia" w:ascii="黑体" w:hAnsi="黑体" w:eastAsia="黑体" w:cs="黑体"/>
          <w:sz w:val="32"/>
          <w:szCs w:val="32"/>
          <w:lang w:val="en-US" w:eastAsia="zh-CN"/>
        </w:rPr>
        <w:t>七、“三公”经费财政拨款预算安排情况说明</w:t>
      </w:r>
      <w:bookmarkEnd w:id="23"/>
    </w:p>
    <w:p w14:paraId="4AE8F0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卫子中学2025年“三公”经费财政拨款预算数0万元，其中：公务接待费0.2万元，公务用车购置及运行维护费0万元，因公出国（境）经费0万元。</w:t>
      </w:r>
    </w:p>
    <w:p w14:paraId="45433C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22371"/>
      <w:bookmarkStart w:id="25" w:name="_Toc28644"/>
      <w:r>
        <w:rPr>
          <w:rFonts w:hint="eastAsia" w:ascii="楷体_GB2312" w:hAnsi="楷体_GB2312" w:eastAsia="楷体_GB2312" w:cs="楷体_GB2312"/>
          <w:sz w:val="32"/>
          <w:szCs w:val="32"/>
          <w:lang w:val="en-US" w:eastAsia="zh-CN"/>
        </w:rPr>
        <w:t>（一）公务接待费</w:t>
      </w:r>
      <w:bookmarkEnd w:id="24"/>
      <w:bookmarkEnd w:id="25"/>
    </w:p>
    <w:p w14:paraId="495379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公务接待费与2024年预算相比增加0.2万元，主要原因是上年未预算公务接待费，今年预计产生公务接待费0.2万元。</w:t>
      </w:r>
    </w:p>
    <w:p w14:paraId="60FF61C4">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26390"/>
      <w:bookmarkStart w:id="27" w:name="_Toc22770"/>
      <w:r>
        <w:rPr>
          <w:rFonts w:hint="eastAsia" w:ascii="楷体_GB2312" w:hAnsi="楷体_GB2312" w:eastAsia="楷体_GB2312" w:cs="楷体_GB2312"/>
          <w:sz w:val="32"/>
          <w:szCs w:val="32"/>
          <w:lang w:val="en-US" w:eastAsia="zh-CN"/>
        </w:rPr>
        <w:t>公务用车购置及运行维护费</w:t>
      </w:r>
      <w:bookmarkEnd w:id="26"/>
      <w:bookmarkEnd w:id="27"/>
    </w:p>
    <w:p w14:paraId="5024EDC7">
      <w:pPr>
        <w:pStyle w:val="10"/>
        <w:widowControl/>
        <w:numPr>
          <w:ilvl w:val="0"/>
          <w:numId w:val="0"/>
        </w:numPr>
        <w:spacing w:before="120" w:line="576" w:lineRule="exact"/>
        <w:ind w:right="0" w:righ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62343E09">
      <w:pPr>
        <w:pStyle w:val="10"/>
        <w:widowControl/>
        <w:numPr>
          <w:ilvl w:val="0"/>
          <w:numId w:val="0"/>
        </w:numPr>
        <w:spacing w:before="120" w:line="576" w:lineRule="exact"/>
        <w:ind w:right="0" w:rightChars="0" w:firstLine="640" w:firstLineChars="200"/>
        <w:rPr>
          <w:rFonts w:hint="default" w:ascii="Times New Roman" w:hAnsi="Times New Roman" w:eastAsia="楷体" w:cs="Times New Roman"/>
          <w:sz w:val="32"/>
          <w:szCs w:val="32"/>
          <w:lang w:val="en-US"/>
        </w:rPr>
      </w:pPr>
      <w:r>
        <w:rPr>
          <w:rFonts w:hint="default" w:ascii="Times New Roman" w:hAnsi="Times New Roman" w:eastAsia="仿宋_GB2312" w:cs="Times New Roman"/>
          <w:kern w:val="2"/>
          <w:sz w:val="32"/>
          <w:szCs w:val="32"/>
          <w:lang w:val="en-US" w:eastAsia="zh-CN" w:bidi="ar-SA"/>
        </w:rPr>
        <w:t>因无公务车，未预算公务用车运行维护费</w:t>
      </w:r>
      <w:r>
        <w:rPr>
          <w:rFonts w:hint="eastAsia" w:ascii="Times New Roman" w:hAnsi="Times New Roman" w:eastAsia="仿宋_GB2312" w:cs="Times New Roman"/>
          <w:kern w:val="2"/>
          <w:sz w:val="32"/>
          <w:szCs w:val="32"/>
          <w:lang w:val="en-US" w:eastAsia="zh-CN" w:bidi="ar-SA"/>
        </w:rPr>
        <w:t>。</w:t>
      </w:r>
    </w:p>
    <w:p w14:paraId="14680F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仿宋_GB2312" w:hAnsi="仿宋_GB2312" w:eastAsia="仿宋_GB2312" w:cs="仿宋_GB2312"/>
          <w:sz w:val="32"/>
          <w:szCs w:val="32"/>
          <w:lang w:val="en-US" w:eastAsia="zh-CN"/>
        </w:rPr>
        <w:t>单位现有公务用车0辆</w:t>
      </w:r>
      <w:r>
        <w:rPr>
          <w:rFonts w:hint="eastAsia" w:ascii="Times New Roman" w:hAnsi="Times New Roman" w:eastAsia="仿宋_GB2312" w:cs="Times New Roman"/>
          <w:kern w:val="2"/>
          <w:sz w:val="32"/>
          <w:szCs w:val="32"/>
          <w:lang w:val="en-US" w:eastAsia="zh-CN" w:bidi="ar-SA"/>
        </w:rPr>
        <w:t>。</w:t>
      </w:r>
    </w:p>
    <w:p w14:paraId="09A7CE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37AF69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0579BBEE">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bookmarkStart w:id="28" w:name="_Toc16179"/>
      <w:bookmarkStart w:id="29" w:name="_Toc1838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8"/>
      <w:bookmarkEnd w:id="29"/>
    </w:p>
    <w:p w14:paraId="3DCB6C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5CAAA9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0" w:name="_Toc29585"/>
      <w:bookmarkStart w:id="31" w:name="_Toc21653"/>
      <w:r>
        <w:rPr>
          <w:rFonts w:hint="eastAsia" w:ascii="黑体" w:hAnsi="黑体" w:eastAsia="黑体" w:cs="黑体"/>
          <w:sz w:val="32"/>
          <w:szCs w:val="32"/>
          <w:lang w:val="en-US" w:eastAsia="zh-CN"/>
        </w:rPr>
        <w:t>八、政府性基金预算支出情况说明</w:t>
      </w:r>
      <w:bookmarkEnd w:id="30"/>
      <w:bookmarkEnd w:id="31"/>
    </w:p>
    <w:p w14:paraId="748270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卫子中学2025年无政府性基金预算拨款安排的支出。</w:t>
      </w:r>
    </w:p>
    <w:p w14:paraId="5DE282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2" w:name="_Toc25509"/>
      <w:r>
        <w:rPr>
          <w:rFonts w:hint="eastAsia" w:ascii="黑体" w:hAnsi="黑体" w:eastAsia="黑体" w:cs="黑体"/>
          <w:sz w:val="32"/>
          <w:szCs w:val="32"/>
          <w:lang w:val="en-US" w:eastAsia="zh-CN"/>
        </w:rPr>
        <w:t>九、国有资本经营预算支出情况说明</w:t>
      </w:r>
      <w:bookmarkEnd w:id="32"/>
    </w:p>
    <w:p w14:paraId="520914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卫子中学2025年无国有资本经营预算拨款安排的支出。</w:t>
      </w:r>
    </w:p>
    <w:p w14:paraId="528061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3" w:name="_Toc25067"/>
      <w:r>
        <w:rPr>
          <w:rFonts w:hint="eastAsia" w:ascii="黑体" w:hAnsi="黑体" w:eastAsia="黑体" w:cs="黑体"/>
          <w:sz w:val="32"/>
          <w:szCs w:val="32"/>
          <w:lang w:val="en-US" w:eastAsia="zh-CN"/>
        </w:rPr>
        <w:t>十、其他重要事项的情况说明</w:t>
      </w:r>
      <w:bookmarkEnd w:id="33"/>
    </w:p>
    <w:p w14:paraId="1394F1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4" w:name="_Toc26622"/>
      <w:bookmarkStart w:id="35" w:name="_Toc16964"/>
      <w:r>
        <w:rPr>
          <w:rFonts w:hint="eastAsia" w:ascii="楷体_GB2312" w:hAnsi="楷体_GB2312" w:eastAsia="楷体_GB2312" w:cs="楷体_GB2312"/>
          <w:sz w:val="32"/>
          <w:szCs w:val="32"/>
          <w:lang w:val="en-US" w:eastAsia="zh-CN"/>
        </w:rPr>
        <w:t>（一）机关运行经费</w:t>
      </w:r>
      <w:bookmarkEnd w:id="34"/>
      <w:bookmarkEnd w:id="35"/>
    </w:p>
    <w:p w14:paraId="32FF7B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08CF96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6" w:name="_Toc17755"/>
      <w:bookmarkStart w:id="37" w:name="_Toc31660"/>
      <w:r>
        <w:rPr>
          <w:rFonts w:hint="eastAsia" w:ascii="楷体_GB2312" w:hAnsi="楷体_GB2312" w:eastAsia="楷体_GB2312" w:cs="楷体_GB2312"/>
          <w:sz w:val="32"/>
          <w:szCs w:val="32"/>
          <w:lang w:val="en-US" w:eastAsia="zh-CN"/>
        </w:rPr>
        <w:t>（二）政府采购情况</w:t>
      </w:r>
      <w:bookmarkEnd w:id="36"/>
      <w:bookmarkEnd w:id="37"/>
    </w:p>
    <w:p w14:paraId="0311EB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2025年，本单位未安排政府采购预算。</w:t>
      </w:r>
    </w:p>
    <w:p w14:paraId="0E33D6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8" w:name="_Toc15440"/>
      <w:bookmarkStart w:id="39" w:name="_Toc1194"/>
      <w:r>
        <w:rPr>
          <w:rFonts w:hint="eastAsia" w:ascii="楷体_GB2312" w:hAnsi="楷体_GB2312" w:eastAsia="楷体_GB2312" w:cs="楷体_GB2312"/>
          <w:sz w:val="32"/>
          <w:szCs w:val="32"/>
          <w:lang w:val="en-US" w:eastAsia="zh-CN"/>
        </w:rPr>
        <w:t>（三）国有资产占有使用情况</w:t>
      </w:r>
      <w:bookmarkEnd w:id="38"/>
      <w:bookmarkEnd w:id="39"/>
    </w:p>
    <w:p w14:paraId="3067F9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截至2024年底，卫子中学共有车辆0辆，单位无价值200万元以上的大型设备。</w:t>
      </w:r>
    </w:p>
    <w:p w14:paraId="638423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47416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0" w:name="_Toc32575"/>
      <w:bookmarkStart w:id="41" w:name="_Toc13307"/>
      <w:r>
        <w:rPr>
          <w:rFonts w:hint="eastAsia" w:ascii="楷体_GB2312" w:hAnsi="楷体_GB2312" w:eastAsia="楷体_GB2312" w:cs="楷体_GB2312"/>
          <w:sz w:val="32"/>
          <w:szCs w:val="32"/>
          <w:lang w:val="en-US" w:eastAsia="zh-CN"/>
        </w:rPr>
        <w:t>（四）绩效目标设置情况</w:t>
      </w:r>
      <w:bookmarkEnd w:id="40"/>
      <w:bookmarkEnd w:id="41"/>
    </w:p>
    <w:p w14:paraId="33B876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2025年本单位开展绩效目标管理的项目14个，涉及预算</w:t>
      </w:r>
      <w:r>
        <w:rPr>
          <w:rFonts w:hint="eastAsia" w:ascii="Times New Roman" w:hAnsi="Times New Roman" w:eastAsia="仿宋_GB2312" w:cs="Times New Roman"/>
          <w:color w:val="000000"/>
          <w:kern w:val="2"/>
          <w:sz w:val="32"/>
          <w:szCs w:val="32"/>
          <w:highlight w:val="none"/>
          <w:lang w:val="en-US" w:eastAsia="zh-CN" w:bidi="ar-SA"/>
        </w:rPr>
        <w:t>726.72</w:t>
      </w:r>
      <w:r>
        <w:rPr>
          <w:rFonts w:hint="eastAsia" w:ascii="仿宋_GB2312" w:hAnsi="仿宋_GB2312" w:eastAsia="仿宋_GB2312" w:cs="仿宋_GB2312"/>
          <w:sz w:val="32"/>
          <w:szCs w:val="32"/>
          <w:lang w:val="en-US" w:eastAsia="zh-CN"/>
        </w:rPr>
        <w:t>万元。其中：人员类项目</w:t>
      </w:r>
      <w:r>
        <w:rPr>
          <w:rFonts w:hint="default"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0个，涉及预算</w:t>
      </w:r>
      <w:r>
        <w:rPr>
          <w:rFonts w:hint="eastAsia" w:ascii="Times New Roman" w:hAnsi="Times New Roman" w:eastAsia="仿宋_GB2312" w:cs="Times New Roman"/>
          <w:color w:val="000000"/>
          <w:kern w:val="2"/>
          <w:sz w:val="32"/>
          <w:szCs w:val="32"/>
          <w:highlight w:val="none"/>
          <w:lang w:val="en-US" w:eastAsia="zh-CN" w:bidi="ar-SA"/>
        </w:rPr>
        <w:t>683.72</w:t>
      </w:r>
      <w:r>
        <w:rPr>
          <w:rFonts w:hint="eastAsia" w:ascii="仿宋_GB2312" w:hAnsi="仿宋_GB2312" w:eastAsia="仿宋_GB2312" w:cs="仿宋_GB2312"/>
          <w:sz w:val="32"/>
          <w:szCs w:val="32"/>
          <w:lang w:val="en-US" w:eastAsia="zh-CN"/>
        </w:rPr>
        <w:t>万元；运转类项目4个，涉及预算43万元；</w:t>
      </w:r>
    </w:p>
    <w:p w14:paraId="0E9551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2" w:name="_Toc1423"/>
      <w:r>
        <w:rPr>
          <w:rFonts w:hint="eastAsia" w:ascii="黑体" w:hAnsi="黑体" w:eastAsia="黑体" w:cs="黑体"/>
          <w:sz w:val="32"/>
          <w:szCs w:val="32"/>
          <w:lang w:val="en-US" w:eastAsia="zh-CN"/>
        </w:rPr>
        <w:t>十一、名词解释</w:t>
      </w:r>
      <w:bookmarkEnd w:id="42"/>
    </w:p>
    <w:p w14:paraId="760FB7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45" w:name="_GoBack"/>
      <w:bookmarkEnd w:id="45"/>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0CDA57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6B7A71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指除上述“一般公共预算拨款收入和事业收入”等以外的收入。如银行存款利息收入、社会考试服务收入、校企合作收入、课时收入等。</w:t>
      </w:r>
    </w:p>
    <w:p w14:paraId="24A9D9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宋体"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（五）一般公共服务：</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楷体_GB2312" w:hAnsi="楷体_GB2312" w:eastAsia="楷体_GB2312" w:cs="楷体_GB2312"/>
          <w:sz w:val="32"/>
          <w:szCs w:val="32"/>
          <w:lang w:val="en-US" w:eastAsia="zh-CN"/>
        </w:rPr>
        <w:br w:type="textWrapping"/>
      </w:r>
      <w:r>
        <w:rPr>
          <w:rFonts w:hint="eastAsia" w:ascii="楷体_GB2312" w:hAnsi="楷体_GB2312" w:eastAsia="楷体_GB2312" w:cs="楷体_GB2312"/>
          <w:sz w:val="32"/>
          <w:szCs w:val="32"/>
          <w:lang w:val="en-US" w:eastAsia="zh-CN"/>
        </w:rPr>
        <w:t>　　（十一）项目支出：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含外宾接待）支出</w:t>
      </w:r>
      <w:r>
        <w:rPr>
          <w:rFonts w:hint="eastAsia"/>
          <w:lang w:eastAsia="zh-CN"/>
        </w:rPr>
        <w:t>。</w:t>
      </w:r>
    </w:p>
    <w:p w14:paraId="1703F9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附件：1.单位预算公开表</w:t>
      </w:r>
    </w:p>
    <w:p w14:paraId="1F31469E">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43" w:name="_Toc11319"/>
      <w:bookmarkStart w:id="44" w:name="_Toc18684"/>
      <w:r>
        <w:rPr>
          <w:rFonts w:hint="eastAsia" w:ascii="仿宋_GB2312" w:hAnsi="仿宋_GB2312" w:eastAsia="仿宋_GB2312" w:cs="仿宋_GB2312"/>
          <w:sz w:val="32"/>
          <w:szCs w:val="32"/>
          <w:lang w:val="en-US" w:eastAsia="zh-CN"/>
        </w:rPr>
        <w:t>项目支出绩效目标表</w:t>
      </w:r>
      <w:bookmarkEnd w:id="43"/>
      <w:bookmarkEnd w:id="44"/>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1:24Z" w:initials="UC">
    <w:p w14:paraId="00989682">
      <w:r>
        <w:rPr>
          <w:color w:val="FF0000"/>
        </w:rPr>
        <w:t>错敏词:</w:t>
      </w:r>
      <w:r>
        <w:t>非法干扰</w:t>
      </w:r>
    </w:p>
    <w:p w14:paraId="00989683">
      <w:r>
        <w:rPr>
          <w:color w:val="FF0000"/>
        </w:rPr>
        <w:t>推荐修改:</w:t>
      </w:r>
      <w:r>
        <w:t>非法干预</w:t>
      </w:r>
    </w:p>
    <w:p w14:paraId="00989684">
      <w:r>
        <w:rPr>
          <w:color w:val="FF0000"/>
        </w:rPr>
        <w:t>问题类型:</w:t>
      </w:r>
      <w:r>
        <w:t>错字/别字</w:t>
      </w:r>
    </w:p>
    <w:p w14:paraId="00989685">
      <w:r>
        <w:rPr>
          <w:color w:val="FF0000"/>
        </w:rPr>
        <w:t>严重程度:</w:t>
      </w:r>
      <w:r>
        <w:t>轻微</w:t>
      </w:r>
    </w:p>
  </w:comment>
  <w:comment w:id="1" w:author="错敏词信息检测" w:date="2025-02-14T18:01:24Z" w:initials="UC">
    <w:p w14:paraId="00989686">
      <w:r>
        <w:rPr>
          <w:color w:val="FF0000"/>
        </w:rPr>
        <w:t>错敏词:</w:t>
      </w:r>
      <w:r>
        <w:t>干部队伍的建设</w:t>
      </w:r>
    </w:p>
    <w:p w14:paraId="00989687">
      <w:r>
        <w:rPr>
          <w:color w:val="FF0000"/>
        </w:rPr>
        <w:t>推荐修改:</w:t>
      </w:r>
      <w:r>
        <w:t>干部队伍建设</w:t>
      </w:r>
    </w:p>
    <w:p w14:paraId="00989688">
      <w:r>
        <w:rPr>
          <w:color w:val="FF0000"/>
        </w:rPr>
        <w:t>问题类型:</w:t>
      </w:r>
      <w:r>
        <w:t>专用表述错误</w:t>
      </w:r>
    </w:p>
    <w:p w14:paraId="00989689">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21A4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1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477A305">
                          <w:pPr>
                            <w:pStyle w:val="7"/>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Pf99nb9AQAAAAQAAA4AAAAAAAAAAQAgAAAAHwEAAGRycy9lMm9Eb2MueG1s&#10;UEsFBgAAAAAGAAYAWQEAAI4FAAAAAA==&#10;">
              <v:fill on="f" focussize="0,0"/>
              <v:stroke on="f"/>
              <v:imagedata o:title=""/>
              <o:lock v:ext="edit" aspectratio="f"/>
              <v:textbox inset="0mm,0mm,0mm,0mm" style="mso-fit-shape-to-text:t;">
                <w:txbxContent>
                  <w:p w14:paraId="6477A305">
                    <w:pPr>
                      <w:pStyle w:val="7"/>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7437C1"/>
    <w:multiLevelType w:val="singleLevel"/>
    <w:tmpl w:val="F27437C1"/>
    <w:lvl w:ilvl="0" w:tentative="0">
      <w:start w:val="1"/>
      <w:numFmt w:val="decimal"/>
      <w:suff w:val="nothing"/>
      <w:lvlText w:val="%1、"/>
      <w:lvlJc w:val="left"/>
      <w:pPr>
        <w:ind w:left="168"/>
      </w:pPr>
    </w:lvl>
  </w:abstractNum>
  <w:abstractNum w:abstractNumId="1">
    <w:nsid w:val="2A64E690"/>
    <w:multiLevelType w:val="singleLevel"/>
    <w:tmpl w:val="2A64E690"/>
    <w:lvl w:ilvl="0" w:tentative="0">
      <w:start w:val="2"/>
      <w:numFmt w:val="decimal"/>
      <w:lvlText w:val="%1."/>
      <w:lvlJc w:val="left"/>
      <w:pPr>
        <w:tabs>
          <w:tab w:val="left" w:pos="312"/>
        </w:tabs>
        <w:ind w:left="1600" w:leftChars="0" w:firstLine="0" w:firstLineChars="0"/>
      </w:pPr>
    </w:lvl>
  </w:abstractNum>
  <w:abstractNum w:abstractNumId="2">
    <w:nsid w:val="65483D9B"/>
    <w:multiLevelType w:val="singleLevel"/>
    <w:tmpl w:val="65483D9B"/>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 w:name="KSO_WPS_MARK_KEY" w:val="dcfb3404-58b5-4ff5-8c3c-88a07977da29"/>
  </w:docVars>
  <w:rsids>
    <w:rsidRoot w:val="00000000"/>
    <w:rsid w:val="684C2585"/>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3">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Body Text Indent"/>
    <w:basedOn w:val="1"/>
    <w:next w:val="6"/>
    <w:qFormat/>
    <w:uiPriority w:val="99"/>
    <w:pPr>
      <w:spacing w:after="120"/>
      <w:ind w:left="420" w:leftChars="200"/>
    </w:pPr>
  </w:style>
  <w:style w:type="paragraph" w:styleId="6">
    <w:name w:val="Body Text First Indent 2"/>
    <w:basedOn w:val="5"/>
    <w:next w:val="1"/>
    <w:qFormat/>
    <w:uiPriority w:val="99"/>
    <w:pPr>
      <w:spacing w:after="0"/>
      <w:ind w:firstLine="420" w:firstLineChars="200"/>
    </w:pPr>
    <w:rPr>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4"/>
    <w:autoRedefine/>
    <w:qFormat/>
    <w:uiPriority w:val="0"/>
  </w:style>
  <w:style w:type="paragraph" w:styleId="10">
    <w:name w:val="Normal (Web)"/>
    <w:basedOn w:val="1"/>
    <w:qFormat/>
    <w:uiPriority w:val="0"/>
    <w:rPr>
      <w:sz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
    <w:name w:val="BodyText1I2"/>
    <w:basedOn w:val="15"/>
    <w:next w:val="1"/>
    <w:qFormat/>
    <w:uiPriority w:val="0"/>
    <w:pPr>
      <w:ind w:left="420" w:leftChars="200" w:firstLine="420" w:firstLineChars="200"/>
      <w:jc w:val="both"/>
      <w:textAlignment w:val="baseline"/>
    </w:pPr>
  </w:style>
  <w:style w:type="paragraph" w:customStyle="1" w:styleId="15">
    <w:name w:val="BodyTextIndent"/>
    <w:basedOn w:val="1"/>
    <w:next w:val="14"/>
    <w:qFormat/>
    <w:uiPriority w:val="0"/>
    <w:pPr>
      <w:ind w:left="420" w:leftChars="200"/>
      <w:jc w:val="both"/>
      <w:textAlignment w:val="baseline"/>
    </w:pPr>
  </w:style>
  <w:style w:type="character" w:customStyle="1" w:styleId="16">
    <w:name w:val="默认段落字体1"/>
    <w:autoRedefine/>
    <w:qFormat/>
    <w:uiPriority w:val="0"/>
  </w:style>
  <w:style w:type="paragraph" w:customStyle="1" w:styleId="17">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8">
    <w:name w:val="Index"/>
    <w:basedOn w:val="1"/>
    <w:qFormat/>
    <w:uiPriority w:val="0"/>
    <w:pPr>
      <w:widowControl w:val="0"/>
      <w:suppressLineNumbers/>
      <w:suppressAutoHyphens/>
    </w:pPr>
  </w:style>
  <w:style w:type="paragraph" w:styleId="19">
    <w:name w:val="No Spacing"/>
    <w:autoRedefine/>
    <w:qFormat/>
    <w:uiPriority w:val="1"/>
    <w:pPr>
      <w:widowControl w:val="0"/>
      <w:jc w:val="both"/>
    </w:pPr>
    <w:rPr>
      <w:rFonts w:ascii="Times New Roman" w:hAnsi="Times New Roman" w:eastAsia="仿宋" w:cs="Times New Roman"/>
      <w:kern w:val="2"/>
      <w:sz w:val="32"/>
      <w:szCs w:val="24"/>
      <w:lang w:val="en-US" w:eastAsia="zh-CN" w:bidi="ar-SA"/>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3205</Words>
  <Characters>3409</Characters>
  <TotalTime>4</TotalTime>
  <ScaleCrop>false</ScaleCrop>
  <LinksUpToDate>false</LinksUpToDate>
  <CharactersWithSpaces>3477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757F8A3913104C50A6E3D5E83768C13D_13</vt:lpwstr>
  </property>
  <property fmtid="{D5CDD505-2E9C-101B-9397-08002B2CF9AE}" pid="4" name="KSOTemplateDocerSaveRecord">
    <vt:lpwstr>eyJoZGlkIjoiOTlhNTlmMWMwY2NkZGNhOTM0ZTIzOTMwM2UwMjVlYzgiLCJ1c2VySWQiOiI2MDAwNDk2NTIifQ==</vt:lpwstr>
  </property>
</Properties>
</file>