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E76E08">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pPr>
      <w:bookmarkStart w:id="0" w:name="_Toc24404"/>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t>广元市昭化区王家初级中学</w:t>
      </w:r>
      <w:bookmarkEnd w:id="0"/>
    </w:p>
    <w:p w14:paraId="574809DC">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t>2025年部门预算编制说明</w:t>
      </w:r>
    </w:p>
    <w:p w14:paraId="07D25F93">
      <w:pPr>
        <w:jc w:val="center"/>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14:textFill>
            <w14:solidFill>
              <w14:schemeClr w14:val="tx1"/>
            </w14:solidFill>
          </w14:textFill>
        </w:rPr>
        <w:t>目   录</w:t>
      </w:r>
    </w:p>
    <w:sdt>
      <w:sdtPr>
        <w:rPr>
          <w:rFonts w:ascii="宋体" w:hAnsi="宋体" w:eastAsia="宋体" w:cs="Times New Roman"/>
          <w:color w:val="auto"/>
          <w:kern w:val="2"/>
          <w:sz w:val="21"/>
          <w:szCs w:val="24"/>
          <w:lang w:val="en-US" w:eastAsia="zh-CN" w:bidi="ar-SA"/>
        </w:rPr>
        <w:id w:val="147468803"/>
        <w:docPartObj>
          <w:docPartGallery w:val="Table of Contents"/>
          <w:docPartUnique/>
        </w:docPartObj>
      </w:sdtPr>
      <w:sdtEndPr>
        <w:rPr>
          <w:rFonts w:hint="eastAsia" w:ascii="仿宋_GB2312" w:hAnsi="仿宋_GB2312" w:eastAsia="仿宋_GB2312" w:cs="仿宋_GB2312"/>
          <w:color w:val="auto"/>
          <w:kern w:val="2"/>
          <w:sz w:val="32"/>
          <w:szCs w:val="32"/>
          <w:lang w:val="en-US" w:eastAsia="zh-CN" w:bidi="ar-SA"/>
        </w:rPr>
      </w:sdtEndPr>
      <w:sdtContent>
        <w:p w14:paraId="3B0E1A71">
          <w:pPr>
            <w:spacing w:before="0" w:beforeLines="0" w:after="0" w:afterLines="0" w:line="240" w:lineRule="auto"/>
            <w:ind w:left="0" w:leftChars="0" w:right="0" w:rightChars="0" w:firstLine="0" w:firstLineChars="0"/>
            <w:jc w:val="center"/>
          </w:pPr>
        </w:p>
        <w:p w14:paraId="2775329C">
          <w:pPr>
            <w:pStyle w:val="14"/>
            <w:tabs>
              <w:tab w:val="right" w:leader="dot" w:pos="8845"/>
            </w:tabs>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TOC \o "1-2" \h \u</w:instrText>
          </w:r>
          <w:r>
            <w:rPr>
              <w:rFonts w:hint="eastAsia" w:ascii="仿宋_GB2312" w:hAnsi="仿宋_GB2312" w:eastAsia="仿宋_GB2312" w:cs="仿宋_GB2312"/>
              <w:color w:val="auto"/>
              <w:kern w:val="2"/>
              <w:sz w:val="32"/>
              <w:szCs w:val="32"/>
              <w:lang w:val="en-US" w:eastAsia="zh-CN" w:bidi="ar-SA"/>
            </w:rPr>
            <w:fldChar w:fldCharType="separate"/>
          </w:r>
        </w:p>
        <w:p w14:paraId="5A03AEDC">
          <w:pPr>
            <w:pStyle w:val="14"/>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"_Toc22678" </w:instrText>
          </w:r>
          <w:r>
            <w:fldChar w:fldCharType="separate"/>
          </w:r>
          <w:r>
            <w:rPr>
              <w:rFonts w:hint="eastAsia" w:ascii="仿宋_GB2312" w:hAnsi="仿宋_GB2312" w:eastAsia="仿宋_GB2312" w:cs="仿宋_GB2312"/>
              <w:color w:val="auto"/>
              <w:kern w:val="2"/>
              <w:sz w:val="32"/>
              <w:szCs w:val="32"/>
              <w:lang w:val="en-US" w:eastAsia="zh-CN" w:bidi="ar-SA"/>
            </w:rPr>
            <w:t>一、基本职能及主要工作</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_Toc22678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3</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255AFB4D">
          <w:pPr>
            <w:pStyle w:val="15"/>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"_Toc13633" </w:instrText>
          </w:r>
          <w:r>
            <w:fldChar w:fldCharType="separate"/>
          </w:r>
          <w:r>
            <w:rPr>
              <w:rFonts w:hint="eastAsia" w:ascii="仿宋_GB2312" w:hAnsi="仿宋_GB2312" w:eastAsia="仿宋_GB2312" w:cs="仿宋_GB2312"/>
              <w:color w:val="auto"/>
              <w:kern w:val="2"/>
              <w:sz w:val="32"/>
              <w:szCs w:val="32"/>
              <w:lang w:val="en-US" w:eastAsia="zh-CN" w:bidi="ar-SA"/>
            </w:rPr>
            <w:t>（一）单位职能简介</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_Toc13633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3</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2456687A">
          <w:pPr>
            <w:pStyle w:val="15"/>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"_Toc24928" </w:instrText>
          </w:r>
          <w:r>
            <w:fldChar w:fldCharType="separate"/>
          </w:r>
          <w:r>
            <w:rPr>
              <w:rFonts w:hint="eastAsia" w:ascii="仿宋_GB2312" w:hAnsi="仿宋_GB2312" w:eastAsia="仿宋_GB2312" w:cs="仿宋_GB2312"/>
              <w:color w:val="auto"/>
              <w:kern w:val="2"/>
              <w:sz w:val="32"/>
              <w:szCs w:val="32"/>
              <w:lang w:val="en-US" w:eastAsia="zh-CN" w:bidi="ar-SA"/>
            </w:rPr>
            <w:t>（二）2025年重点工作</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_Toc24928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4</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3BA2CD54">
          <w:pPr>
            <w:pStyle w:val="14"/>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"_Toc1107" </w:instrText>
          </w:r>
          <w:r>
            <w:fldChar w:fldCharType="separate"/>
          </w:r>
          <w:r>
            <w:rPr>
              <w:rFonts w:hint="eastAsia" w:ascii="仿宋_GB2312" w:hAnsi="仿宋_GB2312" w:eastAsia="仿宋_GB2312" w:cs="仿宋_GB2312"/>
              <w:color w:val="auto"/>
              <w:kern w:val="2"/>
              <w:sz w:val="32"/>
              <w:szCs w:val="32"/>
              <w:lang w:val="en-US" w:eastAsia="zh-CN" w:bidi="ar-SA"/>
            </w:rPr>
            <w:t>二、部门预算单位构成</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_Toc1107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4</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47454DF5">
          <w:pPr>
            <w:pStyle w:val="14"/>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"_Toc7287" </w:instrText>
          </w:r>
          <w:r>
            <w:fldChar w:fldCharType="separate"/>
          </w:r>
          <w:r>
            <w:rPr>
              <w:rFonts w:hint="eastAsia" w:ascii="仿宋_GB2312" w:hAnsi="仿宋_GB2312" w:eastAsia="仿宋_GB2312" w:cs="仿宋_GB2312"/>
              <w:color w:val="auto"/>
              <w:kern w:val="2"/>
              <w:sz w:val="32"/>
              <w:szCs w:val="32"/>
              <w:lang w:val="en-US" w:eastAsia="zh-CN" w:bidi="ar-SA"/>
            </w:rPr>
            <w:t>三、收支预算情况说明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_Toc7287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5</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1D6AA14F">
          <w:pPr>
            <w:pStyle w:val="15"/>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"_Toc11333" </w:instrText>
          </w:r>
          <w:r>
            <w:fldChar w:fldCharType="separate"/>
          </w:r>
          <w:r>
            <w:rPr>
              <w:rFonts w:hint="eastAsia" w:ascii="仿宋_GB2312" w:hAnsi="仿宋_GB2312" w:eastAsia="仿宋_GB2312" w:cs="仿宋_GB2312"/>
              <w:color w:val="auto"/>
              <w:kern w:val="2"/>
              <w:sz w:val="32"/>
              <w:szCs w:val="32"/>
              <w:lang w:val="en-US" w:eastAsia="zh-CN" w:bidi="ar-SA"/>
            </w:rPr>
            <w:t>（一）收入预算情况</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_Toc11333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5</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53AE1895">
          <w:pPr>
            <w:pStyle w:val="15"/>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"_Toc8864" </w:instrText>
          </w:r>
          <w:r>
            <w:fldChar w:fldCharType="separate"/>
          </w:r>
          <w:r>
            <w:rPr>
              <w:rFonts w:hint="eastAsia" w:ascii="仿宋_GB2312" w:hAnsi="仿宋_GB2312" w:eastAsia="仿宋_GB2312" w:cs="仿宋_GB2312"/>
              <w:color w:val="auto"/>
              <w:kern w:val="2"/>
              <w:sz w:val="32"/>
              <w:szCs w:val="32"/>
              <w:lang w:val="en-US" w:eastAsia="zh-CN" w:bidi="ar-SA"/>
            </w:rPr>
            <w:t>（二）支出预算情况</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_Toc8864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5</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21BA7FCD">
          <w:pPr>
            <w:pStyle w:val="14"/>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"_Toc749" </w:instrText>
          </w:r>
          <w:r>
            <w:fldChar w:fldCharType="separate"/>
          </w:r>
          <w:r>
            <w:rPr>
              <w:rFonts w:hint="eastAsia" w:ascii="仿宋_GB2312" w:hAnsi="仿宋_GB2312" w:eastAsia="仿宋_GB2312" w:cs="仿宋_GB2312"/>
              <w:color w:val="auto"/>
              <w:kern w:val="2"/>
              <w:sz w:val="32"/>
              <w:szCs w:val="32"/>
              <w:lang w:val="en-US" w:eastAsia="zh-CN" w:bidi="ar-SA"/>
            </w:rPr>
            <w:t>四、财政拨款收支预算情况说明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_Toc749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5</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1E6CF03C">
          <w:pPr>
            <w:pStyle w:val="14"/>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"_Toc14806" </w:instrText>
          </w:r>
          <w:r>
            <w:fldChar w:fldCharType="separate"/>
          </w:r>
          <w:r>
            <w:rPr>
              <w:rFonts w:hint="eastAsia" w:ascii="仿宋_GB2312" w:hAnsi="仿宋_GB2312" w:eastAsia="仿宋_GB2312" w:cs="仿宋_GB2312"/>
              <w:color w:val="auto"/>
              <w:kern w:val="2"/>
              <w:sz w:val="32"/>
              <w:szCs w:val="32"/>
              <w:lang w:val="en-US" w:eastAsia="zh-CN" w:bidi="ar-SA"/>
            </w:rPr>
            <w:t>五、一般公共预算当年拨款情况说明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_Toc14806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5</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74121279">
          <w:pPr>
            <w:pStyle w:val="15"/>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"_Toc26585" </w:instrText>
          </w:r>
          <w:r>
            <w:fldChar w:fldCharType="separate"/>
          </w:r>
          <w:r>
            <w:rPr>
              <w:rFonts w:hint="eastAsia" w:ascii="仿宋_GB2312" w:hAnsi="仿宋_GB2312" w:eastAsia="仿宋_GB2312" w:cs="仿宋_GB2312"/>
              <w:color w:val="auto"/>
              <w:kern w:val="2"/>
              <w:sz w:val="32"/>
              <w:szCs w:val="32"/>
              <w:lang w:val="en-US" w:eastAsia="zh-CN" w:bidi="ar-SA"/>
            </w:rPr>
            <w:t>（一）一般公共预算当年拨款规模变化情况</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_Toc26585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5</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263C5715">
          <w:pPr>
            <w:pStyle w:val="15"/>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"_Toc5896" </w:instrText>
          </w:r>
          <w:r>
            <w:fldChar w:fldCharType="separate"/>
          </w:r>
          <w:r>
            <w:rPr>
              <w:rFonts w:hint="eastAsia" w:ascii="仿宋_GB2312" w:hAnsi="仿宋_GB2312" w:eastAsia="仿宋_GB2312" w:cs="仿宋_GB2312"/>
              <w:color w:val="auto"/>
              <w:kern w:val="2"/>
              <w:sz w:val="32"/>
              <w:szCs w:val="32"/>
              <w:lang w:val="en-US" w:eastAsia="zh-CN" w:bidi="ar-SA"/>
            </w:rPr>
            <w:t>（二）一般公共预算当年拨款结构情况</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_Toc5896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409ACDBA">
          <w:pPr>
            <w:pStyle w:val="15"/>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"_Toc2437" </w:instrText>
          </w:r>
          <w:r>
            <w:fldChar w:fldCharType="separate"/>
          </w:r>
          <w:r>
            <w:rPr>
              <w:rFonts w:hint="eastAsia" w:ascii="仿宋_GB2312" w:hAnsi="仿宋_GB2312" w:eastAsia="仿宋_GB2312" w:cs="仿宋_GB2312"/>
              <w:color w:val="auto"/>
              <w:kern w:val="2"/>
              <w:sz w:val="32"/>
              <w:szCs w:val="32"/>
              <w:lang w:val="en-US" w:eastAsia="zh-CN" w:bidi="ar-SA"/>
            </w:rPr>
            <w:t>（三）一般公共预算当年拨款具体使用情况</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_Toc2437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64159247">
          <w:pPr>
            <w:pStyle w:val="14"/>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"_Toc28383" </w:instrText>
          </w:r>
          <w:r>
            <w:fldChar w:fldCharType="separate"/>
          </w:r>
          <w:r>
            <w:rPr>
              <w:rFonts w:hint="eastAsia" w:ascii="仿宋_GB2312" w:hAnsi="仿宋_GB2312" w:eastAsia="仿宋_GB2312" w:cs="仿宋_GB2312"/>
              <w:color w:val="auto"/>
              <w:kern w:val="2"/>
              <w:sz w:val="32"/>
              <w:szCs w:val="32"/>
              <w:lang w:val="en-US" w:eastAsia="zh-CN" w:bidi="ar-SA"/>
            </w:rPr>
            <w:t>六、一般公共预算基本支出情况说明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_Toc28383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0FB898D9">
          <w:pPr>
            <w:pStyle w:val="14"/>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"_Toc4497" </w:instrText>
          </w:r>
          <w:r>
            <w:fldChar w:fldCharType="separate"/>
          </w:r>
          <w:r>
            <w:rPr>
              <w:rFonts w:hint="eastAsia" w:ascii="仿宋_GB2312" w:hAnsi="仿宋_GB2312" w:eastAsia="仿宋_GB2312" w:cs="仿宋_GB2312"/>
              <w:color w:val="auto"/>
              <w:kern w:val="2"/>
              <w:sz w:val="32"/>
              <w:szCs w:val="32"/>
              <w:lang w:val="en-US" w:eastAsia="zh-CN" w:bidi="ar-SA"/>
            </w:rPr>
            <w:t>七、“三公”经费财政拨款预算安排情况说明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_Toc4497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01454111">
          <w:pPr>
            <w:pStyle w:val="15"/>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"_Toc21936" </w:instrText>
          </w:r>
          <w:r>
            <w:fldChar w:fldCharType="separate"/>
          </w:r>
          <w:r>
            <w:rPr>
              <w:rFonts w:hint="eastAsia" w:ascii="仿宋_GB2312" w:hAnsi="仿宋_GB2312" w:eastAsia="仿宋_GB2312" w:cs="仿宋_GB2312"/>
              <w:color w:val="auto"/>
              <w:kern w:val="2"/>
              <w:sz w:val="32"/>
              <w:szCs w:val="32"/>
              <w:lang w:val="en-US" w:eastAsia="zh-CN" w:bidi="ar-SA"/>
            </w:rPr>
            <w:t>（一）公务接待费</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_Toc21936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29AA8DE7">
          <w:pPr>
            <w:pStyle w:val="15"/>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"_Toc22371" </w:instrText>
          </w:r>
          <w:r>
            <w:fldChar w:fldCharType="separate"/>
          </w:r>
          <w:r>
            <w:rPr>
              <w:rFonts w:hint="eastAsia" w:ascii="仿宋_GB2312" w:hAnsi="仿宋_GB2312" w:eastAsia="仿宋_GB2312" w:cs="仿宋_GB2312"/>
              <w:color w:val="auto"/>
              <w:kern w:val="2"/>
              <w:sz w:val="32"/>
              <w:szCs w:val="32"/>
              <w:lang w:val="en-US" w:eastAsia="zh-CN" w:bidi="ar-SA"/>
            </w:rPr>
            <w:t>（二） 公务用车购置及运行维护费</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_Toc22371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7</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0C19260C">
          <w:pPr>
            <w:pStyle w:val="15"/>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"_Toc12295" </w:instrText>
          </w:r>
          <w:r>
            <w:fldChar w:fldCharType="separate"/>
          </w:r>
          <w:r>
            <w:rPr>
              <w:rFonts w:hint="eastAsia" w:ascii="仿宋_GB2312" w:hAnsi="仿宋_GB2312" w:eastAsia="仿宋_GB2312" w:cs="仿宋_GB2312"/>
              <w:color w:val="auto"/>
              <w:kern w:val="2"/>
              <w:sz w:val="32"/>
              <w:szCs w:val="32"/>
              <w:lang w:val="en-US" w:eastAsia="zh-CN" w:bidi="ar-SA"/>
            </w:rPr>
            <w:t>（三）因公出国（境）经费</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_Toc12295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7</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3C991D90">
          <w:pPr>
            <w:pStyle w:val="14"/>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"_Toc29974" </w:instrText>
          </w:r>
          <w:r>
            <w:fldChar w:fldCharType="separate"/>
          </w:r>
          <w:r>
            <w:rPr>
              <w:rFonts w:hint="eastAsia" w:ascii="仿宋_GB2312" w:hAnsi="仿宋_GB2312" w:eastAsia="仿宋_GB2312" w:cs="仿宋_GB2312"/>
              <w:color w:val="auto"/>
              <w:kern w:val="2"/>
              <w:sz w:val="32"/>
              <w:szCs w:val="32"/>
              <w:lang w:val="en-US" w:eastAsia="zh-CN" w:bidi="ar-SA"/>
            </w:rPr>
            <w:t>八、政府性基金预算支出情况说明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_Toc29974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7</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69A0A0AF">
          <w:pPr>
            <w:pStyle w:val="14"/>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"_Toc16487" </w:instrText>
          </w:r>
          <w:r>
            <w:fldChar w:fldCharType="separate"/>
          </w:r>
          <w:r>
            <w:rPr>
              <w:rFonts w:hint="eastAsia" w:ascii="仿宋_GB2312" w:hAnsi="仿宋_GB2312" w:eastAsia="仿宋_GB2312" w:cs="仿宋_GB2312"/>
              <w:color w:val="auto"/>
              <w:kern w:val="2"/>
              <w:sz w:val="32"/>
              <w:szCs w:val="32"/>
              <w:lang w:val="en-US" w:eastAsia="zh-CN" w:bidi="ar-SA"/>
            </w:rPr>
            <w:t>九、国有资本经营预算支出情况说明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_Toc16487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7</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52CC5A34">
          <w:pPr>
            <w:pStyle w:val="14"/>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"_Toc14505" </w:instrText>
          </w:r>
          <w:r>
            <w:fldChar w:fldCharType="separate"/>
          </w:r>
          <w:r>
            <w:rPr>
              <w:rFonts w:hint="eastAsia" w:ascii="仿宋_GB2312" w:hAnsi="仿宋_GB2312" w:eastAsia="仿宋_GB2312" w:cs="仿宋_GB2312"/>
              <w:color w:val="auto"/>
              <w:kern w:val="2"/>
              <w:sz w:val="32"/>
              <w:szCs w:val="32"/>
              <w:lang w:val="en-US" w:eastAsia="zh-CN" w:bidi="ar-SA"/>
            </w:rPr>
            <w:t>十、其他重要事项的情况说明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_Toc14505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7</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49EE63BD">
          <w:pPr>
            <w:pStyle w:val="15"/>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"_Toc1079" </w:instrText>
          </w:r>
          <w:r>
            <w:fldChar w:fldCharType="separate"/>
          </w:r>
          <w:r>
            <w:rPr>
              <w:rFonts w:hint="eastAsia" w:ascii="仿宋_GB2312" w:hAnsi="仿宋_GB2312" w:eastAsia="仿宋_GB2312" w:cs="仿宋_GB2312"/>
              <w:color w:val="auto"/>
              <w:kern w:val="2"/>
              <w:sz w:val="32"/>
              <w:szCs w:val="32"/>
              <w:lang w:val="en-US" w:eastAsia="zh-CN" w:bidi="ar-SA"/>
            </w:rPr>
            <w:t>（一）机关运行经费</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_Toc1079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7</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05C425B6">
          <w:pPr>
            <w:pStyle w:val="15"/>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"_Toc31681" </w:instrText>
          </w:r>
          <w:r>
            <w:fldChar w:fldCharType="separate"/>
          </w:r>
          <w:r>
            <w:rPr>
              <w:rFonts w:hint="eastAsia" w:ascii="仿宋_GB2312" w:hAnsi="仿宋_GB2312" w:eastAsia="仿宋_GB2312" w:cs="仿宋_GB2312"/>
              <w:color w:val="auto"/>
              <w:kern w:val="2"/>
              <w:sz w:val="32"/>
              <w:szCs w:val="32"/>
              <w:lang w:val="en-US" w:eastAsia="zh-CN" w:bidi="ar-SA"/>
            </w:rPr>
            <w:t>（二）政府采购情况</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_Toc31681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7</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2592A8B5">
          <w:pPr>
            <w:pStyle w:val="15"/>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"_Toc24823" </w:instrText>
          </w:r>
          <w:r>
            <w:fldChar w:fldCharType="separate"/>
          </w:r>
          <w:r>
            <w:rPr>
              <w:rFonts w:hint="eastAsia" w:ascii="仿宋_GB2312" w:hAnsi="仿宋_GB2312" w:eastAsia="仿宋_GB2312" w:cs="仿宋_GB2312"/>
              <w:color w:val="auto"/>
              <w:kern w:val="2"/>
              <w:sz w:val="32"/>
              <w:szCs w:val="32"/>
              <w:lang w:val="en-US" w:eastAsia="zh-CN" w:bidi="ar-SA"/>
            </w:rPr>
            <w:t>（三）国有资产占有使用情况</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_Toc24823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7</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6FC643BF">
          <w:pPr>
            <w:pStyle w:val="15"/>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"_Toc32392" </w:instrText>
          </w:r>
          <w:r>
            <w:fldChar w:fldCharType="separate"/>
          </w:r>
          <w:r>
            <w:rPr>
              <w:rFonts w:hint="eastAsia" w:ascii="仿宋_GB2312" w:hAnsi="仿宋_GB2312" w:eastAsia="仿宋_GB2312" w:cs="仿宋_GB2312"/>
              <w:color w:val="auto"/>
              <w:kern w:val="2"/>
              <w:sz w:val="32"/>
              <w:szCs w:val="32"/>
              <w:lang w:val="en-US" w:eastAsia="zh-CN" w:bidi="ar-SA"/>
            </w:rPr>
            <w:t>（四）绩效目标设置情况</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_Toc32392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8</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12569A5D">
          <w:pPr>
            <w:pStyle w:val="14"/>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"_Toc27692" </w:instrText>
          </w:r>
          <w:r>
            <w:fldChar w:fldCharType="separate"/>
          </w:r>
          <w:r>
            <w:rPr>
              <w:rFonts w:hint="eastAsia" w:ascii="仿宋_GB2312" w:hAnsi="仿宋_GB2312" w:eastAsia="仿宋_GB2312" w:cs="仿宋_GB2312"/>
              <w:color w:val="auto"/>
              <w:kern w:val="2"/>
              <w:sz w:val="32"/>
              <w:szCs w:val="32"/>
              <w:lang w:val="en-US" w:eastAsia="zh-CN" w:bidi="ar-SA"/>
            </w:rPr>
            <w:t>十一、名词解释</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_Toc27692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8</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0DFC1A4D">
          <w:pPr>
            <w:pStyle w:val="15"/>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"_Toc1640" </w:instrText>
          </w:r>
          <w:r>
            <w:fldChar w:fldCharType="separate"/>
          </w:r>
          <w:r>
            <w:rPr>
              <w:rFonts w:hint="eastAsia" w:ascii="仿宋_GB2312" w:hAnsi="仿宋_GB2312" w:eastAsia="仿宋_GB2312" w:cs="仿宋_GB2312"/>
              <w:color w:val="auto"/>
              <w:kern w:val="2"/>
              <w:sz w:val="32"/>
              <w:szCs w:val="32"/>
              <w:lang w:val="en-US" w:eastAsia="zh-CN" w:bidi="ar-SA"/>
            </w:rPr>
            <w:t>2. 单位预算项目绩效目标表</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_Toc1640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10</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687801F3">
          <w:pPr>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fldChar w:fldCharType="end"/>
          </w:r>
        </w:p>
      </w:sdtContent>
    </w:sdt>
    <w:p w14:paraId="3C78EBD5">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58B83665">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01637AFF">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35507E33">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0D376F78">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11882F13">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5F6592FA">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2F018E2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 w:name="_Toc22678"/>
      <w:r>
        <w:rPr>
          <w:rFonts w:hint="eastAsia" w:ascii="黑体" w:hAnsi="黑体" w:eastAsia="黑体" w:cs="黑体"/>
          <w:sz w:val="32"/>
          <w:szCs w:val="32"/>
          <w:lang w:val="en-US" w:eastAsia="zh-CN"/>
        </w:rPr>
        <w:t>一、基本职能及主要工作</w:t>
      </w:r>
      <w:bookmarkEnd w:id="1"/>
    </w:p>
    <w:p w14:paraId="5856A03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 w:name="_Toc13633"/>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单位</w:t>
      </w:r>
      <w:r>
        <w:rPr>
          <w:rFonts w:hint="eastAsia" w:ascii="楷体_GB2312" w:hAnsi="楷体_GB2312" w:eastAsia="楷体_GB2312" w:cs="楷体_GB2312"/>
          <w:sz w:val="32"/>
          <w:szCs w:val="32"/>
        </w:rPr>
        <w:t>职能简介</w:t>
      </w:r>
      <w:bookmarkEnd w:id="2"/>
      <w:r>
        <w:rPr>
          <w:rFonts w:hint="eastAsia" w:ascii="楷体_GB2312" w:hAnsi="楷体_GB2312" w:eastAsia="楷体_GB2312" w:cs="楷体_GB2312"/>
          <w:sz w:val="32"/>
          <w:szCs w:val="32"/>
          <w:lang w:val="en-US" w:eastAsia="zh-CN"/>
        </w:rPr>
        <w:t xml:space="preserve"> </w:t>
      </w:r>
    </w:p>
    <w:p w14:paraId="266A0CFF">
      <w:pPr>
        <w:keepNext w:val="0"/>
        <w:keepLines w:val="0"/>
        <w:pageBreakBefore w:val="0"/>
        <w:widowControl w:val="0"/>
        <w:kinsoku/>
        <w:wordWrap/>
        <w:overflowPunct/>
        <w:topLinePunct w:val="0"/>
        <w:autoSpaceDE/>
        <w:autoSpaceDN/>
        <w:bidi w:val="0"/>
        <w:adjustRightInd/>
        <w:snapToGrid/>
        <w:spacing w:line="576" w:lineRule="exact"/>
        <w:ind w:firstLine="420" w:firstLineChars="200"/>
        <w:textAlignment w:val="auto"/>
        <w:rPr>
          <w:rFonts w:hint="eastAsia" w:ascii="仿宋_GB2312" w:hAnsi="仿宋_GB2312" w:eastAsia="仿宋_GB2312" w:cs="仿宋_GB2312"/>
          <w:sz w:val="32"/>
          <w:szCs w:val="32"/>
          <w:lang w:val="en-US" w:eastAsia="zh-CN"/>
        </w:rPr>
      </w:pPr>
      <w:r>
        <w:rPr>
          <w:rFonts w:hint="eastAsia"/>
          <w:lang w:val="en-US" w:eastAsia="zh-CN"/>
        </w:rPr>
        <w:t xml:space="preserve"> </w:t>
      </w:r>
      <w:r>
        <w:rPr>
          <w:rFonts w:hint="eastAsia" w:ascii="仿宋_GB2312" w:hAnsi="仿宋_GB2312" w:eastAsia="仿宋_GB2312" w:cs="仿宋_GB2312"/>
          <w:sz w:val="32"/>
          <w:szCs w:val="32"/>
          <w:lang w:val="en-US" w:eastAsia="zh-CN"/>
        </w:rPr>
        <w:t>1.贯彻党的教育方针，坚持社会主义办学方向，实行教育与生产劳动相结合，对学生进行德育、智育、体育、美育和劳动等方面的教育。</w:t>
      </w:r>
    </w:p>
    <w:p w14:paraId="26F2F4C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2.负责配合政府依法动员、组织适龄儿童、少年入学，严格控制学生辍学，依法保证适龄儿童、少年接受九年义务教育。</w:t>
      </w:r>
    </w:p>
    <w:p w14:paraId="10ECCAC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3.负责依法制定学校章程，并按照章程自主管理。</w:t>
      </w:r>
    </w:p>
    <w:p w14:paraId="0A98665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4.负责制定学校教育发展规划，并抓好组织和实施工作。</w:t>
      </w:r>
    </w:p>
    <w:p w14:paraId="58B23AD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5.负责按照教育主管部门发布的指导性教学计划、教学大纲，组织实施教育教学活动。</w:t>
      </w:r>
    </w:p>
    <w:p w14:paraId="323122B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6.负责学籍管理并对学生实施奖励或处分。</w:t>
      </w:r>
    </w:p>
    <w:p w14:paraId="66841F3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7.负责依法制定本校教师及其他职工聘任制度，并对教师及其他员工实施包括奖励、处分在内的具体管理活动。</w:t>
      </w:r>
    </w:p>
    <w:p w14:paraId="4D31D0D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8.负责科学管理、合理使用学校的设施和经费，并积极筹措资金，改善办学条件。</w:t>
      </w:r>
    </w:p>
    <w:p w14:paraId="4324FE7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9.负责维护学校、师生的合法权益，有权拒绝任何组织和个人对教育教学活动的非法干扰。</w:t>
      </w:r>
    </w:p>
    <w:p w14:paraId="7E2BACE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10.依法接受各级教育行政部门的检查指导和人民群众的监督。</w:t>
      </w:r>
    </w:p>
    <w:p w14:paraId="42D8240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11.承办上级交办的其他事项。</w:t>
      </w:r>
    </w:p>
    <w:p w14:paraId="482DBDB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14:paraId="71068E0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3" w:name="_Toc24928"/>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rPr>
        <w:t>202</w:t>
      </w:r>
      <w:r>
        <w:rPr>
          <w:rFonts w:hint="eastAsia" w:ascii="楷体_GB2312" w:hAnsi="楷体_GB2312" w:eastAsia="楷体_GB2312" w:cs="楷体_GB2312"/>
          <w:sz w:val="32"/>
          <w:szCs w:val="32"/>
          <w:lang w:val="en-US" w:eastAsia="zh-CN"/>
        </w:rPr>
        <w:t>5</w:t>
      </w:r>
      <w:r>
        <w:rPr>
          <w:rFonts w:hint="eastAsia" w:ascii="楷体_GB2312" w:hAnsi="楷体_GB2312" w:eastAsia="楷体_GB2312" w:cs="楷体_GB2312"/>
          <w:sz w:val="32"/>
          <w:szCs w:val="32"/>
        </w:rPr>
        <w:t>年重点工作</w:t>
      </w:r>
      <w:bookmarkEnd w:id="3"/>
    </w:p>
    <w:p w14:paraId="0EC5F60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1.巩固校园餐整治成果，</w:t>
      </w:r>
      <w:r>
        <w:rPr>
          <w:rFonts w:hint="default" w:ascii="仿宋_GB2312" w:hAnsi="仿宋_GB2312" w:eastAsia="仿宋_GB2312" w:cs="仿宋_GB2312"/>
          <w:sz w:val="32"/>
          <w:szCs w:val="32"/>
          <w:lang w:val="en-US" w:eastAsia="zh-CN"/>
        </w:rPr>
        <w:t>全面进行巡</w:t>
      </w:r>
      <w:r>
        <w:rPr>
          <w:rFonts w:hint="eastAsia" w:ascii="仿宋_GB2312" w:hAnsi="仿宋_GB2312" w:eastAsia="仿宋_GB2312" w:cs="仿宋_GB2312"/>
          <w:sz w:val="32"/>
          <w:szCs w:val="32"/>
          <w:lang w:val="en-US" w:eastAsia="zh-CN"/>
        </w:rPr>
        <w:t>察</w:t>
      </w:r>
      <w:r>
        <w:rPr>
          <w:rFonts w:hint="default" w:ascii="仿宋_GB2312" w:hAnsi="仿宋_GB2312" w:eastAsia="仿宋_GB2312" w:cs="仿宋_GB2312"/>
          <w:sz w:val="32"/>
          <w:szCs w:val="32"/>
          <w:lang w:val="en-US" w:eastAsia="zh-CN"/>
        </w:rPr>
        <w:t>问题整改</w:t>
      </w:r>
      <w:r>
        <w:rPr>
          <w:rFonts w:hint="eastAsia" w:ascii="仿宋_GB2312" w:hAnsi="仿宋_GB2312" w:eastAsia="仿宋_GB2312" w:cs="仿宋_GB2312"/>
          <w:sz w:val="32"/>
          <w:szCs w:val="32"/>
          <w:lang w:val="en-US" w:eastAsia="zh-CN"/>
        </w:rPr>
        <w:t>。要求：</w:t>
      </w:r>
      <w:r>
        <w:rPr>
          <w:rFonts w:hint="default" w:ascii="仿宋_GB2312" w:hAnsi="仿宋_GB2312" w:eastAsia="仿宋_GB2312" w:cs="仿宋_GB2312"/>
          <w:sz w:val="32"/>
          <w:szCs w:val="32"/>
          <w:lang w:val="en-US" w:eastAsia="zh-CN"/>
        </w:rPr>
        <w:t>对照</w:t>
      </w:r>
      <w:r>
        <w:rPr>
          <w:rFonts w:hint="eastAsia" w:ascii="仿宋_GB2312" w:hAnsi="仿宋_GB2312" w:eastAsia="仿宋_GB2312" w:cs="仿宋_GB2312"/>
          <w:sz w:val="32"/>
          <w:szCs w:val="32"/>
          <w:lang w:val="en-US" w:eastAsia="zh-CN"/>
        </w:rPr>
        <w:t>整改</w:t>
      </w:r>
      <w:r>
        <w:rPr>
          <w:rFonts w:hint="default" w:ascii="仿宋_GB2312" w:hAnsi="仿宋_GB2312" w:eastAsia="仿宋_GB2312" w:cs="仿宋_GB2312"/>
          <w:sz w:val="32"/>
          <w:szCs w:val="32"/>
          <w:lang w:val="en-US" w:eastAsia="zh-CN"/>
        </w:rPr>
        <w:t>清单</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逐项落实整改</w:t>
      </w:r>
      <w:r>
        <w:rPr>
          <w:rFonts w:hint="eastAsia" w:ascii="仿宋_GB2312" w:hAnsi="仿宋_GB2312" w:eastAsia="仿宋_GB2312" w:cs="仿宋_GB2312"/>
          <w:sz w:val="32"/>
          <w:szCs w:val="32"/>
          <w:lang w:val="en-US" w:eastAsia="zh-CN"/>
        </w:rPr>
        <w:t>并有</w:t>
      </w:r>
      <w:r>
        <w:rPr>
          <w:rFonts w:hint="default" w:ascii="仿宋_GB2312" w:hAnsi="仿宋_GB2312" w:eastAsia="仿宋_GB2312" w:cs="仿宋_GB2312"/>
          <w:sz w:val="32"/>
          <w:szCs w:val="32"/>
          <w:lang w:val="en-US" w:eastAsia="zh-CN"/>
        </w:rPr>
        <w:t>佐证资料</w:t>
      </w:r>
      <w:r>
        <w:rPr>
          <w:rFonts w:hint="eastAsia" w:ascii="仿宋_GB2312" w:hAnsi="仿宋_GB2312" w:eastAsia="仿宋_GB2312" w:cs="仿宋_GB2312"/>
          <w:sz w:val="32"/>
          <w:szCs w:val="32"/>
          <w:lang w:val="en-US" w:eastAsia="zh-CN"/>
        </w:rPr>
        <w:t>。包括：</w:t>
      </w:r>
      <w:r>
        <w:rPr>
          <w:rFonts w:hint="default" w:ascii="仿宋_GB2312" w:hAnsi="仿宋_GB2312" w:eastAsia="仿宋_GB2312" w:cs="仿宋_GB2312"/>
          <w:sz w:val="32"/>
          <w:szCs w:val="32"/>
          <w:lang w:val="en-US" w:eastAsia="zh-CN"/>
        </w:rPr>
        <w:t>教职工学习</w:t>
      </w:r>
      <w:r>
        <w:rPr>
          <w:rFonts w:hint="eastAsia" w:ascii="仿宋_GB2312" w:hAnsi="仿宋_GB2312" w:eastAsia="仿宋_GB2312" w:cs="仿宋_GB2312"/>
          <w:sz w:val="32"/>
          <w:szCs w:val="32"/>
          <w:lang w:val="en-US" w:eastAsia="zh-CN"/>
        </w:rPr>
        <w:t>、硬件问题、</w:t>
      </w:r>
      <w:r>
        <w:rPr>
          <w:rFonts w:hint="default" w:ascii="仿宋_GB2312" w:hAnsi="仿宋_GB2312" w:eastAsia="仿宋_GB2312" w:cs="仿宋_GB2312"/>
          <w:sz w:val="32"/>
          <w:szCs w:val="32"/>
          <w:lang w:val="en-US" w:eastAsia="zh-CN"/>
        </w:rPr>
        <w:t>工会</w:t>
      </w:r>
      <w:r>
        <w:rPr>
          <w:rFonts w:hint="eastAsia" w:ascii="仿宋_GB2312" w:hAnsi="仿宋_GB2312" w:eastAsia="仿宋_GB2312" w:cs="仿宋_GB2312"/>
          <w:sz w:val="32"/>
          <w:szCs w:val="32"/>
          <w:lang w:val="en-US" w:eastAsia="zh-CN"/>
        </w:rPr>
        <w:t>账目、班子运行机制及健全、严格执行财务管理制度、内控制度的执行、固定资产的管理及会议记录的完整。</w:t>
      </w:r>
    </w:p>
    <w:p w14:paraId="660F1BC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r>
        <w:rPr>
          <w:rFonts w:hint="default" w:ascii="仿宋_GB2312" w:hAnsi="仿宋_GB2312" w:eastAsia="仿宋_GB2312" w:cs="仿宋_GB2312"/>
          <w:sz w:val="32"/>
          <w:szCs w:val="32"/>
          <w:lang w:val="en-US" w:eastAsia="zh-CN"/>
        </w:rPr>
        <w:t>加强</w:t>
      </w:r>
      <w:r>
        <w:rPr>
          <w:rFonts w:hint="eastAsia" w:ascii="仿宋_GB2312" w:hAnsi="仿宋_GB2312" w:eastAsia="仿宋_GB2312" w:cs="仿宋_GB2312"/>
          <w:sz w:val="32"/>
          <w:szCs w:val="32"/>
          <w:lang w:val="en-US" w:eastAsia="zh-CN"/>
        </w:rPr>
        <w:t>支部</w:t>
      </w:r>
      <w:r>
        <w:rPr>
          <w:rFonts w:hint="default" w:ascii="仿宋_GB2312" w:hAnsi="仿宋_GB2312" w:eastAsia="仿宋_GB2312" w:cs="仿宋_GB2312"/>
          <w:sz w:val="32"/>
          <w:szCs w:val="32"/>
          <w:lang w:val="en-US" w:eastAsia="zh-CN"/>
        </w:rPr>
        <w:t>建设，修订议事日程</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开展三会一课，抓党建</w:t>
      </w:r>
      <w:r>
        <w:rPr>
          <w:rFonts w:hint="eastAsia" w:ascii="仿宋_GB2312" w:hAnsi="仿宋_GB2312" w:eastAsia="仿宋_GB2312" w:cs="仿宋_GB2312"/>
          <w:sz w:val="32"/>
          <w:szCs w:val="32"/>
          <w:lang w:val="en-US" w:eastAsia="zh-CN"/>
        </w:rPr>
        <w:t>、促</w:t>
      </w:r>
      <w:r>
        <w:rPr>
          <w:rFonts w:hint="default" w:ascii="仿宋_GB2312" w:hAnsi="仿宋_GB2312" w:eastAsia="仿宋_GB2312" w:cs="仿宋_GB2312"/>
          <w:sz w:val="32"/>
          <w:szCs w:val="32"/>
          <w:lang w:val="en-US" w:eastAsia="zh-CN"/>
        </w:rPr>
        <w:t>建设、提质量，</w:t>
      </w:r>
      <w:r>
        <w:rPr>
          <w:rFonts w:hint="eastAsia" w:ascii="仿宋_GB2312" w:hAnsi="仿宋_GB2312" w:eastAsia="仿宋_GB2312" w:cs="仿宋_GB2312"/>
          <w:sz w:val="32"/>
          <w:szCs w:val="32"/>
          <w:lang w:val="en-US" w:eastAsia="zh-CN"/>
        </w:rPr>
        <w:t>抓好</w:t>
      </w:r>
      <w:r>
        <w:rPr>
          <w:rFonts w:hint="default" w:ascii="仿宋_GB2312" w:hAnsi="仿宋_GB2312" w:eastAsia="仿宋_GB2312" w:cs="仿宋_GB2312"/>
          <w:sz w:val="32"/>
          <w:szCs w:val="32"/>
          <w:lang w:val="en-US" w:eastAsia="zh-CN"/>
        </w:rPr>
        <w:t>党风廉政建设和师德师</w:t>
      </w:r>
      <w:r>
        <w:rPr>
          <w:rFonts w:hint="eastAsia" w:ascii="仿宋_GB2312" w:hAnsi="仿宋_GB2312" w:eastAsia="仿宋_GB2312" w:cs="仿宋_GB2312"/>
          <w:sz w:val="32"/>
          <w:szCs w:val="32"/>
          <w:lang w:val="en-US" w:eastAsia="zh-CN"/>
        </w:rPr>
        <w:t>风建设。</w:t>
      </w:r>
    </w:p>
    <w:p w14:paraId="0B20C05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w:t>
      </w:r>
      <w:r>
        <w:rPr>
          <w:rFonts w:hint="default" w:ascii="仿宋_GB2312" w:hAnsi="仿宋_GB2312" w:eastAsia="仿宋_GB2312" w:cs="仿宋_GB2312"/>
          <w:sz w:val="32"/>
          <w:szCs w:val="32"/>
          <w:lang w:val="en-US" w:eastAsia="zh-CN"/>
        </w:rPr>
        <w:t>加强班子队伍建设。明确领导分工及职责。</w:t>
      </w:r>
      <w:r>
        <w:rPr>
          <w:rFonts w:hint="eastAsia" w:ascii="仿宋_GB2312" w:hAnsi="仿宋_GB2312" w:eastAsia="仿宋_GB2312" w:cs="仿宋_GB2312"/>
          <w:sz w:val="32"/>
          <w:szCs w:val="32"/>
          <w:lang w:val="en-US" w:eastAsia="zh-CN"/>
        </w:rPr>
        <w:t>协同配合，积极工作。</w:t>
      </w:r>
    </w:p>
    <w:p w14:paraId="0FB0DA0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w:t>
      </w:r>
      <w:r>
        <w:rPr>
          <w:rFonts w:hint="default" w:ascii="仿宋_GB2312" w:hAnsi="仿宋_GB2312" w:eastAsia="仿宋_GB2312" w:cs="仿宋_GB2312"/>
          <w:sz w:val="32"/>
          <w:szCs w:val="32"/>
          <w:lang w:val="en-US" w:eastAsia="zh-CN"/>
        </w:rPr>
        <w:t>纵深推进</w:t>
      </w:r>
      <w:r>
        <w:rPr>
          <w:rFonts w:hint="eastAsia" w:ascii="仿宋_GB2312" w:hAnsi="仿宋_GB2312" w:eastAsia="仿宋_GB2312" w:cs="仿宋_GB2312"/>
          <w:sz w:val="32"/>
          <w:szCs w:val="32"/>
          <w:lang w:val="en-US" w:eastAsia="zh-CN"/>
        </w:rPr>
        <w:t>“四项改革”工作。特别是加大</w:t>
      </w:r>
      <w:r>
        <w:rPr>
          <w:rFonts w:hint="default" w:ascii="仿宋_GB2312" w:hAnsi="仿宋_GB2312" w:eastAsia="仿宋_GB2312" w:cs="仿宋_GB2312"/>
          <w:sz w:val="32"/>
          <w:szCs w:val="32"/>
          <w:lang w:val="en-US" w:eastAsia="zh-CN"/>
        </w:rPr>
        <w:t>课堂教学改革的尝试。</w:t>
      </w:r>
      <w:r>
        <w:rPr>
          <w:rFonts w:hint="eastAsia" w:ascii="仿宋_GB2312" w:hAnsi="仿宋_GB2312" w:eastAsia="仿宋_GB2312" w:cs="仿宋_GB2312"/>
          <w:sz w:val="32"/>
          <w:szCs w:val="32"/>
          <w:lang w:val="en-US" w:eastAsia="zh-CN"/>
        </w:rPr>
        <w:t>包括：</w:t>
      </w:r>
      <w:r>
        <w:rPr>
          <w:rFonts w:hint="default" w:ascii="仿宋_GB2312" w:hAnsi="仿宋_GB2312" w:eastAsia="仿宋_GB2312" w:cs="仿宋_GB2312"/>
          <w:sz w:val="32"/>
          <w:szCs w:val="32"/>
          <w:lang w:val="en-US" w:eastAsia="zh-CN"/>
        </w:rPr>
        <w:t>课堂教学模式改革</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校本研修</w:t>
      </w:r>
      <w:r>
        <w:rPr>
          <w:rFonts w:hint="eastAsia" w:ascii="仿宋_GB2312" w:hAnsi="仿宋_GB2312" w:eastAsia="仿宋_GB2312" w:cs="仿宋_GB2312"/>
          <w:sz w:val="32"/>
          <w:szCs w:val="32"/>
          <w:lang w:val="en-US" w:eastAsia="zh-CN"/>
        </w:rPr>
        <w:t>重点突出，</w:t>
      </w:r>
      <w:r>
        <w:rPr>
          <w:rFonts w:hint="default" w:ascii="仿宋_GB2312" w:hAnsi="仿宋_GB2312" w:eastAsia="仿宋_GB2312" w:cs="仿宋_GB2312"/>
          <w:sz w:val="32"/>
          <w:szCs w:val="32"/>
          <w:lang w:val="en-US" w:eastAsia="zh-CN"/>
        </w:rPr>
        <w:t>毕业班</w:t>
      </w:r>
      <w:r>
        <w:rPr>
          <w:rFonts w:hint="eastAsia" w:ascii="仿宋_GB2312" w:hAnsi="仿宋_GB2312" w:eastAsia="仿宋_GB2312" w:cs="仿宋_GB2312"/>
          <w:sz w:val="32"/>
          <w:szCs w:val="32"/>
          <w:lang w:val="en-US" w:eastAsia="zh-CN"/>
        </w:rPr>
        <w:t>重</w:t>
      </w:r>
      <w:r>
        <w:rPr>
          <w:rFonts w:hint="default" w:ascii="仿宋_GB2312" w:hAnsi="仿宋_GB2312" w:eastAsia="仿宋_GB2312" w:cs="仿宋_GB2312"/>
          <w:sz w:val="32"/>
          <w:szCs w:val="32"/>
          <w:lang w:val="en-US" w:eastAsia="zh-CN"/>
        </w:rPr>
        <w:t>复习研讨课</w:t>
      </w:r>
      <w:r>
        <w:rPr>
          <w:rFonts w:hint="eastAsia" w:ascii="仿宋_GB2312" w:hAnsi="仿宋_GB2312" w:eastAsia="仿宋_GB2312" w:cs="仿宋_GB2312"/>
          <w:sz w:val="32"/>
          <w:szCs w:val="32"/>
          <w:lang w:val="en-US" w:eastAsia="zh-CN"/>
        </w:rPr>
        <w:t>，修</w:t>
      </w:r>
      <w:r>
        <w:rPr>
          <w:rFonts w:hint="default" w:ascii="仿宋_GB2312" w:hAnsi="仿宋_GB2312" w:eastAsia="仿宋_GB2312" w:cs="仿宋_GB2312"/>
          <w:sz w:val="32"/>
          <w:szCs w:val="32"/>
          <w:lang w:val="en-US" w:eastAsia="zh-CN"/>
        </w:rPr>
        <w:t>业班的新课教学模式改革，加大教学六认真检查力度。</w:t>
      </w:r>
    </w:p>
    <w:p w14:paraId="053178C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w:t>
      </w:r>
      <w:r>
        <w:rPr>
          <w:rFonts w:hint="default" w:ascii="仿宋_GB2312" w:hAnsi="仿宋_GB2312" w:eastAsia="仿宋_GB2312" w:cs="仿宋_GB2312"/>
          <w:sz w:val="32"/>
          <w:szCs w:val="32"/>
          <w:lang w:val="en-US" w:eastAsia="zh-CN"/>
        </w:rPr>
        <w:t>安全工作</w:t>
      </w:r>
      <w:r>
        <w:rPr>
          <w:rFonts w:hint="eastAsia" w:ascii="仿宋_GB2312" w:hAnsi="仿宋_GB2312" w:eastAsia="仿宋_GB2312" w:cs="仿宋_GB2312"/>
          <w:sz w:val="32"/>
          <w:szCs w:val="32"/>
          <w:lang w:val="en-US" w:eastAsia="zh-CN"/>
        </w:rPr>
        <w:t>。做到安全隐患及时排查，完成</w:t>
      </w:r>
      <w:r>
        <w:rPr>
          <w:rFonts w:hint="default" w:ascii="仿宋_GB2312" w:hAnsi="仿宋_GB2312" w:eastAsia="仿宋_GB2312" w:cs="仿宋_GB2312"/>
          <w:sz w:val="32"/>
          <w:szCs w:val="32"/>
          <w:lang w:val="en-US" w:eastAsia="zh-CN"/>
        </w:rPr>
        <w:t>校园监控的整改维修，</w:t>
      </w:r>
      <w:r>
        <w:rPr>
          <w:rFonts w:hint="eastAsia" w:ascii="仿宋_GB2312" w:hAnsi="仿宋_GB2312" w:eastAsia="仿宋_GB2312" w:cs="仿宋_GB2312"/>
          <w:sz w:val="32"/>
          <w:szCs w:val="32"/>
          <w:lang w:val="en-US" w:eastAsia="zh-CN"/>
        </w:rPr>
        <w:t>丰富日常德育活动，开展安全专题教育；包括</w:t>
      </w:r>
      <w:r>
        <w:rPr>
          <w:rFonts w:hint="default" w:ascii="仿宋_GB2312" w:hAnsi="仿宋_GB2312" w:eastAsia="仿宋_GB2312" w:cs="仿宋_GB2312"/>
          <w:sz w:val="32"/>
          <w:szCs w:val="32"/>
          <w:lang w:val="en-US" w:eastAsia="zh-CN"/>
        </w:rPr>
        <w:t>森林草原防灭火，宿舍安全及隐患排查</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交通安全、防溺水及校园食品安全</w:t>
      </w:r>
      <w:r>
        <w:rPr>
          <w:rFonts w:hint="eastAsia" w:ascii="仿宋_GB2312" w:hAnsi="仿宋_GB2312" w:eastAsia="仿宋_GB2312" w:cs="仿宋_GB2312"/>
          <w:sz w:val="32"/>
          <w:szCs w:val="32"/>
          <w:lang w:val="en-US" w:eastAsia="zh-CN"/>
        </w:rPr>
        <w:t>等教育活动</w:t>
      </w:r>
      <w:r>
        <w:rPr>
          <w:rFonts w:hint="default" w:ascii="仿宋_GB2312" w:hAnsi="仿宋_GB2312" w:eastAsia="仿宋_GB2312" w:cs="仿宋_GB2312"/>
          <w:sz w:val="32"/>
          <w:szCs w:val="32"/>
          <w:lang w:val="en-US" w:eastAsia="zh-CN"/>
        </w:rPr>
        <w:t>。</w:t>
      </w:r>
    </w:p>
    <w:p w14:paraId="7F1E667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6.加强</w:t>
      </w:r>
      <w:r>
        <w:rPr>
          <w:rFonts w:hint="default" w:ascii="仿宋_GB2312" w:hAnsi="仿宋_GB2312" w:eastAsia="仿宋_GB2312" w:cs="仿宋_GB2312"/>
          <w:sz w:val="32"/>
          <w:szCs w:val="32"/>
          <w:lang w:val="en-US" w:eastAsia="zh-CN"/>
        </w:rPr>
        <w:t>学生管理。加强德育教学，加强一日常规管理，包括清洁卫生、纪律及其他管理，重点</w:t>
      </w:r>
      <w:r>
        <w:rPr>
          <w:rFonts w:hint="eastAsia" w:ascii="仿宋_GB2312" w:hAnsi="仿宋_GB2312" w:eastAsia="仿宋_GB2312" w:cs="仿宋_GB2312"/>
          <w:sz w:val="32"/>
          <w:szCs w:val="32"/>
          <w:lang w:val="en-US" w:eastAsia="zh-CN"/>
        </w:rPr>
        <w:t>是</w:t>
      </w:r>
      <w:r>
        <w:rPr>
          <w:rFonts w:hint="default" w:ascii="仿宋_GB2312" w:hAnsi="仿宋_GB2312" w:eastAsia="仿宋_GB2312" w:cs="仿宋_GB2312"/>
          <w:sz w:val="32"/>
          <w:szCs w:val="32"/>
          <w:lang w:val="en-US" w:eastAsia="zh-CN"/>
        </w:rPr>
        <w:t>手机</w:t>
      </w:r>
      <w:r>
        <w:rPr>
          <w:rFonts w:hint="eastAsia" w:ascii="仿宋_GB2312" w:hAnsi="仿宋_GB2312" w:eastAsia="仿宋_GB2312" w:cs="仿宋_GB2312"/>
          <w:sz w:val="32"/>
          <w:szCs w:val="32"/>
          <w:lang w:val="en-US" w:eastAsia="zh-CN"/>
        </w:rPr>
        <w:t>、零食</w:t>
      </w:r>
      <w:r>
        <w:rPr>
          <w:rFonts w:hint="default" w:ascii="仿宋_GB2312" w:hAnsi="仿宋_GB2312" w:eastAsia="仿宋_GB2312" w:cs="仿宋_GB2312"/>
          <w:sz w:val="32"/>
          <w:szCs w:val="32"/>
          <w:lang w:val="en-US" w:eastAsia="zh-CN"/>
        </w:rPr>
        <w:t>及就</w:t>
      </w:r>
      <w:r>
        <w:rPr>
          <w:rFonts w:hint="eastAsia" w:ascii="仿宋_GB2312" w:hAnsi="仿宋_GB2312" w:eastAsia="仿宋_GB2312" w:cs="仿宋_GB2312"/>
          <w:sz w:val="32"/>
          <w:szCs w:val="32"/>
          <w:lang w:val="en-US" w:eastAsia="zh-CN"/>
        </w:rPr>
        <w:t>寝</w:t>
      </w:r>
      <w:r>
        <w:rPr>
          <w:rFonts w:hint="default" w:ascii="仿宋_GB2312" w:hAnsi="仿宋_GB2312" w:eastAsia="仿宋_GB2312" w:cs="仿宋_GB2312"/>
          <w:sz w:val="32"/>
          <w:szCs w:val="32"/>
          <w:lang w:val="en-US" w:eastAsia="zh-CN"/>
        </w:rPr>
        <w:t>的后续管理</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校园内禁烟</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学生的校外管理需加强。</w:t>
      </w:r>
    </w:p>
    <w:p w14:paraId="4B829C8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仿宋_GB2312" w:hAnsi="仿宋_GB2312" w:eastAsia="仿宋_GB2312" w:cs="仿宋_GB2312"/>
          <w:sz w:val="32"/>
          <w:szCs w:val="32"/>
          <w:lang w:val="en-US" w:eastAsia="zh-CN"/>
        </w:rPr>
        <w:t>7.</w:t>
      </w:r>
      <w:r>
        <w:rPr>
          <w:rFonts w:hint="default" w:ascii="仿宋_GB2312" w:hAnsi="仿宋_GB2312" w:eastAsia="仿宋_GB2312" w:cs="仿宋_GB2312"/>
          <w:sz w:val="32"/>
          <w:szCs w:val="32"/>
          <w:lang w:val="en-US" w:eastAsia="zh-CN"/>
        </w:rPr>
        <w:t>招生工作做到早启动</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全员参与抓重点。</w:t>
      </w:r>
    </w:p>
    <w:p w14:paraId="1CF5F38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4" w:name="_Toc1107"/>
      <w:r>
        <w:rPr>
          <w:rFonts w:hint="eastAsia" w:ascii="黑体" w:hAnsi="黑体" w:eastAsia="黑体" w:cs="黑体"/>
          <w:sz w:val="32"/>
          <w:szCs w:val="32"/>
          <w:lang w:val="en-US" w:eastAsia="zh-CN"/>
        </w:rPr>
        <w:t>二、部门预算单位构成</w:t>
      </w:r>
      <w:bookmarkEnd w:id="4"/>
    </w:p>
    <w:p w14:paraId="2F75B19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我单位为广元市昭化区教育局的下属二级预算单位，属于公益一类事业单位，无下属机构。</w:t>
      </w:r>
    </w:p>
    <w:p w14:paraId="3B8A51A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5" w:name="_Toc7287"/>
      <w:r>
        <w:rPr>
          <w:rFonts w:hint="eastAsia" w:ascii="黑体" w:hAnsi="黑体" w:eastAsia="黑体" w:cs="黑体"/>
          <w:sz w:val="32"/>
          <w:szCs w:val="32"/>
          <w:lang w:val="en-US" w:eastAsia="zh-CN"/>
        </w:rPr>
        <w:t>三、收支预算情况说明</w:t>
      </w:r>
      <w:bookmarkEnd w:id="5"/>
    </w:p>
    <w:p w14:paraId="009AA87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按照综合预算的原则，王家中学所有收入和支出均纳入部门预算管理。收入包括：一般公共预算拨款收入；支出包括：教育支出。王家中学单位2025年收支预算总数658.58万元，比2024年收支预算总数增加9.39万元，主要原因是基本支出预算增加。</w:t>
      </w:r>
    </w:p>
    <w:p w14:paraId="31BAED0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6" w:name="_Toc11333"/>
      <w:r>
        <w:rPr>
          <w:rFonts w:hint="eastAsia" w:ascii="楷体_GB2312" w:hAnsi="楷体_GB2312" w:eastAsia="楷体_GB2312" w:cs="楷体_GB2312"/>
          <w:sz w:val="32"/>
          <w:szCs w:val="32"/>
          <w:lang w:val="en-US" w:eastAsia="zh-CN"/>
        </w:rPr>
        <w:t>（一）收入预算情况</w:t>
      </w:r>
      <w:bookmarkEnd w:id="6"/>
    </w:p>
    <w:p w14:paraId="5074D70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王家中学2025年收入预算658.58万元，其中：一般公共预算拨款收入658.58万元，占100%。</w:t>
      </w:r>
    </w:p>
    <w:p w14:paraId="714C148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7" w:name="_Toc8864"/>
      <w:r>
        <w:rPr>
          <w:rFonts w:hint="eastAsia" w:ascii="楷体_GB2312" w:hAnsi="楷体_GB2312" w:eastAsia="楷体_GB2312" w:cs="楷体_GB2312"/>
          <w:sz w:val="32"/>
          <w:szCs w:val="32"/>
          <w:lang w:val="en-US" w:eastAsia="zh-CN"/>
        </w:rPr>
        <w:t>（二）支出预算情况</w:t>
      </w:r>
      <w:bookmarkEnd w:id="7"/>
    </w:p>
    <w:p w14:paraId="131B708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王家中学2025年支出预算658.58万元，其中：基本支出617.92万元，占93.82%；项目支出40.66万元，占6.18%</w:t>
      </w:r>
      <w:r>
        <w:rPr>
          <w:rFonts w:hint="eastAsia" w:ascii="仿宋_GB2312" w:hAnsi="仿宋_GB2312" w:eastAsia="仿宋_GB2312" w:cs="仿宋_GB2312"/>
          <w:b w:val="0"/>
          <w:bCs w:val="0"/>
          <w:sz w:val="32"/>
          <w:szCs w:val="32"/>
          <w:lang w:val="en-US" w:eastAsia="zh-CN"/>
        </w:rPr>
        <w:t>。</w:t>
      </w:r>
    </w:p>
    <w:p w14:paraId="27ADA9D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8" w:name="_Toc749"/>
      <w:r>
        <w:rPr>
          <w:rFonts w:hint="eastAsia" w:ascii="黑体" w:hAnsi="黑体" w:eastAsia="黑体" w:cs="黑体"/>
          <w:sz w:val="32"/>
          <w:szCs w:val="32"/>
          <w:lang w:val="en-US" w:eastAsia="zh-CN"/>
        </w:rPr>
        <w:t>四、财政拨款收支预算情况说明</w:t>
      </w:r>
      <w:bookmarkEnd w:id="8"/>
    </w:p>
    <w:p w14:paraId="25E790E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王家中学2025年财政拨款收支预算总数658.58万元，比2024年财政拨款收支预算总数增加9.39万元，主要原因是基本支出预算增加。</w:t>
      </w:r>
    </w:p>
    <w:p w14:paraId="389A5D8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收入包括：本年一般公共预算拨款收入658.58万元；支出包括：教育支出658.58万元。</w:t>
      </w:r>
    </w:p>
    <w:p w14:paraId="5593E34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9" w:name="_Toc14806"/>
      <w:r>
        <w:rPr>
          <w:rFonts w:hint="eastAsia" w:ascii="黑体" w:hAnsi="黑体" w:eastAsia="黑体" w:cs="黑体"/>
          <w:sz w:val="32"/>
          <w:szCs w:val="32"/>
          <w:lang w:val="en-US" w:eastAsia="zh-CN"/>
        </w:rPr>
        <w:t>五、一般公共预算当年拨款情况说明</w:t>
      </w:r>
      <w:bookmarkEnd w:id="9"/>
    </w:p>
    <w:p w14:paraId="18E5A5D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0" w:name="_Toc26585"/>
      <w:r>
        <w:rPr>
          <w:rFonts w:hint="eastAsia" w:ascii="楷体_GB2312" w:hAnsi="楷体_GB2312" w:eastAsia="楷体_GB2312" w:cs="楷体_GB2312"/>
          <w:sz w:val="32"/>
          <w:szCs w:val="32"/>
          <w:lang w:val="en-US" w:eastAsia="zh-CN"/>
        </w:rPr>
        <w:t>（一）一般公共预算当年拨款规模变化情况</w:t>
      </w:r>
      <w:bookmarkEnd w:id="10"/>
    </w:p>
    <w:p w14:paraId="5A9FFBAA">
      <w:pPr>
        <w:keepNext w:val="0"/>
        <w:keepLines w:val="0"/>
        <w:pageBreakBefore w:val="0"/>
        <w:widowControl w:val="0"/>
        <w:kinsoku/>
        <w:wordWrap/>
        <w:overflowPunct/>
        <w:topLinePunct w:val="0"/>
        <w:autoSpaceDE/>
        <w:autoSpaceDN/>
        <w:bidi w:val="0"/>
        <w:adjustRightInd/>
        <w:snapToGrid/>
        <w:spacing w:line="576" w:lineRule="exact"/>
        <w:ind w:firstLine="960" w:firstLineChars="3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王家中学2025年一般公共预算当年拨款658.58万元，比2024年预算数增加9.39万元，主要原因是基本支出预算增加。</w:t>
      </w:r>
    </w:p>
    <w:p w14:paraId="743EBF4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1" w:name="_Toc5896"/>
      <w:r>
        <w:rPr>
          <w:rFonts w:hint="eastAsia" w:ascii="楷体_GB2312" w:hAnsi="楷体_GB2312" w:eastAsia="楷体_GB2312" w:cs="楷体_GB2312"/>
          <w:sz w:val="32"/>
          <w:szCs w:val="32"/>
          <w:lang w:val="en-US" w:eastAsia="zh-CN"/>
        </w:rPr>
        <w:t>（二）一般公共预算当年拨款结构情况</w:t>
      </w:r>
      <w:bookmarkEnd w:id="11"/>
    </w:p>
    <w:p w14:paraId="00D338E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教育支出658.58万元，占100%。</w:t>
      </w:r>
    </w:p>
    <w:p w14:paraId="6997953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2" w:name="_Toc2437"/>
      <w:r>
        <w:rPr>
          <w:rFonts w:hint="eastAsia" w:ascii="楷体_GB2312" w:hAnsi="楷体_GB2312" w:eastAsia="楷体_GB2312" w:cs="楷体_GB2312"/>
          <w:sz w:val="32"/>
          <w:szCs w:val="32"/>
          <w:lang w:val="en-US" w:eastAsia="zh-CN"/>
        </w:rPr>
        <w:t>（三）一般公共预算当年拨款具体使用情况</w:t>
      </w:r>
      <w:bookmarkEnd w:id="12"/>
    </w:p>
    <w:p w14:paraId="283D95C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en-US" w:eastAsia="zh-CN"/>
        </w:rPr>
        <w:t>教育支出（类）普通教育（款）初中教育（项）2025年预算数为658.58万元，主要用于：初中教育机构的基本支出，包括基本工资、津贴补贴、基础绩效奖等人员经费以及机构运行所需的办公费、印刷费、维修（护）费、工会经费等运行补助经费。</w:t>
      </w:r>
    </w:p>
    <w:p w14:paraId="41C37FD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3" w:name="_Toc28383"/>
      <w:r>
        <w:rPr>
          <w:rFonts w:hint="eastAsia" w:ascii="黑体" w:hAnsi="黑体" w:eastAsia="黑体" w:cs="黑体"/>
          <w:sz w:val="32"/>
          <w:szCs w:val="32"/>
          <w:lang w:val="en-US" w:eastAsia="zh-CN"/>
        </w:rPr>
        <w:t>六、一般公共预算基本支出情况说明</w:t>
      </w:r>
      <w:bookmarkEnd w:id="13"/>
    </w:p>
    <w:p w14:paraId="7E32035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王家中学2025年一般公共预算基本支出658.58万元，其中：</w:t>
      </w:r>
    </w:p>
    <w:p w14:paraId="3E0088F9">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人员经费617.92万元，主要包括：基本工资、津贴补贴、奖金、绩效工资、社会保险缴费、住房公积金、生活补助、奖励金等支出。</w:t>
      </w:r>
    </w:p>
    <w:p w14:paraId="77E17AB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公用经费0万元。</w:t>
      </w:r>
    </w:p>
    <w:p w14:paraId="32BC107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4" w:name="_Toc4497"/>
      <w:r>
        <w:rPr>
          <w:rFonts w:hint="eastAsia" w:ascii="黑体" w:hAnsi="黑体" w:eastAsia="黑体" w:cs="黑体"/>
          <w:sz w:val="32"/>
          <w:szCs w:val="32"/>
          <w:lang w:val="en-US" w:eastAsia="zh-CN"/>
        </w:rPr>
        <w:t>七、“三公”经费财政拨款预算安排情况说明</w:t>
      </w:r>
      <w:bookmarkEnd w:id="14"/>
    </w:p>
    <w:p w14:paraId="31E967D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王家中学2025年“三公”经费财政拨款预算数0万元，其中：公务接待费0万元，公务用车购置及运行维护费0万元，因公出国（境）经费0万元。</w:t>
      </w:r>
    </w:p>
    <w:p w14:paraId="6E1B06E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5" w:name="_Toc21936"/>
      <w:r>
        <w:rPr>
          <w:rFonts w:hint="eastAsia" w:ascii="楷体_GB2312" w:hAnsi="楷体_GB2312" w:eastAsia="楷体_GB2312" w:cs="楷体_GB2312"/>
          <w:sz w:val="32"/>
          <w:szCs w:val="32"/>
          <w:lang w:val="en-US" w:eastAsia="zh-CN"/>
        </w:rPr>
        <w:t>（一）公务接待费</w:t>
      </w:r>
      <w:bookmarkEnd w:id="15"/>
    </w:p>
    <w:p w14:paraId="491B478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公务接待费与2024年预算相比持平。</w:t>
      </w:r>
    </w:p>
    <w:p w14:paraId="699F47A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2025年公务接待费计划用于执行接待考察调研、检查指导等公务活动开支的交通费、住宿费、用餐费等。</w:t>
      </w:r>
    </w:p>
    <w:p w14:paraId="16F49467">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6" w:name="_Toc22371"/>
      <w:r>
        <w:rPr>
          <w:rFonts w:hint="eastAsia" w:ascii="楷体_GB2312" w:hAnsi="楷体_GB2312" w:eastAsia="楷体_GB2312" w:cs="楷体_GB2312"/>
          <w:sz w:val="32"/>
          <w:szCs w:val="32"/>
          <w:lang w:val="en-US" w:eastAsia="zh-CN"/>
        </w:rPr>
        <w:t>公务用车购置及运行维护费</w:t>
      </w:r>
      <w:bookmarkEnd w:id="16"/>
    </w:p>
    <w:p w14:paraId="4A9B8124">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公务用车购置及运行维护费与2024年预算相比持平。</w:t>
      </w:r>
    </w:p>
    <w:p w14:paraId="57BF9F3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单位现有公务用车0辆。</w:t>
      </w:r>
    </w:p>
    <w:p w14:paraId="1738DD9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2025年未安排公务用车购置费。</w:t>
      </w:r>
    </w:p>
    <w:p w14:paraId="1F03D40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2025年安排公务用车运行维护费0万元。</w:t>
      </w:r>
    </w:p>
    <w:p w14:paraId="0D49C981">
      <w:pPr>
        <w:keepNext w:val="0"/>
        <w:keepLines w:val="0"/>
        <w:pageBreakBefore w:val="0"/>
        <w:widowControl w:val="0"/>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17" w:name="_Toc12295"/>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17"/>
    </w:p>
    <w:p w14:paraId="754AEE7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因公出国（境）经费与2024年预算相比持平。</w:t>
      </w:r>
    </w:p>
    <w:p w14:paraId="5ACBEED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8" w:name="_Toc29974"/>
      <w:r>
        <w:rPr>
          <w:rFonts w:hint="eastAsia" w:ascii="黑体" w:hAnsi="黑体" w:eastAsia="黑体" w:cs="黑体"/>
          <w:sz w:val="32"/>
          <w:szCs w:val="32"/>
          <w:lang w:val="en-US" w:eastAsia="zh-CN"/>
        </w:rPr>
        <w:t>八、政府性基金预算支出情况说明</w:t>
      </w:r>
      <w:bookmarkEnd w:id="18"/>
    </w:p>
    <w:p w14:paraId="35CF047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王家中学2025年无政府性基金预算拨款安排的支出。</w:t>
      </w:r>
    </w:p>
    <w:p w14:paraId="72EB062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9" w:name="_Toc16487"/>
      <w:r>
        <w:rPr>
          <w:rFonts w:hint="eastAsia" w:ascii="黑体" w:hAnsi="黑体" w:eastAsia="黑体" w:cs="黑体"/>
          <w:sz w:val="32"/>
          <w:szCs w:val="32"/>
          <w:lang w:val="en-US" w:eastAsia="zh-CN"/>
        </w:rPr>
        <w:t>九、国有资本经营预算支出情况说明</w:t>
      </w:r>
      <w:bookmarkEnd w:id="19"/>
    </w:p>
    <w:p w14:paraId="7D3ABEF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王家中学2025年无国有资本经营预算拨款安排的支出。</w:t>
      </w:r>
    </w:p>
    <w:p w14:paraId="3DB933A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0" w:name="_Toc14505"/>
      <w:r>
        <w:rPr>
          <w:rFonts w:hint="eastAsia" w:ascii="黑体" w:hAnsi="黑体" w:eastAsia="黑体" w:cs="黑体"/>
          <w:sz w:val="32"/>
          <w:szCs w:val="32"/>
          <w:lang w:val="en-US" w:eastAsia="zh-CN"/>
        </w:rPr>
        <w:t>十、其他重要事项的情况说明</w:t>
      </w:r>
      <w:bookmarkEnd w:id="20"/>
    </w:p>
    <w:p w14:paraId="385F493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1" w:name="_Toc1079"/>
      <w:r>
        <w:rPr>
          <w:rFonts w:hint="eastAsia" w:ascii="楷体_GB2312" w:hAnsi="楷体_GB2312" w:eastAsia="楷体_GB2312" w:cs="楷体_GB2312"/>
          <w:sz w:val="32"/>
          <w:szCs w:val="32"/>
          <w:lang w:val="en-US" w:eastAsia="zh-CN"/>
        </w:rPr>
        <w:t>（一）机关运行经费</w:t>
      </w:r>
      <w:bookmarkEnd w:id="21"/>
    </w:p>
    <w:p w14:paraId="666B5F4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2025年，本单位属公益一类事业单位，无机关运行经费。</w:t>
      </w:r>
    </w:p>
    <w:p w14:paraId="6A4CCE4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2" w:name="_Toc31681"/>
      <w:r>
        <w:rPr>
          <w:rFonts w:hint="eastAsia" w:ascii="楷体_GB2312" w:hAnsi="楷体_GB2312" w:eastAsia="楷体_GB2312" w:cs="楷体_GB2312"/>
          <w:sz w:val="32"/>
          <w:szCs w:val="32"/>
          <w:lang w:val="en-US" w:eastAsia="zh-CN"/>
        </w:rPr>
        <w:t>（二）政府采购情况</w:t>
      </w:r>
      <w:bookmarkEnd w:id="22"/>
    </w:p>
    <w:p w14:paraId="2C8F281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2025年，王家中学安排政府采购预算0万元。</w:t>
      </w:r>
    </w:p>
    <w:p w14:paraId="1FCFA59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3" w:name="_Toc24823"/>
      <w:r>
        <w:rPr>
          <w:rFonts w:hint="eastAsia" w:ascii="楷体_GB2312" w:hAnsi="楷体_GB2312" w:eastAsia="楷体_GB2312" w:cs="楷体_GB2312"/>
          <w:sz w:val="32"/>
          <w:szCs w:val="32"/>
          <w:lang w:val="en-US" w:eastAsia="zh-CN"/>
        </w:rPr>
        <w:t>（三）国有资产占有使用情况</w:t>
      </w:r>
      <w:bookmarkEnd w:id="23"/>
    </w:p>
    <w:p w14:paraId="34135B3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截至2024年底，王家中学共有车辆0辆。单位价值200万元以上大型设备。</w:t>
      </w:r>
    </w:p>
    <w:p w14:paraId="0A9579F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2025年部门预算未安排购置车辆及单位价值200万元以上大型设备。</w:t>
      </w:r>
    </w:p>
    <w:p w14:paraId="2124245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4" w:name="_Toc32392"/>
      <w:r>
        <w:rPr>
          <w:rFonts w:hint="eastAsia" w:ascii="楷体_GB2312" w:hAnsi="楷体_GB2312" w:eastAsia="楷体_GB2312" w:cs="楷体_GB2312"/>
          <w:sz w:val="32"/>
          <w:szCs w:val="32"/>
          <w:lang w:val="en-US" w:eastAsia="zh-CN"/>
        </w:rPr>
        <w:t>（四）绩效目标设置情况</w:t>
      </w:r>
      <w:bookmarkEnd w:id="24"/>
    </w:p>
    <w:p w14:paraId="505A241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王家中学开展绩效目标管理的项目14个，涉及预算658.58万元。其中：人员类项目10个，涉及预算617.92万元；运转类项目4个，涉及预算40.66万元；特定目标类项目0个，涉及预算0万元。因部分项目内容涉密，不予公开。</w:t>
      </w:r>
    </w:p>
    <w:p w14:paraId="6DA15D9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5" w:name="_Toc27692"/>
      <w:r>
        <w:rPr>
          <w:rFonts w:hint="eastAsia" w:ascii="黑体" w:hAnsi="黑体" w:eastAsia="黑体" w:cs="黑体"/>
          <w:sz w:val="32"/>
          <w:szCs w:val="32"/>
          <w:lang w:val="en-US" w:eastAsia="zh-CN"/>
        </w:rPr>
        <w:t>十一、名词解释</w:t>
      </w:r>
      <w:bookmarkEnd w:id="25"/>
    </w:p>
    <w:p w14:paraId="7EDB828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eastAsia" w:ascii="仿宋_GB2312" w:hAnsi="仿宋_GB2312" w:eastAsia="仿宋_GB2312" w:cs="仿宋_GB2312"/>
          <w:sz w:val="32"/>
          <w:szCs w:val="32"/>
          <w:lang w:val="en-US" w:eastAsia="zh-CN"/>
        </w:rPr>
        <w:t>指区级财政当年安排的财政预算收入。按现行管理制度，部门预算中反映的财政拨款包括一般公共预算拨款和政府性基金预算拨款。</w:t>
      </w:r>
    </w:p>
    <w:p w14:paraId="07B94D3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（二）事业收入：</w:t>
      </w:r>
      <w:r>
        <w:rPr>
          <w:rFonts w:hint="eastAsia" w:ascii="仿宋_GB2312" w:hAnsi="仿宋_GB2312" w:eastAsia="仿宋_GB2312" w:cs="仿宋_GB2312"/>
          <w:sz w:val="32"/>
          <w:szCs w:val="32"/>
          <w:lang w:val="en-US" w:eastAsia="zh-CN"/>
        </w:rPr>
        <w:t>指事业单位开展专业业务活动及辅助活动所取得的收入。主要为学校根据国家有关部门批准的项目和标准收取的学费、住宿费等。</w:t>
      </w:r>
    </w:p>
    <w:p w14:paraId="0B5505C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（三）其他收入：</w:t>
      </w:r>
      <w:r>
        <w:rPr>
          <w:rFonts w:hint="eastAsia" w:ascii="仿宋_GB2312" w:hAnsi="仿宋_GB2312" w:eastAsia="仿宋_GB2312" w:cs="仿宋_GB2312"/>
          <w:sz w:val="32"/>
          <w:szCs w:val="32"/>
          <w:lang w:val="en-US" w:eastAsia="zh-CN"/>
        </w:rPr>
        <w:t>指除上述“一般公共预算拨款收入和事业收入”等以外的收入，如银行存款利息收入等。</w:t>
      </w:r>
    </w:p>
    <w:p w14:paraId="6CFFEA3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（四）上年结转：</w:t>
      </w:r>
      <w:r>
        <w:rPr>
          <w:rFonts w:hint="eastAsia" w:ascii="仿宋_GB2312" w:hAnsi="仿宋_GB2312" w:eastAsia="仿宋_GB2312" w:cs="仿宋_GB2312"/>
          <w:sz w:val="32"/>
          <w:szCs w:val="32"/>
          <w:lang w:val="en-US" w:eastAsia="zh-CN"/>
        </w:rPr>
        <w:t>指以前年度尚未完成，结转到本年仍按原规定用途继续使用的资金。</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（五）</w:t>
      </w:r>
      <w:r>
        <w:rPr>
          <w:rFonts w:hint="eastAsia" w:ascii="仿宋_GB2312" w:hAnsi="仿宋_GB2312" w:eastAsia="仿宋_GB2312" w:cs="仿宋_GB2312"/>
          <w:sz w:val="32"/>
          <w:szCs w:val="32"/>
          <w:lang w:val="en-US" w:eastAsia="zh-CN"/>
        </w:rPr>
        <w:t>教育支出（类）普通教育（款）初中教育（项）：指初中教育发展的基本支出，包括基本工资、津贴补贴等人员经费以及办公费、印刷费、水电费等日常公用经费。</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（六）社会保障和就业（类）行政事业单位养老支出（款）机关事业单位基本养老保险缴费支出（项）：指部门实施养老保险制度由单位缴纳的养老保险的支出。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（七）社会保障和就业（类）行政事业单位养老支出（款）机关事业单位职业年金缴费支出（项）：指部门实施养老保险制度由单位缴纳的职业年金的支出。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（八）卫生健康（类）行政事业单位医疗（款）事业单位医疗（项）：指事业单位用于单位应缴纳基本医疗保险支出。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（九）住房保障（类）住房改革支出（款）住房公积金（项）：指按照《住房公积金管理条例》的规定，由单位及其在职职工缴存的长期住房储金。</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（十）基本支出：指为保证机构正常运转，完成日常工作任务而发生的人员支出和公用支出。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（十一）项目支出：指在基本支出之外为完成特定行政任务和事业发展目标所发生的支出。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十二）“三公”经费：纳入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费</w:t>
      </w:r>
      <w:bookmarkStart w:id="27" w:name="_GoBack"/>
      <w:bookmarkEnd w:id="27"/>
      <w:r>
        <w:rPr>
          <w:rFonts w:hint="eastAsia" w:ascii="仿宋_GB2312" w:hAnsi="仿宋_GB2312" w:eastAsia="仿宋_GB2312" w:cs="仿宋_GB2312"/>
          <w:sz w:val="32"/>
          <w:szCs w:val="32"/>
          <w:lang w:val="en-US" w:eastAsia="zh-CN"/>
        </w:rPr>
        <w:t>（含外宾接待）支出。</w:t>
      </w:r>
    </w:p>
    <w:p w14:paraId="042C737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附件：1. 单位预算公开表</w:t>
      </w:r>
    </w:p>
    <w:p w14:paraId="535CAA9A">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left="1600" w:leftChars="0" w:firstLine="0" w:firstLineChars="0"/>
        <w:textAlignment w:val="auto"/>
        <w:outlineLvl w:val="1"/>
        <w:rPr>
          <w:rFonts w:hint="eastAsia" w:ascii="仿宋_GB2312" w:hAnsi="仿宋_GB2312" w:eastAsia="仿宋_GB2312" w:cs="仿宋_GB2312"/>
          <w:sz w:val="32"/>
          <w:szCs w:val="32"/>
          <w:lang w:val="en-US" w:eastAsia="zh-CN"/>
        </w:rPr>
      </w:pPr>
      <w:bookmarkStart w:id="26" w:name="_Toc1640"/>
      <w:r>
        <w:rPr>
          <w:rFonts w:hint="eastAsia" w:ascii="仿宋_GB2312" w:hAnsi="仿宋_GB2312" w:eastAsia="仿宋_GB2312" w:cs="仿宋_GB2312"/>
          <w:sz w:val="32"/>
          <w:szCs w:val="32"/>
          <w:lang w:val="en-US" w:eastAsia="zh-CN"/>
        </w:rPr>
        <w:t>单位预算项目绩效目标表</w:t>
      </w:r>
      <w:bookmarkEnd w:id="26"/>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iberation Sans">
    <w:altName w:val="Vijaya"/>
    <w:panose1 w:val="020B0604020202020204"/>
    <w:charset w:val="00"/>
    <w:family w:val="auto"/>
    <w:pitch w:val="default"/>
    <w:sig w:usb0="00000000" w:usb1="00000000" w:usb2="00000000" w:usb3="00000000" w:csb0="6000009F" w:csb1="DFD70000"/>
  </w:font>
  <w:font w:name="Vijaya">
    <w:panose1 w:val="020B0604020202020204"/>
    <w:charset w:val="00"/>
    <w:family w:val="auto"/>
    <w:pitch w:val="default"/>
    <w:sig w:usb0="00100003" w:usb1="00000000" w:usb2="00000000" w:usb3="00000000" w:csb0="00000001" w:csb1="0000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2000000000000000000"/>
    <w:charset w:val="86"/>
    <w:family w:val="auto"/>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715EA8">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31"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1EE48AA9">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anchor="t" upright="0">
                      <a:spAutoFit/>
                    </wps:bodyPr>
                  </wps:wsp>
                </a:graphicData>
              </a:graphic>
            </wp:anchor>
          </w:drawing>
        </mc:Choice>
        <mc:Fallback>
          <w:pict>
            <v:rect id="文本框 1" o:spid="_x0000_s1026" o:spt="1"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Ll1uVLQAAAABQEAAA8AAAAAAAAAAQAgAAAAIgAAAGRycy9kb3ducmV2LnhtbFBL&#10;AQIUABQAAAAIAIdO4kBd5Lhy/gEAAAAEAAAOAAAAAAAAAAEAIAAAAB8BAABkcnMvZTJvRG9jLnht&#10;bFBLBQYAAAAABgAGAFkBAACPBQAAAAA=&#10;">
              <v:fill on="f" focussize="0,0"/>
              <v:stroke on="f"/>
              <v:imagedata o:title=""/>
              <o:lock v:ext="edit" aspectratio="f"/>
              <v:textbox inset="0mm,0mm,0mm,0mm" style="mso-fit-shape-to-text:t;">
                <w:txbxContent>
                  <w:p w14:paraId="1EE48AA9">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923EAC"/>
    <w:multiLevelType w:val="singleLevel"/>
    <w:tmpl w:val="BD923EAC"/>
    <w:lvl w:ilvl="0" w:tentative="0">
      <w:start w:val="2"/>
      <w:numFmt w:val="decimal"/>
      <w:lvlText w:val="%1."/>
      <w:lvlJc w:val="left"/>
      <w:pPr>
        <w:tabs>
          <w:tab w:val="left" w:pos="312"/>
        </w:tabs>
        <w:ind w:left="1600" w:leftChars="0" w:firstLine="0" w:firstLineChars="0"/>
      </w:pPr>
    </w:lvl>
  </w:abstractNum>
  <w:abstractNum w:abstractNumId="1">
    <w:nsid w:val="F112CAC8"/>
    <w:multiLevelType w:val="singleLevel"/>
    <w:tmpl w:val="F112CAC8"/>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displayBackgroundShape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
  <w:drawingGridVerticalSpacing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wYmQ3N2FhZmE1Yjg0OGFkNTU5NTg3M2QzNjJlMDgifQ=="/>
  </w:docVars>
  <w:rsids>
    <w:rsidRoot w:val="00000000"/>
    <w:rsid w:val="2D98779C"/>
  </w:rsids>
  <m:mathPr>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0">
    <w:name w:val="Default Paragraph Font"/>
    <w:autoRedefine/>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caption"/>
    <w:basedOn w:val="1"/>
    <w:autoRedefine/>
    <w:qFormat/>
    <w:uiPriority w:val="0"/>
    <w:pPr>
      <w:widowControl w:val="0"/>
      <w:suppressLineNumbers/>
      <w:suppressAutoHyphens/>
      <w:spacing w:before="120" w:after="120"/>
    </w:pPr>
    <w:rPr>
      <w:i/>
      <w:iCs/>
      <w:sz w:val="24"/>
      <w:szCs w:val="24"/>
    </w:rPr>
  </w:style>
  <w:style w:type="paragraph" w:styleId="3">
    <w:name w:val="Body Text"/>
    <w:basedOn w:val="1"/>
    <w:autoRedefine/>
    <w:qFormat/>
    <w:uiPriority w:val="0"/>
    <w:pPr>
      <w:spacing w:before="0" w:after="140" w:line="276" w:lineRule="auto"/>
    </w:p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w:basedOn w:val="3"/>
    <w:autoRedefine/>
    <w:qFormat/>
    <w:uiPriority w:val="0"/>
  </w:style>
  <w:style w:type="paragraph" w:styleId="7">
    <w:name w:val="Normal (Web)"/>
    <w:basedOn w:val="1"/>
    <w:autoRedefine/>
    <w:qFormat/>
    <w:uiPriority w:val="0"/>
    <w:rPr>
      <w:sz w:val="24"/>
    </w:rPr>
  </w:style>
  <w:style w:type="table" w:styleId="9">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1">
    <w:name w:val="默认段落字体1"/>
    <w:autoRedefine/>
    <w:qFormat/>
    <w:uiPriority w:val="0"/>
  </w:style>
  <w:style w:type="paragraph" w:customStyle="1" w:styleId="12">
    <w:name w:val="Heading"/>
    <w:basedOn w:val="1"/>
    <w:next w:val="3"/>
    <w:autoRedefine/>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3">
    <w:name w:val="Index"/>
    <w:basedOn w:val="1"/>
    <w:autoRedefine/>
    <w:qFormat/>
    <w:uiPriority w:val="0"/>
    <w:pPr>
      <w:widowControl w:val="0"/>
      <w:suppressLineNumbers/>
      <w:suppressAutoHyphens/>
    </w:pPr>
  </w:style>
  <w:style w:type="paragraph" w:customStyle="1" w:styleId="14">
    <w:name w:val="WPSOffice手动目录 1"/>
    <w:qFormat/>
    <w:uiPriority w:val="0"/>
    <w:pPr>
      <w:ind w:leftChars="0"/>
    </w:pPr>
    <w:rPr>
      <w:rFonts w:ascii="Times New Roman" w:hAnsi="Times New Roman" w:eastAsia="宋体" w:cs="Times New Roman"/>
      <w:sz w:val="20"/>
      <w:szCs w:val="20"/>
    </w:rPr>
  </w:style>
  <w:style w:type="paragraph" w:customStyle="1" w:styleId="15">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9</Pages>
  <Words>3391</Words>
  <Characters>3609</Characters>
  <TotalTime>27</TotalTime>
  <ScaleCrop>false</ScaleCrop>
  <LinksUpToDate>false</LinksUpToDate>
  <CharactersWithSpaces>3717</CharactersWithSpaces>
  <Application>WPS Office_12.1.0.19302_F1E327BC-269C-435d-A152-05C5408002CA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丽丽</cp:lastModifiedBy>
  <dcterms:modified xsi:type="dcterms:W3CDTF">2025-02-15T05:12:46Z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96081F72B7444D3C8C1C7DDAED24732C_13</vt:lpwstr>
  </property>
  <property fmtid="{D5CDD505-2E9C-101B-9397-08002B2CF9AE}" pid="4" name="KSOTemplateDocerSaveRecord">
    <vt:lpwstr>eyJoZGlkIjoiOTlhNTlmMWMwY2NkZGNhOTM0ZTIzOTMwM2UwMjVlYzgiLCJ1c2VySWQiOiI2MDAwNDk2NTIifQ==</vt:lpwstr>
  </property>
</Properties>
</file>