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val="0"/>
        <w:spacing w:line="360" w:lineRule="auto"/>
        <w:jc w:val="center"/>
        <w:textAlignment w:val="auto"/>
        <w:outlineLvl w:val="0"/>
        <w:rPr>
          <w:rFonts w:hint="eastAsia" w:ascii="Times New Roman" w:hAnsi="Times New Roman" w:eastAsia="方正小标宋简体"/>
          <w:bCs/>
          <w:sz w:val="44"/>
          <w:szCs w:val="44"/>
        </w:rPr>
      </w:pPr>
      <w:bookmarkStart w:id="0" w:name="_Toc11627"/>
      <w:r>
        <w:rPr>
          <w:rFonts w:ascii="Times New Roman" w:hAnsi="Times New Roman" w:eastAsia="方正小标宋简体"/>
          <w:bCs/>
          <w:sz w:val="44"/>
          <w:szCs w:val="44"/>
        </w:rPr>
        <w:t>广元市昭化区</w:t>
      </w:r>
      <w:bookmarkEnd w:id="0"/>
      <w:bookmarkStart w:id="1" w:name="_Toc30512"/>
      <w:r>
        <w:rPr>
          <w:rFonts w:hint="eastAsia" w:ascii="Times New Roman" w:hAnsi="Times New Roman" w:eastAsia="方正小标宋简体"/>
          <w:bCs/>
          <w:sz w:val="44"/>
          <w:szCs w:val="44"/>
        </w:rPr>
        <w:t>广元民盟烛光初级中学</w:t>
      </w:r>
      <w:bookmarkEnd w:id="1"/>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pacing w:before="0" w:beforeAutospacing="0" w:after="0" w:afterAutospacing="0" w:line="360" w:lineRule="auto"/>
        <w:ind w:left="0" w:right="0" w:firstLine="0"/>
        <w:jc w:val="center"/>
        <w:textAlignment w:val="auto"/>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r>
        <w:rPr>
          <w:rFonts w:hint="eastAsia" w:ascii="方正小标宋简体" w:hAnsi="方正小标宋简体" w:eastAsia="方正小标宋简体" w:cs="方正小标宋简体"/>
          <w:i w:val="0"/>
          <w:caps w:val="0"/>
          <w:color w:val="333333"/>
          <w:spacing w:val="0"/>
          <w:kern w:val="0"/>
          <w:sz w:val="44"/>
          <w:szCs w:val="44"/>
          <w:shd w:val="clear" w:color="auto" w:fill="FFFFFF"/>
          <w:lang w:val="en-US" w:eastAsia="zh-CN" w:bidi="ar"/>
        </w:rPr>
        <w:t>2024年部门预算编制说明</w:t>
      </w: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pStyle w:val="2"/>
        <w:rPr>
          <w:rFonts w:hint="eastAsia"/>
          <w:lang w:val="en-US" w:eastAsia="zh-CN"/>
        </w:rPr>
      </w:pPr>
    </w:p>
    <w:p>
      <w:pPr>
        <w:rPr>
          <w:rFonts w:hint="eastAsia"/>
          <w:lang w:val="en-US" w:eastAsia="zh-CN"/>
        </w:rPr>
      </w:pPr>
    </w:p>
    <w:p>
      <w:pPr>
        <w:jc w:val="center"/>
        <w:rPr>
          <w:rFonts w:hint="eastAsia" w:ascii="黑体" w:hAnsi="黑体" w:eastAsia="黑体" w:cs="黑体"/>
          <w:b/>
          <w:bCs/>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目   录</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一、基本职能及主要工作..............................( 3)</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（一）单位职能简介..................................( 3)</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（二）单位2024年重点工作...........................(</w:t>
      </w:r>
      <w:r>
        <w:rPr>
          <w:rFonts w:hint="default"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 xml:space="preserve"> </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3)</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二、部门预算单位构成................................(</w:t>
      </w:r>
      <w:r>
        <w:rPr>
          <w:rFonts w:hint="default"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 xml:space="preserve"> </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5)</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三、收支预算情况说明................................(</w:t>
      </w:r>
      <w:r>
        <w:rPr>
          <w:rFonts w:hint="default"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 xml:space="preserve"> </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5)</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（一）收入预算情况..................................(</w:t>
      </w:r>
      <w:r>
        <w:rPr>
          <w:rFonts w:hint="default"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 xml:space="preserve"> </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6)</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（二）支出预算情况..................................(</w:t>
      </w:r>
      <w:r>
        <w:rPr>
          <w:rFonts w:hint="default"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 xml:space="preserve"> </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6)</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四、财政拨款收支预算情况说明........................(</w:t>
      </w:r>
      <w:r>
        <w:rPr>
          <w:rFonts w:hint="default"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 xml:space="preserve"> </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6)</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五、一般公共预算当年拨款情况说明....................(</w:t>
      </w:r>
      <w:r>
        <w:rPr>
          <w:rFonts w:hint="default"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 xml:space="preserve"> </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6)</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（一）一般公共预算当年拨款规模变化情况..............(</w:t>
      </w:r>
      <w:r>
        <w:rPr>
          <w:rFonts w:hint="default"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 xml:space="preserve"> </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6)</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（二）一般公共预算当年拨款结构情况..................(</w:t>
      </w:r>
      <w:r>
        <w:rPr>
          <w:rFonts w:hint="default"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 xml:space="preserve"> </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7)</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（三）一般公共预算当年拨款具体使用情况..............(</w:t>
      </w:r>
      <w:r>
        <w:rPr>
          <w:rFonts w:hint="default"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 xml:space="preserve"> </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7)</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六、一般公共预算基本支出情况说明....................(</w:t>
      </w:r>
      <w:r>
        <w:rPr>
          <w:rFonts w:hint="default"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 xml:space="preserve"> </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7)</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七、“三公”经费财政拨款预算安排情况说明............(</w:t>
      </w:r>
      <w:r>
        <w:rPr>
          <w:rFonts w:hint="default"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 xml:space="preserve"> </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7)</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八、政府性基金预算支出情况说明......................(</w:t>
      </w:r>
      <w:r>
        <w:rPr>
          <w:rFonts w:hint="default"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 xml:space="preserve"> </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8)</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九、国有资本经营预算支出情况说明....................(</w:t>
      </w:r>
      <w:r>
        <w:rPr>
          <w:rFonts w:hint="default"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 xml:space="preserve"> </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8)</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十、其他重要事项的情况说明..........................(</w:t>
      </w:r>
      <w:r>
        <w:rPr>
          <w:rFonts w:hint="default"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 xml:space="preserve"> </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8)</w:t>
      </w:r>
    </w:p>
    <w:p>
      <w:pPr>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十一、名词解释......................................(</w:t>
      </w:r>
      <w:r>
        <w:rPr>
          <w:rFonts w:hint="default"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 xml:space="preserve"> </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9)</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一、基本职能及主要工作</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674"/>
        <w:jc w:val="both"/>
        <w:rPr>
          <w:rFonts w:hint="eastAsia" w:ascii="Times New Roman" w:hAnsi="Times New Roman" w:eastAsia="方正小标宋简体"/>
          <w:bCs/>
          <w:sz w:val="44"/>
          <w:szCs w:val="44"/>
        </w:rPr>
      </w:pPr>
      <w:r>
        <w:rPr>
          <w:rFonts w:ascii="楷体_GB2312" w:eastAsia="楷体_GB2312" w:cs="楷体_GB2312"/>
          <w:b/>
          <w:i w:val="0"/>
          <w:caps w:val="0"/>
          <w:color w:val="333333"/>
          <w:spacing w:val="0"/>
          <w:sz w:val="32"/>
          <w:szCs w:val="32"/>
          <w:shd w:val="clear" w:color="auto" w:fill="FFFFFF"/>
        </w:rPr>
        <w:t>（一）</w:t>
      </w:r>
      <w:r>
        <w:rPr>
          <w:rFonts w:hint="eastAsia" w:ascii="楷体_GB2312" w:hAnsi="Calibri" w:eastAsia="楷体_GB2312" w:cs="楷体_GB2312"/>
          <w:b/>
          <w:i w:val="0"/>
          <w:caps w:val="0"/>
          <w:color w:val="333333"/>
          <w:spacing w:val="0"/>
          <w:kern w:val="2"/>
          <w:sz w:val="32"/>
          <w:szCs w:val="32"/>
          <w:shd w:val="clear" w:color="auto" w:fill="FFFFFF"/>
          <w:lang w:val="en-US" w:eastAsia="zh-CN" w:bidi="ar-SA"/>
        </w:rPr>
        <w:t>广元民盟烛光初级中学</w:t>
      </w:r>
      <w:r>
        <w:rPr>
          <w:rFonts w:hint="eastAsia" w:ascii="楷体_GB2312" w:eastAsia="楷体_GB2312" w:cs="楷体_GB2312"/>
          <w:b/>
          <w:i w:val="0"/>
          <w:caps w:val="0"/>
          <w:color w:val="333333"/>
          <w:spacing w:val="0"/>
          <w:sz w:val="32"/>
          <w:szCs w:val="32"/>
          <w:shd w:val="clear" w:color="auto" w:fill="FFFFFF"/>
        </w:rPr>
        <w:t>职能简介</w:t>
      </w:r>
    </w:p>
    <w:p>
      <w:pPr>
        <w:pStyle w:val="4"/>
        <w:adjustRightInd w:val="0"/>
        <w:spacing w:beforeLines="0" w:line="500" w:lineRule="exact"/>
        <w:ind w:firstLine="640" w:firstLineChars="200"/>
        <w:outlineLvl w:val="2"/>
        <w:rPr>
          <w:rFonts w:ascii="仿宋" w:hAnsi="仿宋" w:eastAsia="仿宋"/>
          <w:kern w:val="2"/>
          <w:sz w:val="32"/>
          <w:szCs w:val="32"/>
        </w:rPr>
      </w:pPr>
      <w:r>
        <w:rPr>
          <w:rFonts w:hint="eastAsia" w:ascii="仿宋" w:hAnsi="仿宋" w:eastAsia="仿宋"/>
          <w:kern w:val="2"/>
          <w:sz w:val="32"/>
          <w:szCs w:val="32"/>
        </w:rPr>
        <w:t>1.</w:t>
      </w:r>
      <w:r>
        <w:rPr>
          <w:rFonts w:ascii="仿宋" w:hAnsi="仿宋" w:eastAsia="仿宋"/>
          <w:kern w:val="2"/>
          <w:sz w:val="32"/>
          <w:szCs w:val="32"/>
        </w:rPr>
        <w:t>宣传贯彻执行党和国家的教育方针、教育政策、教育法律和法规，贯彻执行上级教育行政部门的各项规章制度。</w:t>
      </w:r>
    </w:p>
    <w:p>
      <w:pPr>
        <w:pStyle w:val="4"/>
        <w:adjustRightInd w:val="0"/>
        <w:spacing w:beforeLines="0" w:line="500" w:lineRule="exact"/>
        <w:ind w:firstLine="640" w:firstLineChars="200"/>
        <w:outlineLvl w:val="2"/>
        <w:rPr>
          <w:rFonts w:hint="eastAsia" w:ascii="仿宋" w:hAnsi="仿宋" w:eastAsia="仿宋"/>
          <w:kern w:val="2"/>
          <w:sz w:val="32"/>
          <w:szCs w:val="32"/>
        </w:rPr>
      </w:pPr>
      <w:r>
        <w:rPr>
          <w:rFonts w:hint="eastAsia" w:ascii="仿宋" w:hAnsi="仿宋" w:eastAsia="仿宋"/>
          <w:kern w:val="2"/>
          <w:sz w:val="32"/>
          <w:szCs w:val="32"/>
        </w:rPr>
        <w:t>2.用科学的发展观指导教育教学工作。加强教育科研工作，推动校本教育的健康发展。加强教学管理，不断推进新课程改革，全面提高教学质量。</w:t>
      </w:r>
    </w:p>
    <w:p>
      <w:pPr>
        <w:pStyle w:val="4"/>
        <w:adjustRightInd w:val="0"/>
        <w:spacing w:beforeLines="0" w:line="500" w:lineRule="exact"/>
        <w:ind w:firstLine="640" w:firstLineChars="200"/>
        <w:outlineLvl w:val="2"/>
        <w:rPr>
          <w:rFonts w:hint="eastAsia" w:ascii="仿宋" w:hAnsi="仿宋" w:eastAsia="仿宋"/>
          <w:kern w:val="2"/>
          <w:sz w:val="32"/>
          <w:szCs w:val="32"/>
        </w:rPr>
      </w:pPr>
      <w:r>
        <w:rPr>
          <w:rFonts w:hint="eastAsia" w:ascii="仿宋" w:hAnsi="仿宋" w:eastAsia="仿宋"/>
          <w:kern w:val="2"/>
          <w:sz w:val="32"/>
          <w:szCs w:val="32"/>
        </w:rPr>
        <w:t>3.</w:t>
      </w:r>
      <w:r>
        <w:rPr>
          <w:rFonts w:ascii="仿宋" w:hAnsi="仿宋" w:eastAsia="仿宋"/>
          <w:kern w:val="2"/>
          <w:sz w:val="32"/>
          <w:szCs w:val="32"/>
        </w:rPr>
        <w:t>按照九年义务教育课程计划，开齐课程，开足课时，认真实施中小学的教育教学管理，全面推进素质教育，全面提高教育教学质量</w:t>
      </w:r>
      <w:r>
        <w:rPr>
          <w:rFonts w:hint="eastAsia" w:ascii="仿宋" w:hAnsi="仿宋" w:eastAsia="仿宋"/>
          <w:kern w:val="2"/>
          <w:sz w:val="32"/>
          <w:szCs w:val="32"/>
        </w:rPr>
        <w:t>。</w:t>
      </w:r>
    </w:p>
    <w:p>
      <w:pPr>
        <w:pStyle w:val="4"/>
        <w:adjustRightInd w:val="0"/>
        <w:spacing w:beforeLines="0" w:line="500" w:lineRule="exact"/>
        <w:ind w:firstLine="640" w:firstLineChars="200"/>
        <w:outlineLvl w:val="2"/>
        <w:rPr>
          <w:rFonts w:hint="eastAsia" w:ascii="仿宋" w:hAnsi="仿宋" w:eastAsia="仿宋"/>
          <w:kern w:val="2"/>
          <w:sz w:val="32"/>
          <w:szCs w:val="32"/>
        </w:rPr>
      </w:pPr>
      <w:r>
        <w:rPr>
          <w:rFonts w:hint="eastAsia" w:ascii="仿宋" w:hAnsi="仿宋" w:eastAsia="仿宋"/>
          <w:kern w:val="2"/>
          <w:sz w:val="32"/>
          <w:szCs w:val="32"/>
        </w:rPr>
        <w:t>4.继续深化人事制度改革，完善学校内部管理，做好后勤保障工作。</w:t>
      </w:r>
    </w:p>
    <w:p>
      <w:pPr>
        <w:pStyle w:val="4"/>
        <w:adjustRightInd w:val="0"/>
        <w:spacing w:beforeLines="0" w:line="500" w:lineRule="exact"/>
        <w:ind w:firstLine="640" w:firstLineChars="200"/>
        <w:outlineLvl w:val="2"/>
        <w:rPr>
          <w:rFonts w:hint="eastAsia" w:ascii="仿宋" w:hAnsi="仿宋" w:eastAsia="仿宋"/>
          <w:kern w:val="2"/>
          <w:sz w:val="32"/>
          <w:szCs w:val="32"/>
        </w:rPr>
      </w:pPr>
      <w:r>
        <w:rPr>
          <w:rFonts w:hint="eastAsia" w:ascii="仿宋" w:hAnsi="仿宋" w:eastAsia="仿宋"/>
          <w:kern w:val="2"/>
          <w:sz w:val="32"/>
          <w:szCs w:val="32"/>
        </w:rPr>
        <w:t>5.负责科学管理、合理使用学校的设施和经费，并积极筹措资金，改善办学条件。</w:t>
      </w:r>
    </w:p>
    <w:p>
      <w:pPr>
        <w:pStyle w:val="4"/>
        <w:adjustRightInd w:val="0"/>
        <w:spacing w:beforeLines="0" w:line="500" w:lineRule="exact"/>
        <w:ind w:firstLine="640" w:firstLineChars="200"/>
        <w:outlineLvl w:val="2"/>
        <w:rPr>
          <w:rFonts w:hint="eastAsia" w:ascii="仿宋" w:hAnsi="仿宋" w:eastAsia="仿宋"/>
          <w:kern w:val="2"/>
          <w:sz w:val="32"/>
          <w:szCs w:val="32"/>
        </w:rPr>
      </w:pPr>
      <w:r>
        <w:rPr>
          <w:rFonts w:hint="eastAsia" w:ascii="仿宋" w:hAnsi="仿宋" w:eastAsia="仿宋"/>
          <w:kern w:val="2"/>
          <w:sz w:val="32"/>
          <w:szCs w:val="32"/>
        </w:rPr>
        <w:t>6.负责维护学校、师生的合法权益，有权拒绝任何组织和个人对教育教学活动进行非法干扰。</w:t>
      </w:r>
    </w:p>
    <w:p>
      <w:pPr>
        <w:pStyle w:val="4"/>
        <w:adjustRightInd w:val="0"/>
        <w:spacing w:beforeLines="0" w:line="500" w:lineRule="exact"/>
        <w:ind w:firstLine="640" w:firstLineChars="200"/>
        <w:outlineLvl w:val="2"/>
        <w:rPr>
          <w:rFonts w:hint="eastAsia" w:ascii="仿宋" w:hAnsi="仿宋" w:eastAsia="仿宋"/>
          <w:kern w:val="2"/>
          <w:sz w:val="32"/>
          <w:szCs w:val="32"/>
        </w:rPr>
      </w:pPr>
      <w:r>
        <w:rPr>
          <w:rFonts w:hint="eastAsia" w:ascii="仿宋" w:hAnsi="仿宋" w:eastAsia="仿宋"/>
          <w:kern w:val="2"/>
          <w:sz w:val="32"/>
          <w:szCs w:val="32"/>
        </w:rPr>
        <w:t>7.负责创建绿色校园、文明校园和平安校园。</w:t>
      </w:r>
    </w:p>
    <w:p>
      <w:pPr>
        <w:pStyle w:val="4"/>
        <w:adjustRightInd w:val="0"/>
        <w:spacing w:beforeLines="0" w:line="500" w:lineRule="exact"/>
        <w:ind w:firstLine="640" w:firstLineChars="200"/>
        <w:outlineLvl w:val="2"/>
        <w:rPr>
          <w:rFonts w:hint="eastAsia" w:ascii="仿宋" w:hAnsi="仿宋" w:eastAsia="仿宋"/>
          <w:kern w:val="2"/>
          <w:sz w:val="32"/>
          <w:szCs w:val="32"/>
        </w:rPr>
      </w:pPr>
      <w:r>
        <w:rPr>
          <w:rFonts w:hint="eastAsia" w:ascii="仿宋" w:hAnsi="仿宋" w:eastAsia="仿宋"/>
          <w:kern w:val="2"/>
          <w:sz w:val="32"/>
          <w:szCs w:val="32"/>
        </w:rPr>
        <w:t>8.负责关心教职工生活，发挥教代会职能作用。</w:t>
      </w:r>
    </w:p>
    <w:p>
      <w:pPr>
        <w:spacing w:line="600" w:lineRule="exact"/>
        <w:ind w:firstLine="640" w:firstLineChars="200"/>
        <w:rPr>
          <w:rFonts w:hint="eastAsia" w:ascii="楷体_GB2312" w:eastAsia="楷体_GB2312" w:cs="楷体_GB2312"/>
          <w:b/>
          <w:i w:val="0"/>
          <w:caps w:val="0"/>
          <w:color w:val="333333"/>
          <w:spacing w:val="0"/>
          <w:sz w:val="32"/>
          <w:szCs w:val="32"/>
          <w:shd w:val="clear" w:color="auto" w:fill="FFFFFF"/>
        </w:rPr>
      </w:pPr>
      <w:r>
        <w:rPr>
          <w:rFonts w:hint="eastAsia" w:ascii="仿宋" w:hAnsi="仿宋" w:eastAsia="仿宋"/>
          <w:sz w:val="32"/>
          <w:szCs w:val="32"/>
        </w:rPr>
        <w:t>9.承办上级交办的其他事项。</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674"/>
        <w:jc w:val="both"/>
        <w:rPr>
          <w:rFonts w:hint="eastAsia" w:ascii="楷体_GB2312" w:eastAsia="楷体_GB2312" w:cs="楷体_GB2312"/>
          <w:b/>
          <w:i w:val="0"/>
          <w:caps w:val="0"/>
          <w:color w:val="333333"/>
          <w:spacing w:val="0"/>
          <w:sz w:val="32"/>
          <w:szCs w:val="32"/>
          <w:shd w:val="clear" w:color="auto" w:fill="FFFFFF"/>
        </w:rPr>
      </w:pPr>
      <w:r>
        <w:rPr>
          <w:rFonts w:hint="eastAsia" w:ascii="楷体_GB2312" w:eastAsia="楷体_GB2312" w:cs="楷体_GB2312"/>
          <w:b/>
          <w:i w:val="0"/>
          <w:caps w:val="0"/>
          <w:color w:val="333333"/>
          <w:spacing w:val="0"/>
          <w:sz w:val="32"/>
          <w:szCs w:val="32"/>
          <w:shd w:val="clear" w:color="auto" w:fill="FFFFFF"/>
        </w:rPr>
        <w:t>（二）</w:t>
      </w:r>
      <w:r>
        <w:rPr>
          <w:rFonts w:hint="eastAsia" w:ascii="楷体_GB2312" w:hAnsi="Calibri" w:eastAsia="楷体_GB2312" w:cs="楷体_GB2312"/>
          <w:b/>
          <w:i w:val="0"/>
          <w:caps w:val="0"/>
          <w:color w:val="333333"/>
          <w:spacing w:val="0"/>
          <w:kern w:val="2"/>
          <w:sz w:val="32"/>
          <w:szCs w:val="32"/>
          <w:shd w:val="clear" w:color="auto" w:fill="FFFFFF"/>
          <w:lang w:val="en-US" w:eastAsia="zh-CN" w:bidi="ar-SA"/>
        </w:rPr>
        <w:t>广元民盟烛光初级中学</w:t>
      </w:r>
      <w:r>
        <w:rPr>
          <w:rFonts w:hint="eastAsia" w:ascii="楷体_GB2312" w:eastAsia="楷体_GB2312" w:cs="楷体_GB2312"/>
          <w:b/>
          <w:i w:val="0"/>
          <w:caps w:val="0"/>
          <w:color w:val="333333"/>
          <w:spacing w:val="0"/>
          <w:sz w:val="32"/>
          <w:szCs w:val="32"/>
          <w:shd w:val="clear" w:color="auto" w:fill="FFFFFF"/>
        </w:rPr>
        <w:t>202</w:t>
      </w:r>
      <w:r>
        <w:rPr>
          <w:rFonts w:hint="eastAsia" w:ascii="楷体_GB2312" w:eastAsia="楷体_GB2312" w:cs="楷体_GB2312"/>
          <w:b/>
          <w:i w:val="0"/>
          <w:caps w:val="0"/>
          <w:color w:val="333333"/>
          <w:spacing w:val="0"/>
          <w:sz w:val="32"/>
          <w:szCs w:val="32"/>
          <w:shd w:val="clear" w:color="auto" w:fill="FFFFFF"/>
          <w:lang w:val="en-US" w:eastAsia="zh-CN"/>
        </w:rPr>
        <w:t>4</w:t>
      </w:r>
      <w:r>
        <w:rPr>
          <w:rFonts w:hint="eastAsia" w:ascii="楷体_GB2312" w:eastAsia="楷体_GB2312" w:cs="楷体_GB2312"/>
          <w:b/>
          <w:i w:val="0"/>
          <w:caps w:val="0"/>
          <w:color w:val="333333"/>
          <w:spacing w:val="0"/>
          <w:sz w:val="32"/>
          <w:szCs w:val="32"/>
          <w:shd w:val="clear" w:color="auto" w:fill="FFFFFF"/>
        </w:rPr>
        <w:t>年重点工作</w:t>
      </w:r>
    </w:p>
    <w:p>
      <w:pPr>
        <w:spacing w:line="560" w:lineRule="exact"/>
        <w:ind w:firstLine="643" w:firstLineChars="200"/>
        <w:outlineLvl w:val="0"/>
        <w:rPr>
          <w:rFonts w:hint="eastAsia" w:ascii="楷体_GB2312" w:eastAsia="楷体_GB2312"/>
          <w:b/>
          <w:sz w:val="32"/>
          <w:szCs w:val="32"/>
        </w:rPr>
      </w:pPr>
      <w:bookmarkStart w:id="2" w:name="_Toc6217"/>
      <w:r>
        <w:rPr>
          <w:rFonts w:hint="eastAsia" w:ascii="楷体_GB2312" w:eastAsia="楷体_GB2312"/>
          <w:b/>
          <w:sz w:val="32"/>
          <w:szCs w:val="32"/>
        </w:rPr>
        <w:t>一</w:t>
      </w:r>
      <w:r>
        <w:rPr>
          <w:rFonts w:hint="eastAsia" w:ascii="楷体_GB2312" w:eastAsia="楷体_GB2312"/>
          <w:b/>
          <w:sz w:val="32"/>
          <w:szCs w:val="32"/>
          <w:lang w:eastAsia="zh-CN"/>
        </w:rPr>
        <w:t>、继续抓好</w:t>
      </w:r>
      <w:r>
        <w:rPr>
          <w:rFonts w:hint="eastAsia" w:ascii="楷体_GB2312" w:eastAsia="楷体_GB2312"/>
          <w:b/>
          <w:sz w:val="32"/>
          <w:szCs w:val="32"/>
        </w:rPr>
        <w:t>党建工作</w:t>
      </w:r>
      <w:r>
        <w:rPr>
          <w:rFonts w:hint="eastAsia" w:ascii="楷体_GB2312" w:eastAsia="楷体_GB2312"/>
          <w:b/>
          <w:sz w:val="32"/>
          <w:szCs w:val="32"/>
          <w:lang w:eastAsia="zh-CN"/>
        </w:rPr>
        <w:t>，彰</w:t>
      </w:r>
      <w:r>
        <w:rPr>
          <w:rFonts w:hint="eastAsia" w:ascii="楷体_GB2312" w:eastAsia="楷体_GB2312"/>
          <w:b/>
          <w:sz w:val="32"/>
          <w:szCs w:val="32"/>
        </w:rPr>
        <w:t>显实效</w:t>
      </w:r>
      <w:bookmarkEnd w:id="2"/>
    </w:p>
    <w:p>
      <w:pPr>
        <w:spacing w:line="560" w:lineRule="exact"/>
        <w:ind w:firstLine="643" w:firstLineChars="200"/>
        <w:rPr>
          <w:rFonts w:eastAsia="仿宋_GB2312"/>
          <w:sz w:val="32"/>
          <w:szCs w:val="32"/>
        </w:rPr>
      </w:pPr>
      <w:r>
        <w:rPr>
          <w:rFonts w:hint="eastAsia" w:eastAsia="仿宋_GB2312"/>
          <w:b/>
          <w:sz w:val="32"/>
          <w:szCs w:val="32"/>
        </w:rPr>
        <w:t>1.</w:t>
      </w:r>
      <w:r>
        <w:rPr>
          <w:rFonts w:eastAsia="仿宋_GB2312"/>
          <w:b/>
          <w:sz w:val="32"/>
          <w:szCs w:val="32"/>
        </w:rPr>
        <w:t>强化政治意识。</w:t>
      </w:r>
      <w:r>
        <w:rPr>
          <w:rFonts w:hint="eastAsia" w:ascii="仿宋" w:hAnsi="仿宋" w:eastAsia="仿宋" w:cs="仿宋"/>
          <w:sz w:val="32"/>
          <w:szCs w:val="32"/>
        </w:rPr>
        <w:t>组织党员干部、师生员工学习习近平新时代中国特色社会主义思想，党的二十大精神。提升党员干部、青年教师在“学习强国”平台学习的自觉性、积极性和主动性。</w:t>
      </w:r>
    </w:p>
    <w:p>
      <w:pPr>
        <w:spacing w:line="560" w:lineRule="exact"/>
        <w:ind w:firstLine="643" w:firstLineChars="200"/>
        <w:rPr>
          <w:rFonts w:eastAsia="仿宋_GB2312"/>
          <w:sz w:val="32"/>
          <w:szCs w:val="32"/>
        </w:rPr>
      </w:pPr>
      <w:r>
        <w:rPr>
          <w:rFonts w:hint="eastAsia" w:eastAsia="仿宋_GB2312"/>
          <w:b/>
          <w:sz w:val="32"/>
          <w:szCs w:val="32"/>
        </w:rPr>
        <w:t>2.</w:t>
      </w:r>
      <w:r>
        <w:rPr>
          <w:rFonts w:eastAsia="仿宋_GB2312"/>
          <w:b/>
          <w:sz w:val="32"/>
          <w:szCs w:val="32"/>
        </w:rPr>
        <w:t>强化纪律意识。</w:t>
      </w:r>
      <w:r>
        <w:rPr>
          <w:rFonts w:hint="eastAsia" w:ascii="仿宋" w:hAnsi="仿宋" w:eastAsia="仿宋" w:cs="仿宋"/>
          <w:sz w:val="32"/>
          <w:szCs w:val="32"/>
        </w:rPr>
        <w:t>坚持开展作风建设、党纪法纪教育、警示教育、积极践行社会主义核心价值观。严肃财务管理和项目实施，坚持副校长分管制、纪检委监督制，校长参与而不干涉，严控廉政风险。严格落实党管学校意识形态工作的安排部署，并将教育教学和意识形态工作深度融合，高质量履行教书育人的职责。</w:t>
      </w:r>
    </w:p>
    <w:p>
      <w:pPr>
        <w:spacing w:line="560" w:lineRule="exact"/>
        <w:ind w:firstLine="643" w:firstLineChars="200"/>
        <w:rPr>
          <w:rFonts w:eastAsia="仿宋_GB2312"/>
          <w:sz w:val="32"/>
          <w:szCs w:val="32"/>
        </w:rPr>
      </w:pPr>
      <w:r>
        <w:rPr>
          <w:rFonts w:hint="eastAsia" w:eastAsia="仿宋_GB2312"/>
          <w:b/>
          <w:sz w:val="32"/>
          <w:szCs w:val="32"/>
        </w:rPr>
        <w:t>3.</w:t>
      </w:r>
      <w:r>
        <w:rPr>
          <w:rFonts w:eastAsia="仿宋_GB2312"/>
          <w:b/>
          <w:sz w:val="32"/>
          <w:szCs w:val="32"/>
        </w:rPr>
        <w:t>创新学习活动方式。</w:t>
      </w:r>
      <w:r>
        <w:rPr>
          <w:rFonts w:hint="eastAsia" w:ascii="仿宋" w:hAnsi="仿宋" w:eastAsia="仿宋" w:cs="仿宋"/>
          <w:sz w:val="32"/>
          <w:szCs w:val="32"/>
          <w:lang w:eastAsia="zh-CN"/>
        </w:rPr>
        <w:t>继续落实</w:t>
      </w:r>
      <w:r>
        <w:rPr>
          <w:rFonts w:hint="eastAsia" w:ascii="仿宋" w:hAnsi="仿宋" w:eastAsia="仿宋" w:cs="仿宋"/>
          <w:sz w:val="32"/>
          <w:szCs w:val="32"/>
        </w:rPr>
        <w:t>以“三会一课”为载体，采用自主学和集中学相结合的方式，全文学习《四史》、习近平新时代中国特色社会主义思想系列学习材料7本，</w:t>
      </w:r>
      <w:r>
        <w:rPr>
          <w:rFonts w:hint="eastAsia" w:ascii="仿宋" w:hAnsi="仿宋" w:eastAsia="仿宋" w:cs="仿宋"/>
          <w:sz w:val="32"/>
          <w:szCs w:val="32"/>
          <w:lang w:eastAsia="zh-CN"/>
        </w:rPr>
        <w:t>提高</w:t>
      </w:r>
      <w:r>
        <w:rPr>
          <w:rFonts w:hint="eastAsia" w:ascii="仿宋" w:hAnsi="仿宋" w:eastAsia="仿宋" w:cs="仿宋"/>
          <w:sz w:val="32"/>
          <w:szCs w:val="32"/>
        </w:rPr>
        <w:t>要求</w:t>
      </w:r>
      <w:r>
        <w:rPr>
          <w:rFonts w:hint="eastAsia" w:ascii="仿宋" w:hAnsi="仿宋" w:eastAsia="仿宋" w:cs="仿宋"/>
          <w:sz w:val="32"/>
          <w:szCs w:val="32"/>
          <w:lang w:eastAsia="zh-CN"/>
        </w:rPr>
        <w:t>，要求</w:t>
      </w:r>
      <w:r>
        <w:rPr>
          <w:rFonts w:hint="eastAsia" w:ascii="仿宋" w:hAnsi="仿宋" w:eastAsia="仿宋" w:cs="仿宋"/>
          <w:sz w:val="32"/>
          <w:szCs w:val="32"/>
        </w:rPr>
        <w:t>全员参与学习强国，</w:t>
      </w:r>
      <w:r>
        <w:rPr>
          <w:rFonts w:hint="eastAsia" w:ascii="仿宋" w:hAnsi="仿宋" w:eastAsia="仿宋" w:cs="仿宋"/>
          <w:sz w:val="32"/>
          <w:szCs w:val="32"/>
          <w:lang w:eastAsia="zh-CN"/>
        </w:rPr>
        <w:t>由学校</w:t>
      </w:r>
      <w:r>
        <w:rPr>
          <w:rFonts w:hint="eastAsia" w:ascii="仿宋" w:hAnsi="仿宋" w:eastAsia="仿宋" w:cs="仿宋"/>
          <w:sz w:val="32"/>
          <w:szCs w:val="32"/>
        </w:rPr>
        <w:t>党办进行周考核，月公布。</w:t>
      </w:r>
    </w:p>
    <w:p>
      <w:pPr>
        <w:spacing w:line="560" w:lineRule="exact"/>
        <w:ind w:firstLine="643" w:firstLineChars="200"/>
        <w:rPr>
          <w:rFonts w:hint="eastAsia" w:ascii="仿宋" w:hAnsi="仿宋" w:eastAsia="仿宋" w:cs="仿宋"/>
          <w:sz w:val="32"/>
          <w:szCs w:val="32"/>
        </w:rPr>
      </w:pPr>
      <w:r>
        <w:rPr>
          <w:rFonts w:hint="eastAsia" w:eastAsia="仿宋_GB2312"/>
          <w:b/>
          <w:sz w:val="32"/>
          <w:szCs w:val="32"/>
        </w:rPr>
        <w:t>4.</w:t>
      </w:r>
      <w:r>
        <w:rPr>
          <w:rFonts w:eastAsia="仿宋_GB2312"/>
          <w:b/>
          <w:sz w:val="32"/>
          <w:szCs w:val="32"/>
        </w:rPr>
        <w:t>带强攻坚队伍。</w:t>
      </w:r>
      <w:r>
        <w:rPr>
          <w:rFonts w:hint="eastAsia" w:ascii="仿宋" w:hAnsi="仿宋" w:eastAsia="仿宋" w:cs="仿宋"/>
          <w:sz w:val="32"/>
          <w:szCs w:val="32"/>
        </w:rPr>
        <w:t>强提支部班子决策力、行政班子执行力、教师队伍凝聚力。实施名师引领的头雁工程、骨干帮扶的青蓝工程、家校共育的心桥工程、师生结对的护苗工程、优势与特色互补的融合工程、引生爱生的回流工程。力求教师凝聚力达新高度、学生成绩拼新跨越、学校特色显新亮点、师生和谐有新幸福，学校规模</w:t>
      </w:r>
      <w:r>
        <w:rPr>
          <w:rFonts w:hint="eastAsia" w:ascii="仿宋" w:hAnsi="仿宋" w:eastAsia="仿宋" w:cs="仿宋"/>
          <w:sz w:val="32"/>
          <w:szCs w:val="32"/>
          <w:lang w:eastAsia="zh-CN"/>
        </w:rPr>
        <w:t>到本年年底有较</w:t>
      </w:r>
      <w:r>
        <w:rPr>
          <w:rFonts w:hint="eastAsia" w:ascii="仿宋" w:hAnsi="仿宋" w:eastAsia="仿宋" w:cs="仿宋"/>
          <w:sz w:val="32"/>
          <w:szCs w:val="32"/>
        </w:rPr>
        <w:t>大提升。</w:t>
      </w:r>
    </w:p>
    <w:p>
      <w:pPr>
        <w:spacing w:line="560" w:lineRule="exact"/>
        <w:ind w:firstLine="643" w:firstLineChars="200"/>
        <w:outlineLvl w:val="0"/>
        <w:rPr>
          <w:rFonts w:hint="eastAsia" w:ascii="楷体_GB2312" w:eastAsia="楷体_GB2312"/>
          <w:b/>
          <w:sz w:val="32"/>
          <w:szCs w:val="32"/>
        </w:rPr>
      </w:pPr>
      <w:bookmarkStart w:id="3" w:name="_Toc25733"/>
      <w:r>
        <w:rPr>
          <w:rFonts w:hint="eastAsia" w:ascii="楷体_GB2312" w:eastAsia="楷体_GB2312"/>
          <w:b/>
          <w:sz w:val="32"/>
          <w:szCs w:val="32"/>
        </w:rPr>
        <w:t>二</w:t>
      </w:r>
      <w:r>
        <w:rPr>
          <w:rFonts w:hint="eastAsia" w:ascii="楷体_GB2312" w:eastAsia="楷体_GB2312"/>
          <w:b/>
          <w:sz w:val="32"/>
          <w:szCs w:val="32"/>
          <w:lang w:eastAsia="zh-CN"/>
        </w:rPr>
        <w:t>、继续推进</w:t>
      </w:r>
      <w:r>
        <w:rPr>
          <w:rFonts w:hint="eastAsia" w:ascii="楷体_GB2312" w:eastAsia="楷体_GB2312"/>
          <w:b/>
          <w:sz w:val="32"/>
          <w:szCs w:val="32"/>
        </w:rPr>
        <w:t>教育改革</w:t>
      </w:r>
      <w:r>
        <w:rPr>
          <w:rFonts w:hint="eastAsia" w:ascii="楷体_GB2312" w:eastAsia="楷体_GB2312"/>
          <w:b/>
          <w:sz w:val="32"/>
          <w:szCs w:val="32"/>
          <w:lang w:eastAsia="zh-CN"/>
        </w:rPr>
        <w:t>，</w:t>
      </w:r>
      <w:r>
        <w:rPr>
          <w:rFonts w:hint="eastAsia" w:ascii="楷体_GB2312" w:eastAsia="楷体_GB2312"/>
          <w:b/>
          <w:sz w:val="32"/>
          <w:szCs w:val="32"/>
        </w:rPr>
        <w:t>促</w:t>
      </w:r>
      <w:r>
        <w:rPr>
          <w:rFonts w:hint="eastAsia" w:ascii="楷体_GB2312" w:eastAsia="楷体_GB2312"/>
          <w:b/>
          <w:sz w:val="32"/>
          <w:szCs w:val="32"/>
          <w:lang w:eastAsia="zh-CN"/>
        </w:rPr>
        <w:t>进学校优质绿色</w:t>
      </w:r>
      <w:r>
        <w:rPr>
          <w:rFonts w:hint="eastAsia" w:ascii="楷体_GB2312" w:eastAsia="楷体_GB2312"/>
          <w:b/>
          <w:sz w:val="32"/>
          <w:szCs w:val="32"/>
        </w:rPr>
        <w:t>发展</w:t>
      </w:r>
      <w:bookmarkEnd w:id="3"/>
    </w:p>
    <w:p>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lang w:eastAsia="zh-CN"/>
        </w:rPr>
        <w:t>继续</w:t>
      </w:r>
      <w:r>
        <w:rPr>
          <w:rFonts w:hint="eastAsia" w:ascii="仿宋" w:hAnsi="仿宋" w:eastAsia="仿宋" w:cs="仿宋"/>
          <w:sz w:val="32"/>
          <w:szCs w:val="32"/>
        </w:rPr>
        <w:t>依托东辰教育，</w:t>
      </w:r>
      <w:r>
        <w:rPr>
          <w:rFonts w:hint="eastAsia" w:ascii="仿宋" w:hAnsi="仿宋" w:eastAsia="仿宋" w:cs="仿宋"/>
          <w:sz w:val="32"/>
          <w:szCs w:val="32"/>
          <w:lang w:eastAsia="zh-CN"/>
        </w:rPr>
        <w:t>努力</w:t>
      </w:r>
      <w:r>
        <w:rPr>
          <w:rFonts w:hint="eastAsia" w:ascii="仿宋" w:hAnsi="仿宋" w:eastAsia="仿宋" w:cs="仿宋"/>
          <w:sz w:val="32"/>
          <w:szCs w:val="32"/>
        </w:rPr>
        <w:t>将东辰优势与烛光特色有机</w:t>
      </w:r>
      <w:r>
        <w:rPr>
          <w:rFonts w:hint="eastAsia" w:ascii="仿宋" w:hAnsi="仿宋" w:eastAsia="仿宋" w:cs="仿宋"/>
          <w:sz w:val="32"/>
          <w:szCs w:val="32"/>
          <w:lang w:eastAsia="zh-CN"/>
        </w:rPr>
        <w:t>融</w:t>
      </w:r>
      <w:r>
        <w:rPr>
          <w:rFonts w:hint="eastAsia" w:ascii="仿宋" w:hAnsi="仿宋" w:eastAsia="仿宋" w:cs="仿宋"/>
          <w:sz w:val="32"/>
          <w:szCs w:val="32"/>
        </w:rPr>
        <w:t>合。</w:t>
      </w:r>
      <w:r>
        <w:rPr>
          <w:rFonts w:hint="eastAsia" w:ascii="仿宋" w:hAnsi="仿宋" w:eastAsia="仿宋" w:cs="仿宋"/>
          <w:sz w:val="32"/>
          <w:szCs w:val="32"/>
          <w:lang w:eastAsia="zh-CN"/>
        </w:rPr>
        <w:t>继续</w:t>
      </w:r>
      <w:r>
        <w:rPr>
          <w:rFonts w:hint="eastAsia" w:ascii="仿宋" w:hAnsi="仿宋" w:eastAsia="仿宋" w:cs="仿宋"/>
          <w:sz w:val="32"/>
          <w:szCs w:val="32"/>
        </w:rPr>
        <w:t>坚持＂五级＂德育管理，以德领航，以德践行；坚持深化课堂教学改革，</w:t>
      </w:r>
      <w:r>
        <w:rPr>
          <w:rFonts w:hint="eastAsia" w:ascii="仿宋" w:hAnsi="仿宋" w:eastAsia="仿宋" w:cs="仿宋"/>
          <w:sz w:val="32"/>
          <w:szCs w:val="32"/>
          <w:lang w:eastAsia="zh-CN"/>
        </w:rPr>
        <w:t>全校班级</w:t>
      </w:r>
      <w:r>
        <w:rPr>
          <w:rFonts w:hint="eastAsia" w:ascii="仿宋" w:hAnsi="仿宋" w:eastAsia="仿宋" w:cs="仿宋"/>
          <w:sz w:val="32"/>
          <w:szCs w:val="32"/>
        </w:rPr>
        <w:t>推行“学-交-导-练-悟”“2+2+5”教学模式，打造以生为本的高效课堂，以课凝心，以课启智。本年度，</w:t>
      </w:r>
      <w:r>
        <w:rPr>
          <w:rFonts w:hint="eastAsia" w:ascii="仿宋" w:hAnsi="仿宋" w:eastAsia="仿宋" w:cs="仿宋"/>
          <w:sz w:val="32"/>
          <w:szCs w:val="32"/>
          <w:lang w:eastAsia="zh-CN"/>
        </w:rPr>
        <w:t>计划安排</w:t>
      </w:r>
      <w:r>
        <w:rPr>
          <w:rFonts w:hint="eastAsia" w:ascii="仿宋" w:hAnsi="仿宋" w:eastAsia="仿宋" w:cs="仿宋"/>
          <w:sz w:val="32"/>
          <w:szCs w:val="32"/>
        </w:rPr>
        <w:t>教师上公开课70 节，涉及老、中、青教师4</w:t>
      </w:r>
      <w:r>
        <w:rPr>
          <w:rFonts w:hint="eastAsia" w:ascii="仿宋" w:hAnsi="仿宋" w:eastAsia="仿宋" w:cs="仿宋"/>
          <w:sz w:val="32"/>
          <w:szCs w:val="32"/>
          <w:lang w:val="en-US" w:eastAsia="zh-CN"/>
        </w:rPr>
        <w:t>0余</w:t>
      </w:r>
      <w:r>
        <w:rPr>
          <w:rFonts w:hint="eastAsia" w:ascii="仿宋" w:hAnsi="仿宋" w:eastAsia="仿宋" w:cs="仿宋"/>
          <w:sz w:val="32"/>
          <w:szCs w:val="32"/>
        </w:rPr>
        <w:t>人，</w:t>
      </w:r>
      <w:r>
        <w:rPr>
          <w:rFonts w:hint="eastAsia" w:ascii="仿宋" w:hAnsi="仿宋" w:eastAsia="仿宋" w:cs="仿宋"/>
          <w:sz w:val="32"/>
          <w:szCs w:val="32"/>
          <w:lang w:eastAsia="zh-CN"/>
        </w:rPr>
        <w:t>计划</w:t>
      </w:r>
      <w:r>
        <w:rPr>
          <w:rFonts w:hint="eastAsia" w:ascii="仿宋" w:hAnsi="仿宋" w:eastAsia="仿宋" w:cs="仿宋"/>
          <w:sz w:val="32"/>
          <w:szCs w:val="32"/>
        </w:rPr>
        <w:t xml:space="preserve">组织教师进行班级管理培训 </w:t>
      </w:r>
      <w:r>
        <w:rPr>
          <w:rFonts w:hint="eastAsia" w:ascii="仿宋" w:hAnsi="仿宋" w:eastAsia="仿宋" w:cs="仿宋"/>
          <w:sz w:val="32"/>
          <w:szCs w:val="32"/>
          <w:lang w:eastAsia="zh-CN"/>
        </w:rPr>
        <w:t>不少于</w:t>
      </w:r>
      <w:r>
        <w:rPr>
          <w:rFonts w:hint="eastAsia" w:ascii="仿宋" w:hAnsi="仿宋" w:eastAsia="仿宋" w:cs="仿宋"/>
          <w:sz w:val="32"/>
          <w:szCs w:val="32"/>
        </w:rPr>
        <w:t>4 次，校本培训</w:t>
      </w:r>
      <w:r>
        <w:rPr>
          <w:rFonts w:hint="eastAsia" w:ascii="仿宋" w:hAnsi="仿宋" w:eastAsia="仿宋" w:cs="仿宋"/>
          <w:sz w:val="32"/>
          <w:szCs w:val="32"/>
          <w:lang w:eastAsia="zh-CN"/>
        </w:rPr>
        <w:t>不少于</w:t>
      </w:r>
      <w:r>
        <w:rPr>
          <w:rFonts w:hint="eastAsia" w:ascii="仿宋" w:hAnsi="仿宋" w:eastAsia="仿宋" w:cs="仿宋"/>
          <w:sz w:val="32"/>
          <w:szCs w:val="32"/>
        </w:rPr>
        <w:t>10次。语文、数学、英语三大学科实施集体备课，共计</w:t>
      </w:r>
      <w:r>
        <w:rPr>
          <w:rFonts w:hint="eastAsia" w:ascii="仿宋" w:hAnsi="仿宋" w:eastAsia="仿宋" w:cs="仿宋"/>
          <w:sz w:val="32"/>
          <w:szCs w:val="32"/>
          <w:lang w:eastAsia="zh-CN"/>
        </w:rPr>
        <w:t>不少于</w:t>
      </w:r>
      <w:r>
        <w:rPr>
          <w:rFonts w:hint="eastAsia" w:ascii="仿宋" w:hAnsi="仿宋" w:eastAsia="仿宋" w:cs="仿宋"/>
          <w:sz w:val="32"/>
          <w:szCs w:val="32"/>
        </w:rPr>
        <w:t>16余次。全年教师共发表教育教学论文</w:t>
      </w:r>
      <w:r>
        <w:rPr>
          <w:rFonts w:hint="eastAsia" w:ascii="仿宋" w:hAnsi="仿宋" w:eastAsia="仿宋" w:cs="仿宋"/>
          <w:sz w:val="32"/>
          <w:szCs w:val="32"/>
          <w:lang w:eastAsia="zh-CN"/>
        </w:rPr>
        <w:t>不少于</w:t>
      </w:r>
      <w:r>
        <w:rPr>
          <w:rFonts w:hint="eastAsia" w:ascii="仿宋" w:hAnsi="仿宋" w:eastAsia="仿宋" w:cs="仿宋"/>
          <w:sz w:val="32"/>
          <w:szCs w:val="32"/>
          <w:lang w:val="en-US" w:eastAsia="zh-CN"/>
        </w:rPr>
        <w:t>20</w:t>
      </w:r>
      <w:r>
        <w:rPr>
          <w:rFonts w:hint="eastAsia" w:ascii="仿宋" w:hAnsi="仿宋" w:eastAsia="仿宋" w:cs="仿宋"/>
          <w:sz w:val="32"/>
          <w:szCs w:val="32"/>
        </w:rPr>
        <w:t xml:space="preserve">余篇，教师个人获奖达 </w:t>
      </w:r>
      <w:r>
        <w:rPr>
          <w:rFonts w:hint="eastAsia" w:ascii="仿宋" w:hAnsi="仿宋" w:eastAsia="仿宋" w:cs="仿宋"/>
          <w:sz w:val="32"/>
          <w:szCs w:val="32"/>
          <w:lang w:eastAsia="zh-CN"/>
        </w:rPr>
        <w:t>预计要求达到</w:t>
      </w:r>
      <w:r>
        <w:rPr>
          <w:rFonts w:hint="eastAsia" w:ascii="仿宋" w:hAnsi="仿宋" w:eastAsia="仿宋" w:cs="仿宋"/>
          <w:sz w:val="32"/>
          <w:szCs w:val="32"/>
          <w:lang w:val="en-US" w:eastAsia="zh-CN"/>
        </w:rPr>
        <w:t>80</w:t>
      </w:r>
      <w:r>
        <w:rPr>
          <w:rFonts w:hint="eastAsia" w:ascii="仿宋" w:hAnsi="仿宋" w:eastAsia="仿宋" w:cs="仿宋"/>
          <w:sz w:val="32"/>
          <w:szCs w:val="32"/>
        </w:rPr>
        <w:t xml:space="preserve"> 余人次。</w:t>
      </w:r>
    </w:p>
    <w:p>
      <w:pPr>
        <w:spacing w:line="560" w:lineRule="exact"/>
        <w:ind w:firstLine="643" w:firstLineChars="200"/>
        <w:outlineLvl w:val="0"/>
        <w:rPr>
          <w:rFonts w:hint="eastAsia" w:ascii="楷体_GB2312" w:eastAsia="楷体_GB2312"/>
          <w:b/>
          <w:sz w:val="32"/>
          <w:szCs w:val="32"/>
        </w:rPr>
      </w:pPr>
      <w:bookmarkStart w:id="4" w:name="_Toc30900"/>
      <w:r>
        <w:rPr>
          <w:rFonts w:hint="eastAsia" w:ascii="楷体_GB2312" w:eastAsia="楷体_GB2312"/>
          <w:b/>
          <w:sz w:val="32"/>
          <w:szCs w:val="32"/>
        </w:rPr>
        <w:t>三</w:t>
      </w:r>
      <w:r>
        <w:rPr>
          <w:rFonts w:hint="eastAsia" w:ascii="楷体_GB2312" w:eastAsia="楷体_GB2312"/>
          <w:b/>
          <w:sz w:val="32"/>
          <w:szCs w:val="32"/>
          <w:lang w:eastAsia="zh-CN"/>
        </w:rPr>
        <w:t>、加强</w:t>
      </w:r>
      <w:r>
        <w:rPr>
          <w:rFonts w:hint="eastAsia" w:ascii="楷体_GB2312" w:eastAsia="楷体_GB2312"/>
          <w:b/>
          <w:sz w:val="32"/>
          <w:szCs w:val="32"/>
        </w:rPr>
        <w:t>活动育人</w:t>
      </w:r>
      <w:r>
        <w:rPr>
          <w:rFonts w:hint="eastAsia" w:ascii="楷体_GB2312" w:eastAsia="楷体_GB2312"/>
          <w:b/>
          <w:sz w:val="32"/>
          <w:szCs w:val="32"/>
          <w:lang w:eastAsia="zh-CN"/>
        </w:rPr>
        <w:t>，提升综合</w:t>
      </w:r>
      <w:r>
        <w:rPr>
          <w:rFonts w:hint="eastAsia" w:ascii="楷体_GB2312" w:eastAsia="楷体_GB2312"/>
          <w:b/>
          <w:sz w:val="32"/>
          <w:szCs w:val="32"/>
        </w:rPr>
        <w:t>素养</w:t>
      </w:r>
      <w:bookmarkEnd w:id="4"/>
    </w:p>
    <w:p>
      <w:pPr>
        <w:spacing w:line="560" w:lineRule="exact"/>
        <w:ind w:firstLine="640" w:firstLineChars="200"/>
        <w:rPr>
          <w:rFonts w:hint="eastAsia" w:ascii="楷体_GB2312" w:eastAsia="楷体_GB2312" w:cs="楷体_GB2312"/>
          <w:b/>
          <w:i w:val="0"/>
          <w:caps w:val="0"/>
          <w:color w:val="333333"/>
          <w:spacing w:val="0"/>
          <w:sz w:val="32"/>
          <w:szCs w:val="32"/>
          <w:shd w:val="clear" w:color="auto" w:fill="FFFFFF"/>
        </w:rPr>
      </w:pPr>
      <w:r>
        <w:rPr>
          <w:rFonts w:hint="eastAsia" w:ascii="仿宋" w:hAnsi="仿宋" w:eastAsia="仿宋" w:cs="仿宋"/>
          <w:sz w:val="32"/>
          <w:szCs w:val="32"/>
          <w:lang w:eastAsia="zh-CN"/>
        </w:rPr>
        <w:t>按要求，本年度继续贯彻</w:t>
      </w:r>
      <w:r>
        <w:rPr>
          <w:rFonts w:hint="eastAsia" w:ascii="仿宋" w:hAnsi="仿宋" w:eastAsia="仿宋" w:cs="仿宋"/>
          <w:sz w:val="32"/>
          <w:szCs w:val="32"/>
        </w:rPr>
        <w:t>落实“双减政策”及课后延时服务政策，</w:t>
      </w:r>
      <w:r>
        <w:rPr>
          <w:rFonts w:hint="eastAsia" w:ascii="仿宋" w:hAnsi="仿宋" w:eastAsia="仿宋" w:cs="仿宋"/>
          <w:sz w:val="32"/>
          <w:szCs w:val="32"/>
          <w:lang w:eastAsia="zh-CN"/>
        </w:rPr>
        <w:t>按时</w:t>
      </w:r>
      <w:r>
        <w:rPr>
          <w:rFonts w:hint="eastAsia" w:ascii="仿宋" w:hAnsi="仿宋" w:eastAsia="仿宋" w:cs="仿宋"/>
          <w:sz w:val="32"/>
          <w:szCs w:val="32"/>
        </w:rPr>
        <w:t>开展社团活动，每周两天4课时，</w:t>
      </w:r>
      <w:r>
        <w:rPr>
          <w:rFonts w:hint="eastAsia" w:ascii="仿宋" w:hAnsi="仿宋" w:eastAsia="仿宋" w:cs="仿宋"/>
          <w:sz w:val="32"/>
          <w:szCs w:val="32"/>
          <w:lang w:eastAsia="zh-CN"/>
        </w:rPr>
        <w:t>计划</w:t>
      </w:r>
      <w:r>
        <w:rPr>
          <w:rFonts w:hint="eastAsia" w:ascii="仿宋" w:hAnsi="仿宋" w:eastAsia="仿宋" w:cs="仿宋"/>
          <w:sz w:val="32"/>
          <w:szCs w:val="32"/>
        </w:rPr>
        <w:t>周二开展室内艺术社团活动，包括舞蹈、书法、美术、合唱、朗诵、口琴等；周四开展室外球类社团活动，包括篮球、足球、排球、乒乓球、羽毛球。</w:t>
      </w:r>
      <w:r>
        <w:rPr>
          <w:rFonts w:hint="eastAsia" w:ascii="仿宋" w:hAnsi="仿宋" w:eastAsia="仿宋" w:cs="仿宋"/>
          <w:sz w:val="32"/>
          <w:szCs w:val="32"/>
          <w:lang w:eastAsia="zh-CN"/>
        </w:rPr>
        <w:t>按时完成</w:t>
      </w:r>
      <w:r>
        <w:rPr>
          <w:rFonts w:hint="eastAsia" w:ascii="仿宋" w:hAnsi="仿宋" w:eastAsia="仿宋" w:cs="仿宋"/>
          <w:sz w:val="32"/>
          <w:szCs w:val="32"/>
        </w:rPr>
        <w:t>一年两次的汇报表演，师生同台献艺。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二、部门预算单位构成</w:t>
      </w:r>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right="0" w:rightChars="0" w:firstLine="640" w:firstLineChars="200"/>
        <w:jc w:val="both"/>
        <w:rPr>
          <w:rFonts w:hint="eastAsia" w:ascii="仿宋" w:hAnsi="仿宋" w:eastAsia="仿宋"/>
          <w:color w:val="000000"/>
          <w:sz w:val="32"/>
          <w:szCs w:val="32"/>
          <w:lang w:eastAsia="zh-CN"/>
        </w:rPr>
      </w:pPr>
      <w:r>
        <w:rPr>
          <w:rFonts w:hint="eastAsia" w:ascii="仿宋" w:hAnsi="仿宋" w:eastAsia="仿宋"/>
          <w:color w:val="000000"/>
          <w:sz w:val="32"/>
          <w:szCs w:val="32"/>
          <w:lang w:eastAsia="zh-CN"/>
        </w:rPr>
        <w:t>我单位</w:t>
      </w:r>
      <w:r>
        <w:rPr>
          <w:rFonts w:hint="eastAsia" w:ascii="仿宋" w:hAnsi="仿宋" w:eastAsia="仿宋"/>
          <w:color w:val="000000"/>
          <w:sz w:val="32"/>
          <w:szCs w:val="32"/>
        </w:rPr>
        <w:t>为广元市昭化区</w:t>
      </w:r>
      <w:r>
        <w:rPr>
          <w:rFonts w:hint="eastAsia" w:ascii="仿宋" w:hAnsi="仿宋" w:eastAsia="仿宋"/>
          <w:color w:val="000000"/>
          <w:sz w:val="32"/>
          <w:szCs w:val="32"/>
          <w:lang w:eastAsia="zh-CN"/>
        </w:rPr>
        <w:t>教育局的下</w:t>
      </w:r>
      <w:r>
        <w:rPr>
          <w:rFonts w:hint="eastAsia" w:ascii="仿宋" w:hAnsi="仿宋" w:eastAsia="仿宋"/>
          <w:color w:val="000000"/>
          <w:sz w:val="32"/>
          <w:szCs w:val="32"/>
        </w:rPr>
        <w:t>属的二级预算单位，</w:t>
      </w:r>
      <w:r>
        <w:rPr>
          <w:rFonts w:hint="eastAsia" w:ascii="仿宋" w:hAnsi="仿宋" w:eastAsia="仿宋"/>
          <w:color w:val="000000"/>
          <w:sz w:val="32"/>
          <w:szCs w:val="32"/>
          <w:lang w:eastAsia="zh-CN"/>
        </w:rPr>
        <w:t>本单位无下属机构，属于公益一类事业单位。</w:t>
      </w:r>
    </w:p>
    <w:p>
      <w:pPr>
        <w:keepNext w:val="0"/>
        <w:keepLines w:val="0"/>
        <w:widowControl/>
        <w:numPr>
          <w:ilvl w:val="0"/>
          <w:numId w:val="1"/>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right="0" w:rightChars="0" w:firstLine="640" w:firstLineChars="200"/>
        <w:jc w:val="both"/>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收支预算情况说明</w:t>
      </w:r>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right="0" w:rightChars="0" w:firstLine="640" w:firstLineChars="200"/>
        <w:jc w:val="both"/>
        <w:rPr>
          <w:rFonts w:ascii="Times New Roman" w:hAnsi="Times New Roman" w:eastAsia="仿宋_GB2312"/>
          <w:sz w:val="32"/>
          <w:szCs w:val="32"/>
        </w:rPr>
      </w:pPr>
      <w:r>
        <w:rPr>
          <w:rFonts w:hint="eastAsia" w:ascii="仿宋_GB2312" w:hAnsi="仿宋_GB2312" w:eastAsia="仿宋_GB2312" w:cs="仿宋_GB2312"/>
          <w:sz w:val="32"/>
          <w:szCs w:val="32"/>
          <w:lang w:val="en-US" w:eastAsia="zh-CN"/>
        </w:rPr>
        <w:t>按照综合预算的原则，我单位所有收入和支出均纳入部门预算管理。收入包括：一般公共预算拨款收入；支出包括：一般公共服务支出、教育支出、社会保障和就业支出。我单位2024年收支预算总数952.57万元,比2023年收支预算总数减少14.83万元，主要原因是本年年初人员比上年年初人员减少3人，</w:t>
      </w:r>
      <w:r>
        <w:rPr>
          <w:rFonts w:ascii="Times New Roman" w:hAnsi="Times New Roman" w:eastAsia="仿宋_GB2312"/>
          <w:sz w:val="32"/>
          <w:szCs w:val="32"/>
        </w:rPr>
        <w:t>部门预算</w:t>
      </w:r>
      <w:r>
        <w:rPr>
          <w:rFonts w:hint="eastAsia" w:ascii="Times New Roman" w:hAnsi="Times New Roman" w:eastAsia="仿宋_GB2312"/>
          <w:sz w:val="32"/>
          <w:szCs w:val="32"/>
          <w:lang w:eastAsia="zh-CN"/>
        </w:rPr>
        <w:t>基本支出中减少</w:t>
      </w:r>
      <w:r>
        <w:rPr>
          <w:rFonts w:hint="eastAsia" w:ascii="Times New Roman" w:hAnsi="Times New Roman" w:eastAsia="仿宋_GB2312"/>
          <w:sz w:val="32"/>
          <w:szCs w:val="32"/>
        </w:rPr>
        <w:t>了</w:t>
      </w:r>
      <w:r>
        <w:rPr>
          <w:rFonts w:hint="eastAsia" w:ascii="Times New Roman" w:hAnsi="Times New Roman" w:eastAsia="仿宋_GB2312"/>
          <w:sz w:val="32"/>
          <w:szCs w:val="32"/>
          <w:lang w:eastAsia="zh-CN"/>
        </w:rPr>
        <w:t>人员经费</w:t>
      </w:r>
      <w:r>
        <w:rPr>
          <w:rFonts w:hint="eastAsia" w:ascii="Times New Roman" w:hAnsi="Times New Roman" w:eastAsia="仿宋_GB2312"/>
          <w:sz w:val="32"/>
          <w:szCs w:val="32"/>
          <w:lang w:val="en-US" w:eastAsia="zh-CN"/>
        </w:rPr>
        <w:t>工资福利</w:t>
      </w:r>
      <w:r>
        <w:rPr>
          <w:rFonts w:hint="eastAsia" w:ascii="Times New Roman" w:hAnsi="Times New Roman" w:eastAsia="仿宋_GB2312"/>
          <w:sz w:val="32"/>
          <w:szCs w:val="32"/>
        </w:rPr>
        <w:t>支出预算</w:t>
      </w:r>
      <w:r>
        <w:rPr>
          <w:rFonts w:ascii="Times New Roman" w:hAnsi="Times New Roman" w:eastAsia="仿宋_GB2312"/>
          <w:sz w:val="32"/>
          <w:szCs w:val="32"/>
        </w:rPr>
        <w:t>。</w:t>
      </w:r>
    </w:p>
    <w:p>
      <w:pPr>
        <w:keepNext w:val="0"/>
        <w:keepLines w:val="0"/>
        <w:widowControl/>
        <w:numPr>
          <w:ilvl w:val="0"/>
          <w:numId w:val="2"/>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right="0" w:rightChars="0" w:firstLine="640" w:firstLineChars="200"/>
        <w:jc w:val="both"/>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收入预算情况</w:t>
      </w:r>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right="0" w:rightChars="0" w:firstLine="640" w:firstLineChars="20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我单位2024年收入预算952.57万元，其中：上年结转0万元，占0%；一般公共预算拨款收入952.57万元，占100%。</w:t>
      </w:r>
    </w:p>
    <w:p>
      <w:pPr>
        <w:keepNext w:val="0"/>
        <w:keepLines w:val="0"/>
        <w:widowControl/>
        <w:numPr>
          <w:ilvl w:val="0"/>
          <w:numId w:val="2"/>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0" w:leftChars="0" w:right="0" w:rightChars="0" w:firstLine="640" w:firstLineChars="200"/>
        <w:jc w:val="both"/>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支出预算情况</w:t>
      </w:r>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right="0" w:rightChars="0" w:firstLine="640"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sz w:val="32"/>
          <w:szCs w:val="32"/>
          <w:lang w:val="en-US" w:eastAsia="zh-CN"/>
        </w:rPr>
        <w:t>我单位2024年支出预算952.57万元，其中：基本支出896.37万元，占94.11%；项目支出56.2万元，占5.89%</w:t>
      </w:r>
      <w:r>
        <w:rPr>
          <w:rFonts w:hint="eastAsia" w:ascii="仿宋_GB2312" w:hAnsi="仿宋_GB2312" w:eastAsia="仿宋_GB2312" w:cs="仿宋_GB2312"/>
          <w:b w:val="0"/>
          <w:bCs w:val="0"/>
          <w:sz w:val="32"/>
          <w:szCs w:val="32"/>
          <w:lang w:val="en-US" w:eastAsia="zh-CN"/>
        </w:rPr>
        <w:t>。</w:t>
      </w:r>
    </w:p>
    <w:p>
      <w:pPr>
        <w:keepNext w:val="0"/>
        <w:keepLines w:val="0"/>
        <w:widowControl/>
        <w:numPr>
          <w:ilvl w:val="0"/>
          <w:numId w:val="1"/>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0" w:leftChars="0" w:right="0" w:rightChars="0" w:firstLine="640" w:firstLineChars="200"/>
        <w:jc w:val="both"/>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财政拨款收支预算情况说明</w:t>
      </w:r>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right="0" w:rightChars="0" w:firstLine="640" w:firstLineChars="200"/>
        <w:jc w:val="both"/>
        <w:rPr>
          <w:rFonts w:ascii="Times New Roman" w:hAnsi="Times New Roman" w:eastAsia="仿宋_GB2312"/>
          <w:sz w:val="32"/>
          <w:szCs w:val="32"/>
        </w:rPr>
      </w:pPr>
      <w:r>
        <w:rPr>
          <w:rFonts w:hint="eastAsia" w:ascii="仿宋_GB2312" w:hAnsi="仿宋_GB2312" w:eastAsia="仿宋_GB2312" w:cs="仿宋_GB2312"/>
          <w:sz w:val="32"/>
          <w:szCs w:val="32"/>
          <w:lang w:val="en-US" w:eastAsia="zh-CN"/>
        </w:rPr>
        <w:t>我单位2024年财政拨款收支预算总数952.57万元,比2023年财政拨款收支预算总数减少14.83万元，主要原因是本年年初人员比上年年初人员减少3人，</w:t>
      </w:r>
      <w:r>
        <w:rPr>
          <w:rFonts w:ascii="Times New Roman" w:hAnsi="Times New Roman" w:eastAsia="仿宋_GB2312"/>
          <w:sz w:val="32"/>
          <w:szCs w:val="32"/>
        </w:rPr>
        <w:t>部门预算</w:t>
      </w:r>
      <w:r>
        <w:rPr>
          <w:rFonts w:hint="eastAsia" w:ascii="Times New Roman" w:hAnsi="Times New Roman" w:eastAsia="仿宋_GB2312"/>
          <w:sz w:val="32"/>
          <w:szCs w:val="32"/>
          <w:lang w:eastAsia="zh-CN"/>
        </w:rPr>
        <w:t>基本支出中减少</w:t>
      </w:r>
      <w:r>
        <w:rPr>
          <w:rFonts w:hint="eastAsia" w:ascii="Times New Roman" w:hAnsi="Times New Roman" w:eastAsia="仿宋_GB2312"/>
          <w:sz w:val="32"/>
          <w:szCs w:val="32"/>
        </w:rPr>
        <w:t>了</w:t>
      </w:r>
      <w:r>
        <w:rPr>
          <w:rFonts w:hint="eastAsia" w:ascii="Times New Roman" w:hAnsi="Times New Roman" w:eastAsia="仿宋_GB2312"/>
          <w:sz w:val="32"/>
          <w:szCs w:val="32"/>
          <w:lang w:eastAsia="zh-CN"/>
        </w:rPr>
        <w:t>人员经费</w:t>
      </w:r>
      <w:r>
        <w:rPr>
          <w:rFonts w:hint="eastAsia" w:ascii="Times New Roman" w:hAnsi="Times New Roman" w:eastAsia="仿宋_GB2312"/>
          <w:sz w:val="32"/>
          <w:szCs w:val="32"/>
          <w:lang w:val="en-US" w:eastAsia="zh-CN"/>
        </w:rPr>
        <w:t>工资福利</w:t>
      </w:r>
      <w:r>
        <w:rPr>
          <w:rFonts w:hint="eastAsia" w:ascii="Times New Roman" w:hAnsi="Times New Roman" w:eastAsia="仿宋_GB2312"/>
          <w:sz w:val="32"/>
          <w:szCs w:val="32"/>
        </w:rPr>
        <w:t>支出预算</w:t>
      </w:r>
      <w:r>
        <w:rPr>
          <w:rFonts w:ascii="Times New Roman" w:hAnsi="Times New Roman" w:eastAsia="仿宋_GB2312"/>
          <w:sz w:val="32"/>
          <w:szCs w:val="32"/>
        </w:rPr>
        <w:t>。</w:t>
      </w:r>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right="0" w:rightChars="0" w:firstLine="640" w:firstLineChars="20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收入包括：本年一般公共预算拨款收入952.57万元、</w:t>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上年结转一般公共预算拨款收入</w:t>
      </w:r>
      <w:r>
        <w:rPr>
          <w:rFonts w:hint="eastAsia" w:ascii="Times New Roman" w:hAnsi="Times New Roman" w:cs="Times New Roman"/>
          <w:i w:val="0"/>
          <w:caps w:val="0"/>
          <w:color w:val="333333"/>
          <w:spacing w:val="0"/>
          <w:kern w:val="0"/>
          <w:sz w:val="32"/>
          <w:szCs w:val="32"/>
          <w:shd w:val="clear" w:color="auto" w:fill="FFFFFF"/>
          <w:lang w:val="en-US" w:eastAsia="zh-CN" w:bidi="ar"/>
        </w:rPr>
        <w:t>0</w:t>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万元；</w:t>
      </w:r>
      <w:r>
        <w:rPr>
          <w:rFonts w:hint="eastAsia" w:ascii="仿宋_GB2312" w:hAnsi="仿宋_GB2312" w:eastAsia="仿宋_GB2312" w:cs="仿宋_GB2312"/>
          <w:sz w:val="32"/>
          <w:szCs w:val="32"/>
          <w:lang w:val="en-US" w:eastAsia="zh-CN"/>
        </w:rPr>
        <w:t>支出包括：教育支出952.57万元</w:t>
      </w:r>
    </w:p>
    <w:p>
      <w:pPr>
        <w:keepNext w:val="0"/>
        <w:keepLines w:val="0"/>
        <w:widowControl/>
        <w:numPr>
          <w:ilvl w:val="0"/>
          <w:numId w:val="1"/>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0" w:leftChars="0" w:right="0" w:rightChars="0" w:firstLine="640" w:firstLineChars="200"/>
        <w:jc w:val="both"/>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一般公共预算当年拨款情况说明</w:t>
      </w:r>
    </w:p>
    <w:p>
      <w:pPr>
        <w:keepNext w:val="0"/>
        <w:keepLines w:val="0"/>
        <w:widowControl/>
        <w:numPr>
          <w:ilvl w:val="0"/>
          <w:numId w:val="3"/>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right="0" w:rightChars="0" w:firstLine="640" w:firstLineChars="200"/>
        <w:jc w:val="both"/>
        <w:rPr>
          <w:rFonts w:hint="eastAsia" w:ascii="仿宋_GB2312" w:hAnsi="仿宋_GB2312" w:eastAsia="仿宋_GB2312" w:cs="仿宋_GB2312"/>
          <w:b/>
          <w:bCs/>
          <w:sz w:val="32"/>
          <w:szCs w:val="32"/>
          <w:lang w:val="en-US" w:eastAsia="zh-CN"/>
        </w:rPr>
      </w:pPr>
      <w:r>
        <w:rPr>
          <w:rFonts w:hint="eastAsia" w:ascii="楷体_GB2312" w:hAnsi="楷体_GB2312" w:eastAsia="楷体_GB2312" w:cs="楷体_GB2312"/>
          <w:sz w:val="32"/>
          <w:szCs w:val="32"/>
          <w:lang w:val="en-US" w:eastAsia="zh-CN"/>
        </w:rPr>
        <w:t>一般公共预算当年拨款规模变化情况</w:t>
      </w:r>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right="0" w:rightChars="0" w:firstLine="640" w:firstLineChars="200"/>
        <w:jc w:val="both"/>
        <w:rPr>
          <w:rFonts w:ascii="Times New Roman" w:hAnsi="Times New Roman" w:eastAsia="仿宋_GB2312"/>
          <w:sz w:val="32"/>
          <w:szCs w:val="32"/>
        </w:rPr>
      </w:pPr>
      <w:r>
        <w:rPr>
          <w:rFonts w:hint="eastAsia" w:ascii="仿宋_GB2312" w:hAnsi="仿宋_GB2312" w:eastAsia="仿宋_GB2312" w:cs="仿宋_GB2312"/>
          <w:sz w:val="32"/>
          <w:szCs w:val="32"/>
          <w:lang w:val="en-US" w:eastAsia="zh-CN"/>
        </w:rPr>
        <w:t>我单位2024年财政拨款收支预算总数952.57万元,比2023年财政拨款收支预算总数减少14.83万元，主要原因是本年年初人员比上年年初人员减少3人，</w:t>
      </w:r>
      <w:r>
        <w:rPr>
          <w:rFonts w:ascii="Times New Roman" w:hAnsi="Times New Roman" w:eastAsia="仿宋_GB2312"/>
          <w:sz w:val="32"/>
          <w:szCs w:val="32"/>
        </w:rPr>
        <w:t>部门预算</w:t>
      </w:r>
      <w:r>
        <w:rPr>
          <w:rFonts w:hint="eastAsia" w:ascii="Times New Roman" w:hAnsi="Times New Roman" w:eastAsia="仿宋_GB2312"/>
          <w:sz w:val="32"/>
          <w:szCs w:val="32"/>
          <w:lang w:eastAsia="zh-CN"/>
        </w:rPr>
        <w:t>基本支出中减少</w:t>
      </w:r>
      <w:r>
        <w:rPr>
          <w:rFonts w:hint="eastAsia" w:ascii="Times New Roman" w:hAnsi="Times New Roman" w:eastAsia="仿宋_GB2312"/>
          <w:sz w:val="32"/>
          <w:szCs w:val="32"/>
        </w:rPr>
        <w:t>了</w:t>
      </w:r>
      <w:r>
        <w:rPr>
          <w:rFonts w:hint="eastAsia" w:ascii="Times New Roman" w:hAnsi="Times New Roman" w:eastAsia="仿宋_GB2312"/>
          <w:sz w:val="32"/>
          <w:szCs w:val="32"/>
          <w:lang w:eastAsia="zh-CN"/>
        </w:rPr>
        <w:t>人员经费</w:t>
      </w:r>
      <w:r>
        <w:rPr>
          <w:rFonts w:hint="eastAsia" w:ascii="Times New Roman" w:hAnsi="Times New Roman" w:eastAsia="仿宋_GB2312"/>
          <w:sz w:val="32"/>
          <w:szCs w:val="32"/>
          <w:lang w:val="en-US" w:eastAsia="zh-CN"/>
        </w:rPr>
        <w:t>工资福利</w:t>
      </w:r>
      <w:r>
        <w:rPr>
          <w:rFonts w:hint="eastAsia" w:ascii="Times New Roman" w:hAnsi="Times New Roman" w:eastAsia="仿宋_GB2312"/>
          <w:sz w:val="32"/>
          <w:szCs w:val="32"/>
        </w:rPr>
        <w:t>支出预算</w:t>
      </w:r>
      <w:r>
        <w:rPr>
          <w:rFonts w:ascii="Times New Roman" w:hAnsi="Times New Roman" w:eastAsia="仿宋_GB2312"/>
          <w:sz w:val="32"/>
          <w:szCs w:val="32"/>
        </w:rPr>
        <w:t>。</w:t>
      </w:r>
    </w:p>
    <w:p>
      <w:pPr>
        <w:keepNext w:val="0"/>
        <w:keepLines w:val="0"/>
        <w:widowControl/>
        <w:numPr>
          <w:ilvl w:val="0"/>
          <w:numId w:val="3"/>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0" w:leftChars="0" w:right="0" w:rightChars="0" w:firstLine="640" w:firstLineChars="200"/>
        <w:jc w:val="both"/>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一般公共预算当年拨款结构情况</w:t>
      </w:r>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right="0" w:rightChars="0" w:firstLine="640" w:firstLineChars="20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教育支出952.57万元，占100%。</w:t>
      </w:r>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right="0" w:rightChars="0" w:firstLine="640" w:firstLineChars="200"/>
        <w:jc w:val="both"/>
        <w:rPr>
          <w:rFonts w:hint="eastAsia"/>
          <w:lang w:val="en-US" w:eastAsia="zh-CN"/>
        </w:rPr>
      </w:pPr>
      <w:r>
        <w:rPr>
          <w:rFonts w:hint="eastAsia" w:ascii="楷体_GB2312" w:hAnsi="楷体_GB2312" w:eastAsia="楷体_GB2312" w:cs="楷体_GB2312"/>
          <w:sz w:val="32"/>
          <w:szCs w:val="32"/>
          <w:lang w:val="en-US" w:eastAsia="zh-CN"/>
        </w:rPr>
        <w:t>（三）一般公共预算当年拨款具体使用情况</w:t>
      </w:r>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right="0" w:rightChars="0" w:firstLine="640" w:firstLineChars="200"/>
        <w:jc w:val="both"/>
        <w:rPr>
          <w:rFonts w:hint="eastAsia" w:ascii="Times New Roman" w:hAnsi="Times New Roman" w:eastAsia="仿宋_GB2312"/>
          <w:sz w:val="32"/>
          <w:szCs w:val="32"/>
        </w:rPr>
      </w:pPr>
      <w:r>
        <w:rPr>
          <w:rFonts w:hint="eastAsia" w:ascii="Times New Roman" w:hAnsi="Times New Roman" w:eastAsia="仿宋_GB2312"/>
          <w:sz w:val="32"/>
          <w:szCs w:val="32"/>
        </w:rPr>
        <w:t>教育支出</w:t>
      </w:r>
      <w:r>
        <w:rPr>
          <w:rFonts w:ascii="Times New Roman" w:hAnsi="Times New Roman" w:eastAsia="仿宋_GB2312"/>
          <w:sz w:val="32"/>
          <w:szCs w:val="32"/>
        </w:rPr>
        <w:t>（</w:t>
      </w:r>
      <w:r>
        <w:rPr>
          <w:rFonts w:hint="eastAsia" w:ascii="Times New Roman" w:hAnsi="Times New Roman" w:eastAsia="仿宋_GB2312"/>
          <w:sz w:val="32"/>
          <w:szCs w:val="32"/>
          <w:lang w:val="en-US" w:eastAsia="zh-CN"/>
        </w:rPr>
        <w:t>205</w:t>
      </w:r>
      <w:r>
        <w:rPr>
          <w:rFonts w:ascii="Times New Roman" w:hAnsi="Times New Roman" w:eastAsia="仿宋_GB2312"/>
          <w:sz w:val="32"/>
          <w:szCs w:val="32"/>
        </w:rPr>
        <w:t>类）</w:t>
      </w:r>
      <w:r>
        <w:rPr>
          <w:rFonts w:hint="eastAsia" w:ascii="Times New Roman" w:hAnsi="Times New Roman" w:eastAsia="仿宋_GB2312"/>
          <w:sz w:val="32"/>
          <w:szCs w:val="32"/>
        </w:rPr>
        <w:t>普通教育</w:t>
      </w:r>
      <w:r>
        <w:rPr>
          <w:rFonts w:ascii="Times New Roman" w:hAnsi="Times New Roman" w:eastAsia="仿宋_GB2312"/>
          <w:sz w:val="32"/>
          <w:szCs w:val="32"/>
        </w:rPr>
        <w:t>（</w:t>
      </w:r>
      <w:r>
        <w:rPr>
          <w:rFonts w:hint="eastAsia" w:ascii="Times New Roman" w:hAnsi="Times New Roman" w:eastAsia="仿宋_GB2312"/>
          <w:sz w:val="32"/>
          <w:szCs w:val="32"/>
          <w:lang w:val="en-US" w:eastAsia="zh-CN"/>
        </w:rPr>
        <w:t>02</w:t>
      </w:r>
      <w:r>
        <w:rPr>
          <w:rFonts w:ascii="Times New Roman" w:hAnsi="Times New Roman" w:eastAsia="仿宋_GB2312"/>
          <w:sz w:val="32"/>
          <w:szCs w:val="32"/>
        </w:rPr>
        <w:t>款）</w:t>
      </w:r>
      <w:r>
        <w:rPr>
          <w:rFonts w:hint="eastAsia" w:ascii="Times New Roman" w:hAnsi="Times New Roman" w:eastAsia="仿宋_GB2312"/>
          <w:sz w:val="32"/>
          <w:szCs w:val="32"/>
        </w:rPr>
        <w:t>初中教育</w:t>
      </w:r>
      <w:r>
        <w:rPr>
          <w:rFonts w:ascii="Times New Roman" w:hAnsi="Times New Roman" w:eastAsia="仿宋_GB2312"/>
          <w:sz w:val="32"/>
          <w:szCs w:val="32"/>
        </w:rPr>
        <w:t>（</w:t>
      </w:r>
      <w:r>
        <w:rPr>
          <w:rFonts w:hint="eastAsia" w:ascii="Times New Roman" w:hAnsi="Times New Roman" w:eastAsia="仿宋_GB2312"/>
          <w:sz w:val="32"/>
          <w:szCs w:val="32"/>
          <w:lang w:val="en-US" w:eastAsia="zh-CN"/>
        </w:rPr>
        <w:t>03</w:t>
      </w:r>
      <w:r>
        <w:rPr>
          <w:rFonts w:ascii="Times New Roman" w:hAnsi="Times New Roman" w:eastAsia="仿宋_GB2312"/>
          <w:sz w:val="32"/>
          <w:szCs w:val="32"/>
        </w:rPr>
        <w:t>项）202</w:t>
      </w:r>
      <w:r>
        <w:rPr>
          <w:rFonts w:hint="eastAsia" w:ascii="Times New Roman" w:hAnsi="Times New Roman" w:eastAsia="仿宋_GB2312"/>
          <w:sz w:val="32"/>
          <w:szCs w:val="32"/>
          <w:lang w:val="en-US" w:eastAsia="zh-CN"/>
        </w:rPr>
        <w:t>4</w:t>
      </w:r>
      <w:r>
        <w:rPr>
          <w:rFonts w:ascii="Times New Roman" w:hAnsi="Times New Roman" w:eastAsia="仿宋_GB2312"/>
          <w:sz w:val="32"/>
          <w:szCs w:val="32"/>
        </w:rPr>
        <w:t>年预算数为</w:t>
      </w:r>
      <w:r>
        <w:rPr>
          <w:rFonts w:hint="eastAsia" w:ascii="Times New Roman" w:hAnsi="Times New Roman" w:eastAsia="仿宋_GB2312"/>
          <w:sz w:val="32"/>
          <w:szCs w:val="32"/>
          <w:lang w:val="en-US" w:eastAsia="zh-CN"/>
        </w:rPr>
        <w:t>952.57</w:t>
      </w:r>
      <w:r>
        <w:rPr>
          <w:rFonts w:ascii="Times New Roman" w:hAnsi="Times New Roman" w:eastAsia="仿宋_GB2312"/>
          <w:sz w:val="32"/>
          <w:szCs w:val="32"/>
        </w:rPr>
        <w:t>万元，主要用于：</w:t>
      </w:r>
      <w:r>
        <w:rPr>
          <w:rFonts w:hint="eastAsia" w:ascii="Times New Roman" w:hAnsi="Times New Roman" w:eastAsia="仿宋_GB2312"/>
          <w:sz w:val="32"/>
          <w:szCs w:val="32"/>
        </w:rPr>
        <w:t>我校义务教育初中阶段教育发展的基本支出，</w:t>
      </w:r>
      <w:r>
        <w:rPr>
          <w:rFonts w:ascii="Times New Roman" w:hAnsi="Times New Roman" w:eastAsia="仿宋_GB2312"/>
          <w:sz w:val="32"/>
          <w:szCs w:val="32"/>
        </w:rPr>
        <w:t>包括基本工资、津贴补贴等人员经费以及办公费、印刷费、水电费等日常公用经费</w:t>
      </w:r>
      <w:r>
        <w:rPr>
          <w:rFonts w:hint="eastAsia" w:ascii="Times New Roman" w:hAnsi="Times New Roman" w:eastAsia="仿宋_GB2312"/>
          <w:sz w:val="32"/>
          <w:szCs w:val="32"/>
        </w:rPr>
        <w:t>。</w:t>
      </w:r>
    </w:p>
    <w:p>
      <w:pPr>
        <w:keepNext w:val="0"/>
        <w:keepLines w:val="0"/>
        <w:widowControl/>
        <w:numPr>
          <w:ilvl w:val="0"/>
          <w:numId w:val="1"/>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0" w:leftChars="0" w:right="0" w:rightChars="0" w:firstLine="640" w:firstLineChars="200"/>
        <w:jc w:val="both"/>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一般公共预算基本支出情况说明</w:t>
      </w:r>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right="0" w:rightChars="0" w:firstLine="640" w:firstLineChars="200"/>
        <w:jc w:val="both"/>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我单位2024年一般公共预算基本支出952.57万元，其中：人员经费896.37万元，主要包括：基本工资、津贴补贴、奖金、社会保险缴费、离休费、住房公积金等支出。公用经费0万元。</w:t>
      </w:r>
    </w:p>
    <w:p>
      <w:pPr>
        <w:keepNext w:val="0"/>
        <w:keepLines w:val="0"/>
        <w:widowControl/>
        <w:numPr>
          <w:ilvl w:val="0"/>
          <w:numId w:val="1"/>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0" w:leftChars="0" w:right="0" w:rightChars="0" w:firstLine="640" w:firstLineChars="200"/>
        <w:jc w:val="both"/>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“三公”经费财政拨款预算安排情况说明</w:t>
      </w:r>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right="0" w:rightChars="0" w:firstLine="640" w:firstLineChars="200"/>
        <w:jc w:val="both"/>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pPr>
      <w:r>
        <w:rPr>
          <w:rFonts w:hint="eastAsia" w:ascii="仿宋" w:hAnsi="仿宋" w:eastAsia="仿宋" w:cs="Times New Roman"/>
          <w:color w:val="000000"/>
          <w:sz w:val="32"/>
          <w:szCs w:val="32"/>
          <w:lang w:val="en-US" w:eastAsia="zh-CN"/>
        </w:rPr>
        <w:t>我单位</w:t>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2024年“三公”经费财政拨款预算数</w:t>
      </w:r>
      <w:r>
        <w:rPr>
          <w:rFonts w:hint="eastAsia" w:ascii="Times New Roman" w:hAnsi="Times New Roman" w:eastAsia="仿宋_GB2312" w:cs="Times New Roman"/>
          <w:i w:val="0"/>
          <w:caps w:val="0"/>
          <w:color w:val="333333"/>
          <w:spacing w:val="0"/>
          <w:kern w:val="0"/>
          <w:sz w:val="32"/>
          <w:szCs w:val="32"/>
          <w:shd w:val="clear" w:color="auto" w:fill="FFFFFF"/>
          <w:lang w:val="en-US" w:eastAsia="zh-CN" w:bidi="ar"/>
        </w:rPr>
        <w:t>0</w:t>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万元，其中：公务接待费</w:t>
      </w:r>
      <w:r>
        <w:rPr>
          <w:rFonts w:hint="eastAsia" w:ascii="Times New Roman" w:hAnsi="Times New Roman" w:eastAsia="仿宋_GB2312" w:cs="Times New Roman"/>
          <w:i w:val="0"/>
          <w:caps w:val="0"/>
          <w:color w:val="333333"/>
          <w:spacing w:val="0"/>
          <w:kern w:val="0"/>
          <w:sz w:val="32"/>
          <w:szCs w:val="32"/>
          <w:shd w:val="clear" w:color="auto" w:fill="FFFFFF"/>
          <w:lang w:val="en-US" w:eastAsia="zh-CN" w:bidi="ar"/>
        </w:rPr>
        <w:t>0</w:t>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万元，公务用车购置及运行维护费</w:t>
      </w:r>
      <w:r>
        <w:rPr>
          <w:rFonts w:hint="eastAsia" w:ascii="Times New Roman" w:hAnsi="Times New Roman" w:eastAsia="仿宋_GB2312" w:cs="Times New Roman"/>
          <w:i w:val="0"/>
          <w:caps w:val="0"/>
          <w:color w:val="333333"/>
          <w:spacing w:val="0"/>
          <w:kern w:val="0"/>
          <w:sz w:val="32"/>
          <w:szCs w:val="32"/>
          <w:shd w:val="clear" w:color="auto" w:fill="FFFFFF"/>
          <w:lang w:val="en-US" w:eastAsia="zh-CN" w:bidi="ar"/>
        </w:rPr>
        <w:t>0</w:t>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万元，因公出国（境）经费</w:t>
      </w:r>
      <w:r>
        <w:rPr>
          <w:rFonts w:hint="eastAsia" w:ascii="Times New Roman" w:hAnsi="Times New Roman" w:eastAsia="仿宋_GB2312" w:cs="Times New Roman"/>
          <w:i w:val="0"/>
          <w:caps w:val="0"/>
          <w:color w:val="333333"/>
          <w:spacing w:val="0"/>
          <w:kern w:val="0"/>
          <w:sz w:val="32"/>
          <w:szCs w:val="32"/>
          <w:shd w:val="clear" w:color="auto" w:fill="FFFFFF"/>
          <w:lang w:val="en-US" w:eastAsia="zh-CN" w:bidi="ar"/>
        </w:rPr>
        <w:t>0</w:t>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万元。</w:t>
      </w:r>
    </w:p>
    <w:p>
      <w:pPr>
        <w:keepNext w:val="0"/>
        <w:keepLines w:val="0"/>
        <w:widowControl/>
        <w:numPr>
          <w:ilvl w:val="0"/>
          <w:numId w:val="4"/>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right="0" w:rightChars="0" w:firstLine="640" w:firstLineChars="200"/>
        <w:jc w:val="both"/>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公务接待费与2023年预算相比</w:t>
      </w:r>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right="0" w:rightChars="0" w:firstLine="640" w:firstLineChars="200"/>
        <w:jc w:val="both"/>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pPr>
      <w:r>
        <w:rPr>
          <w:rFonts w:hint="eastAsia" w:ascii="仿宋_GB2312" w:hAnsi="仿宋_GB2312" w:eastAsia="仿宋_GB2312" w:cs="仿宋_GB2312"/>
          <w:sz w:val="32"/>
          <w:szCs w:val="32"/>
          <w:lang w:val="en-US" w:eastAsia="zh-CN"/>
        </w:rPr>
        <w:t>公务接待费与2023年预算相比持平，主要原因是</w:t>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按照党中央、国务院关于过“紧日子”和坚持厉行节约反对浪费的要求。</w:t>
      </w:r>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0" w:beforeAutospacing="0" w:after="0" w:afterAutospacing="0" w:line="580" w:lineRule="atLeast"/>
        <w:ind w:right="0" w:rightChars="0" w:firstLine="643" w:firstLineChars="200"/>
        <w:jc w:val="both"/>
        <w:textAlignment w:val="auto"/>
        <w:rPr>
          <w:rFonts w:hint="eastAsia"/>
          <w:lang w:val="en-US" w:eastAsia="zh-CN"/>
        </w:rPr>
      </w:pPr>
      <w:r>
        <w:rPr>
          <w:rFonts w:hint="eastAsia" w:ascii="仿宋_GB2312" w:hAnsi="Times New Roman" w:eastAsia="仿宋_GB2312" w:cs="仿宋_GB2312"/>
          <w:b/>
          <w:bCs/>
          <w:i w:val="0"/>
          <w:caps w:val="0"/>
          <w:color w:val="333333"/>
          <w:spacing w:val="0"/>
          <w:kern w:val="0"/>
          <w:sz w:val="32"/>
          <w:szCs w:val="32"/>
          <w:shd w:val="clear" w:color="auto" w:fill="FFFFFF"/>
          <w:lang w:val="en-US" w:eastAsia="zh-CN" w:bidi="ar"/>
        </w:rPr>
        <w:t>（二）</w:t>
      </w:r>
      <w:r>
        <w:rPr>
          <w:rFonts w:hint="eastAsia" w:ascii="楷体_GB2312" w:hAnsi="楷体_GB2312" w:eastAsia="楷体_GB2312" w:cs="楷体_GB2312"/>
          <w:sz w:val="32"/>
          <w:szCs w:val="32"/>
          <w:lang w:val="en-US" w:eastAsia="zh-CN"/>
        </w:rPr>
        <w:t>公务用车购置及运行维护费与2023年预算相比。</w:t>
      </w:r>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0" w:beforeAutospacing="0" w:after="0" w:afterAutospacing="0" w:line="580" w:lineRule="atLeast"/>
        <w:ind w:right="0" w:rightChars="0" w:firstLine="640" w:firstLineChars="200"/>
        <w:jc w:val="both"/>
        <w:textAlignment w:val="auto"/>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pPr>
      <w:r>
        <w:rPr>
          <w:rFonts w:hint="eastAsia" w:ascii="仿宋" w:hAnsi="仿宋" w:eastAsia="仿宋" w:cs="Times New Roman"/>
          <w:color w:val="000000"/>
          <w:sz w:val="32"/>
          <w:szCs w:val="32"/>
          <w:lang w:val="en-US" w:eastAsia="zh-CN"/>
        </w:rPr>
        <w:t>我单位</w:t>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现有公务用车</w:t>
      </w:r>
      <w:r>
        <w:rPr>
          <w:rFonts w:hint="eastAsia" w:ascii="Times New Roman" w:hAnsi="Times New Roman" w:eastAsia="仿宋_GB2312" w:cs="Times New Roman"/>
          <w:i w:val="0"/>
          <w:caps w:val="0"/>
          <w:color w:val="333333"/>
          <w:spacing w:val="0"/>
          <w:kern w:val="0"/>
          <w:sz w:val="32"/>
          <w:szCs w:val="32"/>
          <w:shd w:val="clear" w:color="auto" w:fill="FFFFFF"/>
          <w:lang w:val="en-US" w:eastAsia="zh-CN" w:bidi="ar"/>
        </w:rPr>
        <w:t>0</w:t>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辆，其中：轿车</w:t>
      </w:r>
      <w:r>
        <w:rPr>
          <w:rFonts w:hint="eastAsia" w:ascii="Times New Roman" w:hAnsi="Times New Roman" w:eastAsia="仿宋_GB2312" w:cs="Times New Roman"/>
          <w:i w:val="0"/>
          <w:caps w:val="0"/>
          <w:color w:val="333333"/>
          <w:spacing w:val="0"/>
          <w:kern w:val="0"/>
          <w:sz w:val="32"/>
          <w:szCs w:val="32"/>
          <w:shd w:val="clear" w:color="auto" w:fill="FFFFFF"/>
          <w:lang w:val="en-US" w:eastAsia="zh-CN" w:bidi="ar"/>
        </w:rPr>
        <w:t>0</w:t>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辆，旅行车（含商务车）</w:t>
      </w:r>
      <w:r>
        <w:rPr>
          <w:rFonts w:hint="eastAsia" w:ascii="Times New Roman" w:hAnsi="Times New Roman" w:eastAsia="仿宋_GB2312" w:cs="Times New Roman"/>
          <w:i w:val="0"/>
          <w:caps w:val="0"/>
          <w:color w:val="333333"/>
          <w:spacing w:val="0"/>
          <w:kern w:val="0"/>
          <w:sz w:val="32"/>
          <w:szCs w:val="32"/>
          <w:shd w:val="clear" w:color="auto" w:fill="FFFFFF"/>
          <w:lang w:val="en-US" w:eastAsia="zh-CN" w:bidi="ar"/>
        </w:rPr>
        <w:t>0</w:t>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辆，越野车</w:t>
      </w:r>
      <w:r>
        <w:rPr>
          <w:rFonts w:hint="eastAsia" w:ascii="Times New Roman" w:hAnsi="Times New Roman" w:eastAsia="仿宋_GB2312" w:cs="Times New Roman"/>
          <w:i w:val="0"/>
          <w:caps w:val="0"/>
          <w:color w:val="333333"/>
          <w:spacing w:val="0"/>
          <w:kern w:val="0"/>
          <w:sz w:val="32"/>
          <w:szCs w:val="32"/>
          <w:shd w:val="clear" w:color="auto" w:fill="FFFFFF"/>
          <w:lang w:val="en-US" w:eastAsia="zh-CN" w:bidi="ar"/>
        </w:rPr>
        <w:t>0</w:t>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辆。</w:t>
      </w:r>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0" w:beforeAutospacing="0" w:after="0" w:afterAutospacing="0" w:line="580" w:lineRule="atLeast"/>
        <w:ind w:right="0" w:rightChars="0" w:firstLine="640" w:firstLineChars="200"/>
        <w:jc w:val="both"/>
        <w:textAlignment w:val="auto"/>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2024年我单位未安排公务用车运行维护费。</w:t>
      </w:r>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0" w:beforeAutospacing="0" w:after="0" w:afterAutospacing="0" w:line="580" w:lineRule="atLeast"/>
        <w:ind w:right="0" w:rightChars="0" w:firstLine="643" w:firstLineChars="200"/>
        <w:jc w:val="both"/>
        <w:textAlignment w:val="auto"/>
        <w:rPr>
          <w:rFonts w:hint="default" w:ascii="仿宋_GB2312" w:hAnsi="Times New Roman" w:eastAsia="仿宋_GB2312" w:cs="仿宋_GB2312"/>
          <w:b/>
          <w:bCs/>
          <w:i w:val="0"/>
          <w:caps w:val="0"/>
          <w:color w:val="333333"/>
          <w:spacing w:val="0"/>
          <w:kern w:val="0"/>
          <w:sz w:val="32"/>
          <w:szCs w:val="32"/>
          <w:shd w:val="clear" w:color="auto" w:fill="FFFFFF"/>
          <w:lang w:val="en-US" w:eastAsia="zh-CN" w:bidi="ar"/>
        </w:rPr>
      </w:pPr>
      <w:r>
        <w:rPr>
          <w:rFonts w:hint="eastAsia" w:ascii="仿宋_GB2312" w:hAnsi="Times New Roman" w:eastAsia="仿宋_GB2312" w:cs="仿宋_GB2312"/>
          <w:b/>
          <w:bCs/>
          <w:i w:val="0"/>
          <w:caps w:val="0"/>
          <w:color w:val="333333"/>
          <w:spacing w:val="0"/>
          <w:kern w:val="0"/>
          <w:sz w:val="32"/>
          <w:szCs w:val="32"/>
          <w:shd w:val="clear" w:color="auto" w:fill="FFFFFF"/>
          <w:lang w:val="en-US" w:eastAsia="zh-CN" w:bidi="ar"/>
        </w:rPr>
        <w:t>（三）</w:t>
      </w:r>
      <w:r>
        <w:rPr>
          <w:rFonts w:hint="eastAsia" w:ascii="楷体_GB2312" w:hAnsi="楷体_GB2312" w:eastAsia="楷体_GB2312" w:cs="楷体_GB2312"/>
          <w:sz w:val="32"/>
          <w:szCs w:val="32"/>
          <w:lang w:val="en-US" w:eastAsia="zh-CN"/>
        </w:rPr>
        <w:t>因公出国（境）经费与2023年预算相比。</w:t>
      </w:r>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0" w:beforeAutospacing="0" w:after="0" w:afterAutospacing="0" w:line="580" w:lineRule="atLeast"/>
        <w:ind w:right="0" w:rightChars="0" w:firstLine="640" w:firstLineChars="200"/>
        <w:jc w:val="both"/>
        <w:textAlignment w:val="auto"/>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pPr>
      <w:r>
        <w:rPr>
          <w:rFonts w:hint="eastAsia" w:ascii="仿宋" w:hAnsi="仿宋" w:eastAsia="仿宋" w:cs="Times New Roman"/>
          <w:color w:val="000000"/>
          <w:sz w:val="32"/>
          <w:szCs w:val="32"/>
          <w:lang w:val="en-US" w:eastAsia="zh-CN"/>
        </w:rPr>
        <w:t>我单位</w:t>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未安排因公出国（境）经费。</w:t>
      </w:r>
    </w:p>
    <w:p>
      <w:pPr>
        <w:keepNext w:val="0"/>
        <w:keepLines w:val="0"/>
        <w:pageBreakBefore w:val="0"/>
        <w:widowControl/>
        <w:numPr>
          <w:ilvl w:val="0"/>
          <w:numId w:val="1"/>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0" w:beforeAutospacing="0" w:after="0" w:afterAutospacing="0" w:line="580" w:lineRule="atLeast"/>
        <w:ind w:left="0" w:leftChars="0" w:right="0" w:rightChars="0"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政府性基金预算支出情况说明</w:t>
      </w:r>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0" w:beforeAutospacing="0" w:after="0" w:afterAutospacing="0" w:line="580" w:lineRule="atLeast"/>
        <w:ind w:right="0" w:righ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我单位2024年无政府性基金预算拨款安排的支出。</w:t>
      </w:r>
    </w:p>
    <w:p>
      <w:pPr>
        <w:keepNext w:val="0"/>
        <w:keepLines w:val="0"/>
        <w:pageBreakBefore w:val="0"/>
        <w:widowControl/>
        <w:numPr>
          <w:ilvl w:val="0"/>
          <w:numId w:val="1"/>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0" w:beforeAutospacing="0" w:after="0" w:afterAutospacing="0" w:line="580" w:lineRule="atLeast"/>
        <w:ind w:left="0" w:leftChars="0" w:right="0" w:rightChars="0"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国有资本经营预算支出情况说明</w:t>
      </w:r>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0" w:beforeAutospacing="0" w:after="0" w:afterAutospacing="0" w:line="580" w:lineRule="atLeast"/>
        <w:ind w:right="0" w:righ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我单位2024年无国有资本经营预算拨款安排的支出。</w:t>
      </w:r>
    </w:p>
    <w:p>
      <w:pPr>
        <w:keepNext w:val="0"/>
        <w:keepLines w:val="0"/>
        <w:pageBreakBefore w:val="0"/>
        <w:widowControl/>
        <w:numPr>
          <w:ilvl w:val="0"/>
          <w:numId w:val="1"/>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0" w:beforeAutospacing="0" w:after="0" w:afterAutospacing="0" w:line="580" w:lineRule="atLeast"/>
        <w:ind w:left="0" w:leftChars="0" w:right="0" w:rightChars="0" w:firstLine="640" w:firstLineChars="200"/>
        <w:jc w:val="both"/>
        <w:textAlignment w:val="auto"/>
        <w:rPr>
          <w:rFonts w:hint="eastAsia" w:ascii="楷体_GB2312" w:hAnsi="楷体_GB2312" w:eastAsia="楷体_GB2312" w:cs="楷体_GB2312"/>
          <w:sz w:val="32"/>
          <w:szCs w:val="32"/>
          <w:lang w:val="en-US" w:eastAsia="zh-CN"/>
        </w:rPr>
      </w:pPr>
      <w:r>
        <w:rPr>
          <w:rFonts w:hint="eastAsia" w:ascii="黑体" w:hAnsi="黑体" w:eastAsia="黑体" w:cs="黑体"/>
          <w:sz w:val="32"/>
          <w:szCs w:val="32"/>
          <w:lang w:val="en-US" w:eastAsia="zh-CN"/>
        </w:rPr>
        <w:t xml:space="preserve">其他重要事项的情况说明 </w:t>
      </w:r>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0" w:beforeAutospacing="0" w:after="0" w:afterAutospacing="0" w:line="580" w:lineRule="atLeast"/>
        <w:ind w:right="0" w:rightChars="0" w:firstLine="640" w:firstLineChars="200"/>
        <w:jc w:val="both"/>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（一）机关运行经费</w:t>
      </w:r>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0" w:beforeAutospacing="0" w:after="0" w:afterAutospacing="0" w:line="580" w:lineRule="atLeast"/>
        <w:ind w:leftChars="0" w:right="0" w:rightChars="0" w:firstLine="640" w:firstLineChars="200"/>
        <w:jc w:val="both"/>
        <w:textAlignment w:val="auto"/>
        <w:rPr>
          <w:rFonts w:hint="eastAsia" w:ascii="Times New Roman" w:hAnsi="Times New Roman" w:eastAsia="仿宋_GB2312"/>
          <w:sz w:val="32"/>
          <w:szCs w:val="32"/>
        </w:rPr>
      </w:pPr>
      <w:r>
        <w:rPr>
          <w:rFonts w:hint="eastAsia" w:ascii="仿宋_GB2312" w:hAnsi="仿宋_GB2312" w:eastAsia="仿宋_GB2312" w:cs="仿宋_GB2312"/>
          <w:sz w:val="32"/>
          <w:szCs w:val="32"/>
          <w:lang w:val="en-US" w:eastAsia="zh-CN"/>
        </w:rPr>
        <w:t>2024年，</w:t>
      </w:r>
      <w:r>
        <w:rPr>
          <w:rFonts w:hint="eastAsia" w:ascii="仿宋" w:hAnsi="仿宋" w:eastAsia="仿宋" w:cs="Times New Roman"/>
          <w:color w:val="000000"/>
          <w:sz w:val="32"/>
          <w:szCs w:val="32"/>
          <w:lang w:val="en-US" w:eastAsia="zh-CN"/>
        </w:rPr>
        <w:t>我单位</w:t>
      </w:r>
      <w:r>
        <w:rPr>
          <w:rFonts w:hint="eastAsia" w:ascii="Times New Roman" w:hAnsi="Times New Roman" w:eastAsia="仿宋_GB2312"/>
          <w:sz w:val="32"/>
          <w:szCs w:val="32"/>
          <w:lang w:val="en-US" w:eastAsia="zh-CN"/>
        </w:rPr>
        <w:t>属于公益一级单位，无机关运行经费</w:t>
      </w:r>
      <w:r>
        <w:rPr>
          <w:rFonts w:hint="eastAsia" w:ascii="Times New Roman" w:hAnsi="Times New Roman" w:eastAsia="仿宋_GB2312"/>
          <w:sz w:val="32"/>
          <w:szCs w:val="32"/>
        </w:rPr>
        <w:t>。</w:t>
      </w:r>
    </w:p>
    <w:p>
      <w:pPr>
        <w:keepNext w:val="0"/>
        <w:keepLines w:val="0"/>
        <w:pageBreakBefore w:val="0"/>
        <w:widowControl/>
        <w:numPr>
          <w:ilvl w:val="0"/>
          <w:numId w:val="4"/>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0" w:beforeAutospacing="0" w:after="0" w:afterAutospacing="0" w:line="580" w:lineRule="atLeast"/>
        <w:ind w:left="0" w:leftChars="0" w:right="0" w:rightChars="0" w:firstLine="640" w:firstLineChars="200"/>
        <w:jc w:val="both"/>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lang w:val="en-US" w:eastAsia="zh-CN"/>
        </w:rPr>
        <w:t>政府采购情况</w:t>
      </w:r>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0" w:beforeAutospacing="0" w:after="0" w:afterAutospacing="0" w:line="580" w:lineRule="atLeast"/>
        <w:ind w:leftChars="0" w:right="0" w:rightChars="0" w:firstLine="640" w:firstLineChars="200"/>
        <w:jc w:val="both"/>
        <w:textAlignment w:val="auto"/>
        <w:rPr>
          <w:rFonts w:hint="eastAsia" w:ascii="Times New Roman" w:hAnsi="Times New Roman" w:eastAsia="仿宋_GB2312"/>
          <w:sz w:val="32"/>
          <w:szCs w:val="32"/>
        </w:rPr>
      </w:pPr>
      <w:r>
        <w:rPr>
          <w:rFonts w:hint="eastAsia" w:ascii="仿宋_GB2312" w:hAnsi="仿宋_GB2312" w:eastAsia="仿宋_GB2312" w:cs="仿宋_GB2312"/>
          <w:sz w:val="32"/>
          <w:szCs w:val="32"/>
          <w:lang w:val="en-US" w:eastAsia="zh-CN"/>
        </w:rPr>
        <w:t>2024年，我单位</w:t>
      </w:r>
      <w:r>
        <w:rPr>
          <w:rFonts w:hint="eastAsia" w:ascii="Times New Roman" w:hAnsi="Times New Roman" w:eastAsia="仿宋_GB2312"/>
          <w:sz w:val="32"/>
          <w:szCs w:val="32"/>
        </w:rPr>
        <w:t>没有</w:t>
      </w:r>
      <w:r>
        <w:rPr>
          <w:rFonts w:ascii="Times New Roman" w:hAnsi="Times New Roman" w:eastAsia="仿宋_GB2312"/>
          <w:sz w:val="32"/>
          <w:szCs w:val="32"/>
        </w:rPr>
        <w:t>安排政府采购预算</w:t>
      </w:r>
      <w:r>
        <w:rPr>
          <w:rFonts w:hint="eastAsia" w:ascii="Times New Roman" w:hAnsi="Times New Roman" w:eastAsia="仿宋_GB2312"/>
          <w:sz w:val="32"/>
          <w:szCs w:val="32"/>
        </w:rPr>
        <w:t>。</w:t>
      </w:r>
    </w:p>
    <w:p>
      <w:pPr>
        <w:keepNext w:val="0"/>
        <w:keepLines w:val="0"/>
        <w:pageBreakBefore w:val="0"/>
        <w:widowControl/>
        <w:numPr>
          <w:ilvl w:val="0"/>
          <w:numId w:val="4"/>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0" w:beforeAutospacing="0" w:after="0" w:afterAutospacing="0" w:line="580" w:lineRule="atLeast"/>
        <w:ind w:left="0" w:leftChars="0" w:right="0" w:rightChars="0" w:firstLine="640" w:firstLineChars="200"/>
        <w:jc w:val="both"/>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国有资产占有使用情况</w:t>
      </w:r>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0" w:beforeAutospacing="0" w:after="0" w:afterAutospacing="0" w:line="580" w:lineRule="atLeast"/>
        <w:ind w:right="0" w:righ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截至2023年底，我单位共有车辆0辆，无价值200万元以上的大型设备。</w:t>
      </w:r>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0" w:beforeAutospacing="0" w:after="0" w:afterAutospacing="0" w:line="580" w:lineRule="atLeast"/>
        <w:ind w:right="0" w:righ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2024年部门预算未安排购置车辆及单位价值200万元以上大型设备。</w:t>
      </w:r>
    </w:p>
    <w:p>
      <w:pPr>
        <w:keepNext w:val="0"/>
        <w:keepLines w:val="0"/>
        <w:pageBreakBefore w:val="0"/>
        <w:widowControl/>
        <w:numPr>
          <w:ilvl w:val="0"/>
          <w:numId w:val="4"/>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0" w:beforeAutospacing="0" w:after="0" w:afterAutospacing="0" w:line="580" w:lineRule="atLeast"/>
        <w:ind w:left="0" w:leftChars="0" w:right="0" w:righ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绩效目标设置情况</w:t>
      </w:r>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0" w:beforeAutospacing="0" w:after="0" w:afterAutospacing="0" w:line="580" w:lineRule="atLeast"/>
        <w:ind w:right="0" w:righ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2024年我单位开展绩效目标管理的项目2个，涉及预算56.2万元。其中：人员类项目0个，涉及预算 0万元；运转类项目2个，涉及预算56.2万元。</w:t>
      </w:r>
    </w:p>
    <w:p>
      <w:pPr>
        <w:keepNext w:val="0"/>
        <w:keepLines w:val="0"/>
        <w:pageBreakBefore w:val="0"/>
        <w:widowControl/>
        <w:numPr>
          <w:ilvl w:val="0"/>
          <w:numId w:val="1"/>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0" w:beforeAutospacing="0" w:after="0" w:afterAutospacing="0" w:line="580" w:lineRule="atLeast"/>
        <w:ind w:left="0" w:leftChars="0" w:right="0" w:rightChars="0" w:firstLine="643" w:firstLineChars="200"/>
        <w:jc w:val="both"/>
        <w:textAlignment w:val="auto"/>
        <w:rPr>
          <w:rFonts w:hint="eastAsia" w:ascii="Times New Roman" w:hAnsi="Times New Roman" w:eastAsia="仿宋_GB2312"/>
          <w:b/>
          <w:bCs/>
          <w:sz w:val="32"/>
          <w:szCs w:val="32"/>
          <w:lang w:eastAsia="zh-CN"/>
        </w:rPr>
      </w:pPr>
      <w:r>
        <w:rPr>
          <w:rFonts w:hint="eastAsia" w:ascii="黑体" w:hAnsi="黑体" w:eastAsia="黑体" w:cs="黑体"/>
          <w:b/>
          <w:bCs/>
          <w:sz w:val="32"/>
          <w:szCs w:val="32"/>
          <w:lang w:val="en-US" w:eastAsia="zh-CN"/>
        </w:rPr>
        <w:t>名词解释</w:t>
      </w:r>
      <w:bookmarkStart w:id="5" w:name="_GoBack"/>
      <w:bookmarkEnd w:id="5"/>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0" w:beforeAutospacing="0" w:after="0" w:afterAutospacing="0" w:line="580" w:lineRule="atLeast"/>
        <w:ind w:right="0" w:rightChars="0" w:firstLine="640" w:firstLineChars="200"/>
        <w:jc w:val="both"/>
        <w:textAlignment w:val="auto"/>
        <w:rPr>
          <w:rFonts w:ascii="Times New Roman" w:hAnsi="Times New Roman" w:eastAsia="仿宋_GB2312"/>
          <w:sz w:val="32"/>
          <w:szCs w:val="32"/>
        </w:rPr>
      </w:pPr>
      <w:r>
        <w:rPr>
          <w:rFonts w:hint="eastAsia" w:ascii="Times New Roman" w:hAnsi="Times New Roman" w:eastAsia="仿宋_GB2312"/>
          <w:sz w:val="32"/>
          <w:szCs w:val="32"/>
          <w:lang w:eastAsia="zh-CN"/>
        </w:rPr>
        <w:t>（一）</w:t>
      </w:r>
      <w:r>
        <w:rPr>
          <w:rFonts w:hint="eastAsia" w:ascii="Times New Roman" w:hAnsi="Times New Roman" w:eastAsia="仿宋_GB2312" w:cs="Times New Roman"/>
          <w:sz w:val="32"/>
          <w:szCs w:val="32"/>
          <w:lang w:val="en-US" w:eastAsia="zh-CN"/>
        </w:rPr>
        <w:t>财政拨款收入</w:t>
      </w:r>
      <w:r>
        <w:rPr>
          <w:rFonts w:hint="default" w:ascii="Times New Roman" w:hAnsi="Times New Roman" w:eastAsia="仿宋_GB2312" w:cs="Times New Roman"/>
          <w:sz w:val="32"/>
          <w:szCs w:val="32"/>
          <w:lang w:val="en-US" w:eastAsia="zh-CN"/>
        </w:rPr>
        <w:t>:</w:t>
      </w:r>
      <w:r>
        <w:rPr>
          <w:rFonts w:hint="eastAsia" w:ascii="Times New Roman" w:hAnsi="Times New Roman" w:eastAsia="仿宋_GB2312" w:cs="Times New Roman"/>
          <w:sz w:val="32"/>
          <w:szCs w:val="32"/>
          <w:lang w:val="en-US" w:eastAsia="zh-CN"/>
        </w:rPr>
        <w:t>指财政当年安排的财政预算收入。按现行管理制度</w:t>
      </w:r>
      <w:r>
        <w:rPr>
          <w:rFonts w:hint="default" w:ascii="Times New Roman" w:hAnsi="Times New Roman" w:eastAsia="仿宋_GB2312" w:cs="Times New Roman"/>
          <w:sz w:val="32"/>
          <w:szCs w:val="32"/>
          <w:lang w:val="en-US" w:eastAsia="zh-CN"/>
        </w:rPr>
        <w:t>,</w:t>
      </w:r>
      <w:r>
        <w:rPr>
          <w:rFonts w:hint="eastAsia" w:ascii="Times New Roman" w:hAnsi="Times New Roman" w:eastAsia="仿宋_GB2312" w:cs="Times New Roman"/>
          <w:sz w:val="32"/>
          <w:szCs w:val="32"/>
          <w:lang w:val="en-US" w:eastAsia="zh-CN"/>
        </w:rPr>
        <w:t>部门预算中反映的财政拨款包括一般公共预算拨款和政府性基金预算拨款。</w:t>
      </w:r>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0" w:beforeAutospacing="0" w:after="0" w:afterAutospacing="0" w:line="580" w:lineRule="atLeast"/>
        <w:ind w:right="0" w:rightChars="0" w:firstLine="640" w:firstLineChars="200"/>
        <w:jc w:val="both"/>
        <w:textAlignment w:val="auto"/>
        <w:rPr>
          <w:rFonts w:ascii="Times New Roman" w:hAnsi="Times New Roman" w:eastAsia="仿宋_GB2312"/>
          <w:sz w:val="32"/>
          <w:szCs w:val="32"/>
        </w:rPr>
      </w:pPr>
      <w:r>
        <w:rPr>
          <w:rFonts w:ascii="Times New Roman" w:hAnsi="Times New Roman" w:eastAsia="仿宋_GB2312"/>
          <w:sz w:val="32"/>
          <w:szCs w:val="32"/>
        </w:rPr>
        <w:t>（</w:t>
      </w:r>
      <w:r>
        <w:rPr>
          <w:rFonts w:hint="eastAsia" w:ascii="Times New Roman" w:hAnsi="Times New Roman" w:eastAsia="仿宋_GB2312"/>
          <w:sz w:val="32"/>
          <w:szCs w:val="32"/>
          <w:lang w:eastAsia="zh-CN"/>
        </w:rPr>
        <w:t>二</w:t>
      </w:r>
      <w:r>
        <w:rPr>
          <w:rFonts w:ascii="Times New Roman" w:hAnsi="Times New Roman" w:eastAsia="仿宋_GB2312"/>
          <w:sz w:val="32"/>
          <w:szCs w:val="32"/>
        </w:rPr>
        <w:t>）</w:t>
      </w:r>
      <w:r>
        <w:rPr>
          <w:rFonts w:hint="eastAsia" w:ascii="Times New Roman" w:hAnsi="Times New Roman" w:eastAsia="仿宋_GB2312"/>
          <w:sz w:val="32"/>
          <w:szCs w:val="32"/>
        </w:rPr>
        <w:t>教育支出</w:t>
      </w:r>
      <w:r>
        <w:rPr>
          <w:rFonts w:ascii="Times New Roman" w:hAnsi="Times New Roman" w:eastAsia="仿宋_GB2312"/>
          <w:sz w:val="32"/>
          <w:szCs w:val="32"/>
        </w:rPr>
        <w:t>（类）</w:t>
      </w:r>
      <w:r>
        <w:rPr>
          <w:rFonts w:hint="eastAsia" w:ascii="Times New Roman" w:hAnsi="Times New Roman" w:eastAsia="仿宋_GB2312"/>
          <w:sz w:val="32"/>
          <w:szCs w:val="32"/>
        </w:rPr>
        <w:t>普通教育</w:t>
      </w:r>
      <w:r>
        <w:rPr>
          <w:rFonts w:ascii="Times New Roman" w:hAnsi="Times New Roman" w:eastAsia="仿宋_GB2312"/>
          <w:sz w:val="32"/>
          <w:szCs w:val="32"/>
        </w:rPr>
        <w:t>（款）</w:t>
      </w:r>
      <w:r>
        <w:rPr>
          <w:rFonts w:hint="eastAsia" w:ascii="Times New Roman" w:hAnsi="Times New Roman" w:eastAsia="仿宋_GB2312"/>
          <w:sz w:val="32"/>
          <w:szCs w:val="32"/>
        </w:rPr>
        <w:t>初中教育</w:t>
      </w:r>
      <w:r>
        <w:rPr>
          <w:rFonts w:ascii="Times New Roman" w:hAnsi="Times New Roman" w:eastAsia="仿宋_GB2312"/>
          <w:sz w:val="32"/>
          <w:szCs w:val="32"/>
        </w:rPr>
        <w:t>（项）：</w:t>
      </w:r>
      <w:r>
        <w:rPr>
          <w:rFonts w:hint="eastAsia" w:ascii="Times New Roman" w:hAnsi="Times New Roman" w:eastAsia="仿宋_GB2312"/>
          <w:sz w:val="32"/>
          <w:szCs w:val="32"/>
        </w:rPr>
        <w:t>义务教育初中教育发展的基本支出，</w:t>
      </w:r>
      <w:r>
        <w:rPr>
          <w:rFonts w:ascii="Times New Roman" w:hAnsi="Times New Roman" w:eastAsia="仿宋_GB2312"/>
          <w:sz w:val="32"/>
          <w:szCs w:val="32"/>
        </w:rPr>
        <w:t>包括基本工资、津贴补贴等人员经费以及办公费、印刷费、水电费等日常公用经费。</w:t>
      </w:r>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0" w:beforeAutospacing="0" w:after="0" w:afterAutospacing="0" w:line="580" w:lineRule="atLeast"/>
        <w:ind w:right="0" w:rightChars="0" w:firstLine="640" w:firstLineChars="200"/>
        <w:jc w:val="both"/>
        <w:textAlignment w:val="auto"/>
        <w:rPr>
          <w:rFonts w:hint="eastAsia" w:ascii="Times New Roman" w:hAnsi="Times New Roman" w:eastAsia="仿宋_GB2312"/>
          <w:sz w:val="32"/>
          <w:szCs w:val="32"/>
          <w:lang w:val="en-US" w:eastAsia="zh-CN"/>
        </w:rPr>
      </w:pPr>
      <w:r>
        <w:rPr>
          <w:rFonts w:ascii="Times New Roman" w:hAnsi="Times New Roman" w:eastAsia="仿宋_GB2312"/>
          <w:sz w:val="32"/>
          <w:szCs w:val="32"/>
        </w:rPr>
        <w:t>（</w:t>
      </w:r>
      <w:r>
        <w:rPr>
          <w:rFonts w:hint="eastAsia" w:ascii="Times New Roman" w:hAnsi="Times New Roman" w:eastAsia="仿宋_GB2312"/>
          <w:sz w:val="32"/>
          <w:szCs w:val="32"/>
          <w:lang w:val="en-US" w:eastAsia="zh-CN"/>
        </w:rPr>
        <w:t>三</w:t>
      </w:r>
      <w:r>
        <w:rPr>
          <w:rFonts w:ascii="Times New Roman" w:hAnsi="Times New Roman" w:eastAsia="仿宋_GB2312"/>
          <w:sz w:val="32"/>
          <w:szCs w:val="32"/>
        </w:rPr>
        <w:t>）基本支出：指为保证机构正常运转，完成日常工作任务而发生的人员支出和公用支出。</w:t>
      </w:r>
      <w:r>
        <w:rPr>
          <w:rFonts w:hint="eastAsia" w:ascii="Times New Roman" w:hAnsi="Times New Roman" w:eastAsia="仿宋_GB2312"/>
          <w:sz w:val="32"/>
          <w:szCs w:val="32"/>
          <w:lang w:val="en-US" w:eastAsia="zh-CN"/>
        </w:rPr>
        <w:t xml:space="preserve">              </w:t>
      </w:r>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0" w:beforeAutospacing="0" w:after="0" w:afterAutospacing="0" w:line="580" w:lineRule="atLeast"/>
        <w:ind w:right="0" w:rightChars="0" w:firstLine="640" w:firstLineChars="200"/>
        <w:jc w:val="both"/>
        <w:textAlignment w:val="auto"/>
        <w:rPr>
          <w:rFonts w:hint="eastAsia"/>
          <w:lang w:val="en-US" w:eastAsia="zh-CN"/>
        </w:rPr>
      </w:pPr>
      <w:r>
        <w:rPr>
          <w:rFonts w:ascii="Times New Roman" w:hAnsi="Times New Roman" w:eastAsia="仿宋_GB2312"/>
          <w:sz w:val="32"/>
          <w:szCs w:val="32"/>
        </w:rPr>
        <w:t>（</w:t>
      </w:r>
      <w:r>
        <w:rPr>
          <w:rFonts w:hint="eastAsia" w:ascii="Times New Roman" w:hAnsi="Times New Roman" w:eastAsia="仿宋_GB2312"/>
          <w:sz w:val="32"/>
          <w:szCs w:val="32"/>
          <w:lang w:val="en-US" w:eastAsia="zh-CN"/>
        </w:rPr>
        <w:t>四</w:t>
      </w:r>
      <w:r>
        <w:rPr>
          <w:rFonts w:ascii="Times New Roman" w:hAnsi="Times New Roman" w:eastAsia="仿宋_GB2312"/>
          <w:sz w:val="32"/>
          <w:szCs w:val="32"/>
        </w:rPr>
        <w:t>）项目支出：指在基本支出之外为完成特定行政任务和事业发展目标所发生的支出。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附件：1.预算公开报表</w:t>
      </w:r>
    </w:p>
    <w:p>
      <w:pPr>
        <w:keepNext w:val="0"/>
        <w:keepLines w:val="0"/>
        <w:pageBreakBefore w:val="0"/>
        <w:widowControl w:val="0"/>
        <w:numPr>
          <w:ilvl w:val="0"/>
          <w:numId w:val="5"/>
        </w:numPr>
        <w:kinsoku/>
        <w:wordWrap/>
        <w:overflowPunct/>
        <w:topLinePunct w:val="0"/>
        <w:autoSpaceDE/>
        <w:autoSpaceDN/>
        <w:bidi w:val="0"/>
        <w:adjustRightInd/>
        <w:snapToGrid/>
        <w:spacing w:line="576" w:lineRule="exact"/>
        <w:ind w:left="1600" w:leftChars="0" w:firstLine="0" w:firstLineChars="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项目支出绩效目标表</w:t>
      </w:r>
    </w:p>
    <w:p>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仿宋_GB2312" w:hAnsi="仿宋_GB2312" w:eastAsia="仿宋_GB2312" w:cs="仿宋_GB2312"/>
          <w:b/>
          <w:bCs/>
          <w:sz w:val="32"/>
          <w:szCs w:val="32"/>
          <w:lang w:eastAsia="zh-CN"/>
        </w:rPr>
      </w:pPr>
    </w:p>
    <w:sectPr>
      <w:footerReference r:id="rId3" w:type="default"/>
      <w:pgSz w:w="11906" w:h="16838"/>
      <w:pgMar w:top="2098" w:right="1474" w:bottom="1984" w:left="1587" w:header="720" w:footer="1191"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Liberation Sans">
    <w:altName w:val="Vijaya"/>
    <w:panose1 w:val="020B0604020202020204"/>
    <w:charset w:val="00"/>
    <w:family w:val="swiss"/>
    <w:pitch w:val="default"/>
    <w:sig w:usb0="00000000" w:usb1="00000000" w:usb2="00000000" w:usb3="00000000" w:csb0="6000009F" w:csb1="DFD70000"/>
  </w:font>
  <w:font w:name="Noto Sans CJK SC Regular">
    <w:altName w:val="宋体"/>
    <w:panose1 w:val="020B0500000000000000"/>
    <w:charset w:val="86"/>
    <w:family w:val="auto"/>
    <w:pitch w:val="default"/>
    <w:sig w:usb0="00000000" w:usb1="00000000" w:usb2="00000016" w:usb3="00000000" w:csb0="602E0107" w:csb1="00000000"/>
  </w:font>
  <w:font w:name="方正小标宋简体">
    <w:altName w:val="黑体"/>
    <w:panose1 w:val="02000000000000000000"/>
    <w:charset w:val="86"/>
    <w:family w:val="auto"/>
    <w:pitch w:val="default"/>
    <w:sig w:usb0="00000000" w:usb1="00000000" w:usb2="00000012"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5"/>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5"/>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B2AD58D"/>
    <w:multiLevelType w:val="singleLevel"/>
    <w:tmpl w:val="CB2AD58D"/>
    <w:lvl w:ilvl="0" w:tentative="0">
      <w:start w:val="1"/>
      <w:numFmt w:val="chineseCounting"/>
      <w:suff w:val="nothing"/>
      <w:lvlText w:val="（%1）"/>
      <w:lvlJc w:val="left"/>
      <w:rPr>
        <w:rFonts w:hint="eastAsia"/>
      </w:rPr>
    </w:lvl>
  </w:abstractNum>
  <w:abstractNum w:abstractNumId="1">
    <w:nsid w:val="F4137A56"/>
    <w:multiLevelType w:val="singleLevel"/>
    <w:tmpl w:val="F4137A56"/>
    <w:lvl w:ilvl="0" w:tentative="0">
      <w:start w:val="1"/>
      <w:numFmt w:val="chineseCounting"/>
      <w:suff w:val="nothing"/>
      <w:lvlText w:val="（%1）"/>
      <w:lvlJc w:val="left"/>
      <w:rPr>
        <w:rFonts w:hint="eastAsia"/>
      </w:rPr>
    </w:lvl>
  </w:abstractNum>
  <w:abstractNum w:abstractNumId="2">
    <w:nsid w:val="3516E233"/>
    <w:multiLevelType w:val="singleLevel"/>
    <w:tmpl w:val="3516E233"/>
    <w:lvl w:ilvl="0" w:tentative="0">
      <w:start w:val="2"/>
      <w:numFmt w:val="decimal"/>
      <w:lvlText w:val="%1."/>
      <w:lvlJc w:val="left"/>
      <w:pPr>
        <w:tabs>
          <w:tab w:val="left" w:pos="312"/>
        </w:tabs>
        <w:ind w:left="1600" w:leftChars="0" w:firstLine="0" w:firstLineChars="0"/>
      </w:pPr>
    </w:lvl>
  </w:abstractNum>
  <w:abstractNum w:abstractNumId="3">
    <w:nsid w:val="3E7F8E3C"/>
    <w:multiLevelType w:val="singleLevel"/>
    <w:tmpl w:val="3E7F8E3C"/>
    <w:lvl w:ilvl="0" w:tentative="0">
      <w:start w:val="3"/>
      <w:numFmt w:val="chineseCounting"/>
      <w:suff w:val="nothing"/>
      <w:lvlText w:val="%1、"/>
      <w:lvlJc w:val="left"/>
      <w:rPr>
        <w:rFonts w:hint="eastAsia"/>
      </w:rPr>
    </w:lvl>
  </w:abstractNum>
  <w:abstractNum w:abstractNumId="4">
    <w:nsid w:val="6591CBDC"/>
    <w:multiLevelType w:val="singleLevel"/>
    <w:tmpl w:val="6591CBDC"/>
    <w:lvl w:ilvl="0" w:tentative="0">
      <w:start w:val="1"/>
      <w:numFmt w:val="chineseCounting"/>
      <w:suff w:val="nothing"/>
      <w:lvlText w:val="（%1）"/>
      <w:lvlJc w:val="left"/>
      <w:rPr>
        <w:rFonts w:hint="eastAsia"/>
      </w:rPr>
    </w:lvl>
  </w:abstractNum>
  <w:num w:numId="1">
    <w:abstractNumId w:val="3"/>
  </w:num>
  <w:num w:numId="2">
    <w:abstractNumId w:val="0"/>
  </w:num>
  <w:num w:numId="3">
    <w:abstractNumId w:val="4"/>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
  <w:drawingGridVerticalSpacing w:val="1"/>
  <w:displayHorizontalDrawingGridEvery w:val="1"/>
  <w:displayVerticalDrawingGridEvery w:val="1"/>
  <w:doNotUseMarginsForDrawingGridOrigin w:val="1"/>
  <w:drawingGridHorizontalOrigin w:val="0"/>
  <w:drawingGridVerticalOrigin w:val="0"/>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A0Y2IwOTA0ZDc5ZTU0NTA4NGIxMGFlMGY0NjgzOTEifQ=="/>
    <w:docVar w:name="KSO_WPS_MARK_KEY" w:val="17ede3bc-1363-450c-a08f-f1bbf42fb1c0"/>
  </w:docVars>
  <w:rsids>
    <w:rsidRoot w:val="00000000"/>
    <w:rsid w:val="012352D1"/>
    <w:rsid w:val="1DC127CF"/>
    <w:rsid w:val="1F7BF06F"/>
    <w:rsid w:val="1FEE4B73"/>
    <w:rsid w:val="23CE9849"/>
    <w:rsid w:val="39F304DD"/>
    <w:rsid w:val="3B9375F5"/>
    <w:rsid w:val="518C6428"/>
    <w:rsid w:val="54244390"/>
    <w:rsid w:val="54662A63"/>
    <w:rsid w:val="58064E12"/>
    <w:rsid w:val="5BFEE015"/>
    <w:rsid w:val="5D26561D"/>
    <w:rsid w:val="63EDCF55"/>
    <w:rsid w:val="63FBFBCF"/>
    <w:rsid w:val="669360FD"/>
    <w:rsid w:val="68FF6A83"/>
    <w:rsid w:val="6E697602"/>
    <w:rsid w:val="6FBBC9CF"/>
    <w:rsid w:val="72BDE561"/>
    <w:rsid w:val="78462278"/>
    <w:rsid w:val="7997EA6C"/>
    <w:rsid w:val="7AEAE675"/>
    <w:rsid w:val="7BAFCE5D"/>
    <w:rsid w:val="7C523723"/>
    <w:rsid w:val="7D46598C"/>
    <w:rsid w:val="7DFB240B"/>
    <w:rsid w:val="7E0935ED"/>
    <w:rsid w:val="7F1B5EA8"/>
    <w:rsid w:val="7FCF2AF7"/>
    <w:rsid w:val="9FEF033D"/>
    <w:rsid w:val="A27FF1E5"/>
    <w:rsid w:val="AFDEB5A7"/>
    <w:rsid w:val="AFEA7FBF"/>
    <w:rsid w:val="B83F4767"/>
    <w:rsid w:val="BF930F07"/>
    <w:rsid w:val="BFCE8436"/>
    <w:rsid w:val="C3F7EB7A"/>
    <w:rsid w:val="CFF5FEEC"/>
    <w:rsid w:val="D3DD9064"/>
    <w:rsid w:val="D6F76A0C"/>
    <w:rsid w:val="D7ECE8D2"/>
    <w:rsid w:val="DFDD4FB5"/>
    <w:rsid w:val="E7F748B5"/>
    <w:rsid w:val="EE5F3713"/>
    <w:rsid w:val="EFC9D62C"/>
    <w:rsid w:val="F6BE9755"/>
    <w:rsid w:val="F6FFA89B"/>
    <w:rsid w:val="FAE4EFE1"/>
    <w:rsid w:val="FB9B6F12"/>
    <w:rsid w:val="FBB66A4A"/>
    <w:rsid w:val="FDEE6989"/>
    <w:rsid w:val="FF5E7DB8"/>
    <w:rsid w:val="FF77E367"/>
    <w:rsid w:val="FFD576EB"/>
    <w:rsid w:val="FFFBE8B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uppressAutoHyphens/>
      <w:bidi w:val="0"/>
      <w:jc w:val="both"/>
    </w:pPr>
    <w:rPr>
      <w:rFonts w:ascii="Calibri" w:hAnsi="Calibri" w:eastAsia="宋体" w:cs="Times New Roman"/>
      <w:color w:val="auto"/>
      <w:kern w:val="2"/>
      <w:sz w:val="21"/>
      <w:szCs w:val="24"/>
      <w:lang w:val="en-US" w:eastAsia="zh-CN" w:bidi="ar-SA"/>
    </w:rPr>
  </w:style>
  <w:style w:type="paragraph" w:styleId="2">
    <w:name w:val="heading 2"/>
    <w:basedOn w:val="1"/>
    <w:next w:val="1"/>
    <w:qFormat/>
    <w:uiPriority w:val="0"/>
    <w:pPr>
      <w:keepNext/>
      <w:keepLines/>
      <w:spacing w:before="260" w:beforeLines="0" w:after="260" w:afterLines="0" w:line="416" w:lineRule="auto"/>
      <w:outlineLvl w:val="1"/>
    </w:pPr>
    <w:rPr>
      <w:rFonts w:ascii="Cambria" w:hAnsi="Cambria" w:cs="Cambria"/>
      <w:b/>
      <w:bCs/>
      <w:sz w:val="32"/>
      <w:szCs w:val="32"/>
    </w:rPr>
  </w:style>
  <w:style w:type="character" w:default="1" w:styleId="10">
    <w:name w:val="Default Paragraph Font"/>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3">
    <w:name w:val="caption"/>
    <w:basedOn w:val="1"/>
    <w:next w:val="1"/>
    <w:qFormat/>
    <w:uiPriority w:val="0"/>
    <w:pPr>
      <w:widowControl w:val="0"/>
      <w:suppressLineNumbers/>
      <w:suppressAutoHyphens/>
      <w:spacing w:before="120" w:after="120"/>
    </w:pPr>
    <w:rPr>
      <w:i/>
      <w:iCs/>
      <w:sz w:val="24"/>
      <w:szCs w:val="24"/>
    </w:rPr>
  </w:style>
  <w:style w:type="paragraph" w:styleId="4">
    <w:name w:val="Body Text"/>
    <w:basedOn w:val="1"/>
    <w:qFormat/>
    <w:uiPriority w:val="0"/>
    <w:pPr>
      <w:spacing w:before="0" w:after="140" w:line="276" w:lineRule="auto"/>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List"/>
    <w:basedOn w:val="4"/>
    <w:qFormat/>
    <w:uiPriority w:val="0"/>
  </w:style>
  <w:style w:type="paragraph" w:styleId="8">
    <w:name w:val="Normal (Web)"/>
    <w:basedOn w:val="1"/>
    <w:qFormat/>
    <w:uiPriority w:val="0"/>
    <w:rPr>
      <w:sz w:val="24"/>
    </w:rPr>
  </w:style>
  <w:style w:type="character" w:customStyle="1" w:styleId="11">
    <w:name w:val="默认段落字体1"/>
    <w:qFormat/>
    <w:uiPriority w:val="0"/>
  </w:style>
  <w:style w:type="paragraph" w:customStyle="1" w:styleId="12">
    <w:name w:val="Heading"/>
    <w:basedOn w:val="1"/>
    <w:next w:val="4"/>
    <w:qFormat/>
    <w:uiPriority w:val="0"/>
    <w:pPr>
      <w:keepNext/>
      <w:widowControl w:val="0"/>
      <w:suppressAutoHyphens/>
      <w:spacing w:before="240" w:after="120"/>
    </w:pPr>
    <w:rPr>
      <w:rFonts w:ascii="Liberation Sans" w:hAnsi="Liberation Sans" w:eastAsia="Noto Sans CJK SC Regular" w:cs="Noto Sans CJK SC Regular"/>
      <w:sz w:val="28"/>
      <w:szCs w:val="28"/>
      <w:lang w:bidi="ar-SA"/>
    </w:rPr>
  </w:style>
  <w:style w:type="paragraph" w:customStyle="1" w:styleId="13">
    <w:name w:val="Index"/>
    <w:basedOn w:val="1"/>
    <w:qFormat/>
    <w:uiPriority w:val="0"/>
    <w:pPr>
      <w:widowControl w:val="0"/>
      <w:suppressLineNumbers/>
      <w:suppressAutoHyphens/>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9</Pages>
  <Words>3168</Words>
  <Characters>3849</Characters>
  <TotalTime>13</TotalTime>
  <ScaleCrop>false</ScaleCrop>
  <LinksUpToDate>false</LinksUpToDate>
  <CharactersWithSpaces>3891</CharactersWithSpaces>
  <Application>WPS Office_11.1.0.14309_F1E327BC-269C-435d-A152-05C5408002CA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2018-11-29T09:47:00Z</dcterms:created>
  <dc:creator>admin</dc:creator>
  <cp:lastModifiedBy>Administrator</cp:lastModifiedBy>
  <dcterms:modified xsi:type="dcterms:W3CDTF">2024-03-27T04:13:28Z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96081F72B7444D3C8C1C7DDAED24732C_13</vt:lpwstr>
  </property>
</Properties>
</file>